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113" w:type="dxa"/>
          <w:right w:w="0" w:type="dxa"/>
        </w:tblCellMar>
        <w:tblLook w:val="01E0" w:firstRow="1" w:lastRow="1" w:firstColumn="1" w:lastColumn="1" w:noHBand="0" w:noVBand="0"/>
      </w:tblPr>
      <w:tblGrid>
        <w:gridCol w:w="6067"/>
        <w:gridCol w:w="1644"/>
        <w:gridCol w:w="2212"/>
      </w:tblGrid>
      <w:tr w:rsidR="006B7F19" w:rsidRPr="006B7F19" w:rsidTr="00682F2F">
        <w:trPr>
          <w:cantSplit/>
          <w:trHeight w:val="1077"/>
        </w:trPr>
        <w:tc>
          <w:tcPr>
            <w:tcW w:w="6067" w:type="dxa"/>
            <w:vAlign w:val="center"/>
          </w:tcPr>
          <w:p w:rsidR="005D16AE" w:rsidRPr="006B7F19" w:rsidRDefault="00981916" w:rsidP="007B7965">
            <w:pPr>
              <w:pStyle w:val="AdresseAdres"/>
              <w:spacing w:before="300"/>
            </w:pPr>
            <w:r>
              <w:t>de Berlaimontlaan 14 - BE-1000 Brussel</w:t>
            </w:r>
          </w:p>
          <w:p w:rsidR="005D16AE" w:rsidRPr="006B7F19" w:rsidRDefault="005D16AE" w:rsidP="00F07FD0">
            <w:pPr>
              <w:pStyle w:val="AdresseAdres"/>
            </w:pPr>
            <w:r>
              <w:t xml:space="preserve">tel. +32 2 221 </w:t>
            </w:r>
            <w:r w:rsidR="002E7D83">
              <w:t>38 12</w:t>
            </w:r>
            <w:r w:rsidR="001130BC">
              <w:t xml:space="preserve"> </w:t>
            </w:r>
            <w:r>
              <w:t xml:space="preserve">– fax 32 2 221 </w:t>
            </w:r>
            <w:r w:rsidR="002E7D83">
              <w:t>31 04</w:t>
            </w:r>
          </w:p>
          <w:p w:rsidR="005D16AE" w:rsidRPr="006B7F19" w:rsidRDefault="005D16AE" w:rsidP="00F07FD0">
            <w:pPr>
              <w:pStyle w:val="AdresseAdres"/>
            </w:pPr>
            <w:r>
              <w:t>ondernemingsnummer: 0203.201.340</w:t>
            </w:r>
          </w:p>
          <w:p w:rsidR="005D16AE" w:rsidRPr="006B7F19" w:rsidRDefault="005D16AE" w:rsidP="00F07FD0">
            <w:pPr>
              <w:pStyle w:val="AdresseAdres"/>
            </w:pPr>
            <w:r>
              <w:t>RPR Brussel</w:t>
            </w:r>
          </w:p>
          <w:p w:rsidR="005D16AE" w:rsidRPr="006B7F19" w:rsidRDefault="005D16AE" w:rsidP="005D16AE">
            <w:pPr>
              <w:pStyle w:val="AdresseAdres"/>
            </w:pPr>
            <w:r>
              <w:t>www.nbb.be</w:t>
            </w:r>
          </w:p>
        </w:tc>
        <w:tc>
          <w:tcPr>
            <w:tcW w:w="3856" w:type="dxa"/>
            <w:gridSpan w:val="2"/>
            <w:shd w:val="clear" w:color="auto" w:fill="auto"/>
            <w:vAlign w:val="center"/>
          </w:tcPr>
          <w:p w:rsidR="005D16AE" w:rsidRPr="006B7F19" w:rsidRDefault="005D16AE" w:rsidP="00682F2F">
            <w:pPr>
              <w:spacing w:line="260" w:lineRule="atLeast"/>
              <w:rPr>
                <w:sz w:val="16"/>
                <w:szCs w:val="16"/>
              </w:rPr>
            </w:pPr>
            <w:r>
              <w:rPr>
                <w:noProof/>
                <w:sz w:val="16"/>
                <w:szCs w:val="16"/>
                <w:lang w:val="fr-BE" w:eastAsia="fr-BE" w:bidi="ar-SA"/>
              </w:rPr>
              <w:drawing>
                <wp:inline distT="0" distB="0" distL="0" distR="0" wp14:anchorId="27A534A6" wp14:editId="07E17C6E">
                  <wp:extent cx="2343150" cy="581025"/>
                  <wp:effectExtent l="19050" t="0" r="0" b="0"/>
                  <wp:docPr id="1"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9"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p>
        </w:tc>
      </w:tr>
      <w:tr w:rsidR="006B7F19" w:rsidRPr="006B7F19" w:rsidTr="00682F2F">
        <w:trPr>
          <w:cantSplit/>
          <w:trHeight w:hRule="exact" w:val="850"/>
        </w:trPr>
        <w:tc>
          <w:tcPr>
            <w:tcW w:w="6067" w:type="dxa"/>
            <w:shd w:val="clear" w:color="auto" w:fill="auto"/>
          </w:tcPr>
          <w:p w:rsidR="005D16AE" w:rsidRPr="006B7F19" w:rsidRDefault="005D16AE" w:rsidP="00682F2F">
            <w:pPr>
              <w:pStyle w:val="AdresseAdres"/>
              <w:tabs>
                <w:tab w:val="center" w:pos="4678"/>
                <w:tab w:val="right" w:pos="9356"/>
              </w:tabs>
              <w:spacing w:line="260" w:lineRule="atLeast"/>
              <w:rPr>
                <w:sz w:val="16"/>
              </w:rPr>
            </w:pPr>
          </w:p>
        </w:tc>
        <w:tc>
          <w:tcPr>
            <w:tcW w:w="3856" w:type="dxa"/>
            <w:gridSpan w:val="2"/>
            <w:shd w:val="clear" w:color="auto" w:fill="auto"/>
            <w:vAlign w:val="bottom"/>
          </w:tcPr>
          <w:p w:rsidR="005D16AE" w:rsidRPr="006B7F19" w:rsidRDefault="005D16AE" w:rsidP="00620BFC">
            <w:pPr>
              <w:pStyle w:val="TitreTitel"/>
              <w:keepLines/>
              <w:tabs>
                <w:tab w:val="left" w:pos="284"/>
                <w:tab w:val="right" w:leader="dot" w:pos="9639"/>
              </w:tabs>
              <w:spacing w:after="170"/>
              <w:ind w:left="397" w:right="567" w:hanging="397"/>
            </w:pPr>
            <w:r>
              <w:t>Circulaire</w:t>
            </w:r>
          </w:p>
        </w:tc>
      </w:tr>
      <w:tr w:rsidR="006B7F19" w:rsidRPr="006B7F19" w:rsidTr="00682F2F">
        <w:trPr>
          <w:cantSplit/>
          <w:trHeight w:hRule="exact" w:val="794"/>
        </w:trPr>
        <w:tc>
          <w:tcPr>
            <w:tcW w:w="6067" w:type="dxa"/>
            <w:vMerge w:val="restart"/>
            <w:shd w:val="clear" w:color="auto" w:fill="auto"/>
          </w:tcPr>
          <w:p w:rsidR="005D16AE" w:rsidRPr="006B7F19" w:rsidRDefault="005D16AE" w:rsidP="00682F2F">
            <w:pPr>
              <w:pStyle w:val="AdresseAdres"/>
            </w:pPr>
          </w:p>
        </w:tc>
        <w:tc>
          <w:tcPr>
            <w:tcW w:w="3856" w:type="dxa"/>
            <w:gridSpan w:val="2"/>
          </w:tcPr>
          <w:p w:rsidR="005D16AE" w:rsidRPr="006B7F19" w:rsidRDefault="005D16AE" w:rsidP="002E7D83">
            <w:pPr>
              <w:spacing w:line="200" w:lineRule="atLeast"/>
            </w:pPr>
            <w:r>
              <w:t xml:space="preserve">Brussel, </w:t>
            </w:r>
            <w:r w:rsidR="00437A4B">
              <w:t>14</w:t>
            </w:r>
            <w:r w:rsidR="002E7D83">
              <w:t xml:space="preserve"> september</w:t>
            </w:r>
            <w:r>
              <w:t xml:space="preserve"> 2017</w:t>
            </w:r>
          </w:p>
        </w:tc>
      </w:tr>
      <w:tr w:rsidR="006B7F19" w:rsidRPr="006B7F19" w:rsidTr="00682F2F">
        <w:trPr>
          <w:cantSplit/>
          <w:trHeight w:hRule="exact" w:val="198"/>
        </w:trPr>
        <w:tc>
          <w:tcPr>
            <w:tcW w:w="6067" w:type="dxa"/>
            <w:vMerge/>
          </w:tcPr>
          <w:p w:rsidR="005D16AE" w:rsidRPr="006B7F19" w:rsidRDefault="005D16AE" w:rsidP="00682F2F">
            <w:pPr>
              <w:spacing w:line="260" w:lineRule="atLeast"/>
            </w:pPr>
          </w:p>
        </w:tc>
        <w:tc>
          <w:tcPr>
            <w:tcW w:w="1644" w:type="dxa"/>
            <w:vAlign w:val="center"/>
          </w:tcPr>
          <w:p w:rsidR="005D16AE" w:rsidRPr="006B7F19" w:rsidRDefault="005D16AE" w:rsidP="00682F2F">
            <w:pPr>
              <w:pStyle w:val="BoiteVakje"/>
            </w:pPr>
          </w:p>
        </w:tc>
        <w:tc>
          <w:tcPr>
            <w:tcW w:w="2212" w:type="dxa"/>
            <w:vAlign w:val="center"/>
          </w:tcPr>
          <w:p w:rsidR="005D16AE" w:rsidRPr="006B7F19" w:rsidRDefault="005D16AE" w:rsidP="00682F2F">
            <w:pPr>
              <w:pStyle w:val="BoiteVakje"/>
              <w:rPr>
                <w:sz w:val="16"/>
                <w:szCs w:val="16"/>
              </w:rPr>
            </w:pPr>
          </w:p>
        </w:tc>
      </w:tr>
      <w:tr w:rsidR="006B7F19" w:rsidRPr="006B7F19" w:rsidTr="00682F2F">
        <w:trPr>
          <w:cantSplit/>
          <w:trHeight w:hRule="exact" w:val="198"/>
        </w:trPr>
        <w:tc>
          <w:tcPr>
            <w:tcW w:w="6067" w:type="dxa"/>
            <w:vMerge/>
          </w:tcPr>
          <w:p w:rsidR="005D16AE" w:rsidRPr="006B7F19" w:rsidRDefault="005D16AE" w:rsidP="00682F2F">
            <w:pPr>
              <w:tabs>
                <w:tab w:val="left" w:pos="1276"/>
                <w:tab w:val="left" w:pos="2268"/>
              </w:tabs>
              <w:spacing w:line="260" w:lineRule="atLeast"/>
            </w:pPr>
          </w:p>
        </w:tc>
        <w:tc>
          <w:tcPr>
            <w:tcW w:w="1644" w:type="dxa"/>
            <w:vAlign w:val="center"/>
          </w:tcPr>
          <w:p w:rsidR="005D16AE" w:rsidRPr="006B7F19" w:rsidRDefault="005D16AE" w:rsidP="00682F2F">
            <w:pPr>
              <w:pStyle w:val="BoiteVakje"/>
            </w:pPr>
            <w:r>
              <w:t xml:space="preserve">Kenmerk: </w:t>
            </w:r>
            <w:r>
              <w:rPr>
                <w:vanish/>
              </w:rPr>
              <w:t>---------------&gt;</w:t>
            </w:r>
          </w:p>
        </w:tc>
        <w:tc>
          <w:tcPr>
            <w:tcW w:w="2212" w:type="dxa"/>
            <w:vAlign w:val="center"/>
          </w:tcPr>
          <w:p w:rsidR="005D16AE" w:rsidRPr="006B7F19" w:rsidRDefault="005D16AE" w:rsidP="00611D42">
            <w:pPr>
              <w:pStyle w:val="BoitetexteVakjetekst"/>
            </w:pPr>
            <w:r>
              <w:t>NBB_2017_</w:t>
            </w:r>
            <w:r w:rsidR="002E7D83">
              <w:t>2</w:t>
            </w:r>
            <w:r w:rsidR="00611D42">
              <w:t>3</w:t>
            </w:r>
          </w:p>
        </w:tc>
      </w:tr>
      <w:tr w:rsidR="006B7F19" w:rsidRPr="006B7F19" w:rsidTr="00682F2F">
        <w:trPr>
          <w:cantSplit/>
          <w:trHeight w:hRule="exact" w:val="198"/>
        </w:trPr>
        <w:tc>
          <w:tcPr>
            <w:tcW w:w="6067" w:type="dxa"/>
            <w:vMerge/>
          </w:tcPr>
          <w:p w:rsidR="005D16AE" w:rsidRPr="006B7F19" w:rsidRDefault="005D16AE" w:rsidP="00682F2F">
            <w:pPr>
              <w:spacing w:line="260" w:lineRule="atLeast"/>
            </w:pPr>
          </w:p>
        </w:tc>
        <w:tc>
          <w:tcPr>
            <w:tcW w:w="3856" w:type="dxa"/>
            <w:gridSpan w:val="2"/>
          </w:tcPr>
          <w:p w:rsidR="005D16AE" w:rsidRPr="006B7F19" w:rsidRDefault="005D16AE" w:rsidP="00682F2F">
            <w:pPr>
              <w:pStyle w:val="BoiteVakje"/>
              <w:rPr>
                <w:sz w:val="16"/>
                <w:szCs w:val="16"/>
              </w:rPr>
            </w:pPr>
          </w:p>
        </w:tc>
      </w:tr>
      <w:tr w:rsidR="006B7F19" w:rsidRPr="006B7F19" w:rsidTr="00682F2F">
        <w:trPr>
          <w:cantSplit/>
          <w:trHeight w:hRule="exact" w:val="198"/>
        </w:trPr>
        <w:tc>
          <w:tcPr>
            <w:tcW w:w="6067" w:type="dxa"/>
            <w:vMerge w:val="restart"/>
          </w:tcPr>
          <w:p w:rsidR="005D16AE" w:rsidRPr="006B7F19" w:rsidRDefault="005D16AE" w:rsidP="00682F2F">
            <w:pPr>
              <w:pStyle w:val="AdresseAdres"/>
            </w:pPr>
          </w:p>
        </w:tc>
        <w:tc>
          <w:tcPr>
            <w:tcW w:w="3856" w:type="dxa"/>
            <w:gridSpan w:val="2"/>
            <w:vAlign w:val="center"/>
          </w:tcPr>
          <w:p w:rsidR="005D16AE" w:rsidRPr="006B7F19" w:rsidRDefault="005D16AE" w:rsidP="005D1B22">
            <w:pPr>
              <w:pStyle w:val="BoiteVakje"/>
            </w:pPr>
            <w:r>
              <w:t xml:space="preserve">uw correspondent: </w:t>
            </w:r>
            <w:r>
              <w:rPr>
                <w:vanish/>
              </w:rPr>
              <w:t>mettez le nom ci-dessous</w:t>
            </w:r>
          </w:p>
        </w:tc>
      </w:tr>
      <w:tr w:rsidR="006B7F19" w:rsidRPr="006B7F19" w:rsidTr="00682F2F">
        <w:trPr>
          <w:cantSplit/>
          <w:trHeight w:hRule="exact" w:val="57"/>
        </w:trPr>
        <w:tc>
          <w:tcPr>
            <w:tcW w:w="6067" w:type="dxa"/>
            <w:vMerge/>
          </w:tcPr>
          <w:p w:rsidR="005D16AE" w:rsidRPr="006B7F19" w:rsidRDefault="005D16AE" w:rsidP="00682F2F">
            <w:pPr>
              <w:spacing w:line="260" w:lineRule="atLeast"/>
            </w:pPr>
          </w:p>
        </w:tc>
        <w:tc>
          <w:tcPr>
            <w:tcW w:w="3856" w:type="dxa"/>
            <w:gridSpan w:val="2"/>
            <w:vAlign w:val="center"/>
          </w:tcPr>
          <w:p w:rsidR="005D16AE" w:rsidRPr="006B7F19" w:rsidRDefault="005D16AE" w:rsidP="00682F2F">
            <w:pPr>
              <w:pStyle w:val="BoiteVakje"/>
            </w:pPr>
          </w:p>
        </w:tc>
      </w:tr>
      <w:tr w:rsidR="006B7F19" w:rsidRPr="006B7F19" w:rsidTr="00682F2F">
        <w:trPr>
          <w:cantSplit/>
          <w:trHeight w:val="198"/>
        </w:trPr>
        <w:tc>
          <w:tcPr>
            <w:tcW w:w="6067" w:type="dxa"/>
            <w:vMerge/>
          </w:tcPr>
          <w:p w:rsidR="005D16AE" w:rsidRPr="006B7F19" w:rsidRDefault="005D16AE" w:rsidP="00682F2F">
            <w:pPr>
              <w:spacing w:line="260" w:lineRule="atLeast"/>
            </w:pPr>
          </w:p>
        </w:tc>
        <w:tc>
          <w:tcPr>
            <w:tcW w:w="3856" w:type="dxa"/>
            <w:gridSpan w:val="2"/>
            <w:vAlign w:val="center"/>
          </w:tcPr>
          <w:p w:rsidR="005D16AE" w:rsidRPr="006B7F19" w:rsidRDefault="00620BFC" w:rsidP="00682F2F">
            <w:pPr>
              <w:pStyle w:val="BoiteVakje"/>
            </w:pPr>
            <w:r>
              <w:t>Nicolas Strypstein</w:t>
            </w:r>
          </w:p>
        </w:tc>
      </w:tr>
      <w:tr w:rsidR="006B7F19" w:rsidRPr="006B7F19" w:rsidTr="00682F2F">
        <w:trPr>
          <w:cantSplit/>
          <w:trHeight w:val="198"/>
        </w:trPr>
        <w:tc>
          <w:tcPr>
            <w:tcW w:w="6067" w:type="dxa"/>
            <w:vMerge/>
          </w:tcPr>
          <w:p w:rsidR="005D16AE" w:rsidRPr="006B7F19" w:rsidRDefault="005D16AE" w:rsidP="00682F2F">
            <w:pPr>
              <w:spacing w:line="260" w:lineRule="atLeast"/>
            </w:pPr>
          </w:p>
        </w:tc>
        <w:tc>
          <w:tcPr>
            <w:tcW w:w="3856" w:type="dxa"/>
            <w:gridSpan w:val="2"/>
            <w:vAlign w:val="center"/>
          </w:tcPr>
          <w:p w:rsidR="005D16AE" w:rsidRPr="006B7F19" w:rsidRDefault="00620BFC" w:rsidP="00620BFC">
            <w:pPr>
              <w:pStyle w:val="BoiteVakje"/>
            </w:pPr>
            <w:r>
              <w:t>tel. +32 2 221 44 74 – fax +32 2 221 31 04</w:t>
            </w:r>
          </w:p>
        </w:tc>
      </w:tr>
      <w:tr w:rsidR="006B7F19" w:rsidRPr="006B7F19" w:rsidTr="00682F2F">
        <w:trPr>
          <w:cantSplit/>
          <w:trHeight w:val="198"/>
        </w:trPr>
        <w:tc>
          <w:tcPr>
            <w:tcW w:w="6067" w:type="dxa"/>
            <w:vMerge/>
          </w:tcPr>
          <w:p w:rsidR="005D16AE" w:rsidRPr="006B7F19" w:rsidRDefault="005D16AE" w:rsidP="00682F2F">
            <w:pPr>
              <w:pStyle w:val="SujetOnderwerp"/>
              <w:rPr>
                <w:b w:val="0"/>
                <w:sz w:val="16"/>
              </w:rPr>
            </w:pPr>
          </w:p>
        </w:tc>
        <w:tc>
          <w:tcPr>
            <w:tcW w:w="3856" w:type="dxa"/>
            <w:gridSpan w:val="2"/>
            <w:vAlign w:val="center"/>
          </w:tcPr>
          <w:p w:rsidR="005D16AE" w:rsidRPr="006B7F19" w:rsidRDefault="00766DE5" w:rsidP="00682F2F">
            <w:pPr>
              <w:pStyle w:val="BoiteVakje"/>
              <w:rPr>
                <w:b/>
              </w:rPr>
            </w:pPr>
            <w:proofErr w:type="gramStart"/>
            <w:r>
              <w:t>nicolas</w:t>
            </w:r>
            <w:proofErr w:type="gramEnd"/>
            <w:r>
              <w:t>.strypstein@nbb.be</w:t>
            </w:r>
          </w:p>
        </w:tc>
      </w:tr>
      <w:tr w:rsidR="006B7F19" w:rsidRPr="006B7F19" w:rsidTr="004E6FD5">
        <w:trPr>
          <w:cantSplit/>
          <w:trHeight w:hRule="exact" w:val="1191"/>
        </w:trPr>
        <w:tc>
          <w:tcPr>
            <w:tcW w:w="9923" w:type="dxa"/>
            <w:gridSpan w:val="3"/>
            <w:tcMar>
              <w:top w:w="113" w:type="dxa"/>
            </w:tcMar>
            <w:vAlign w:val="bottom"/>
          </w:tcPr>
          <w:p w:rsidR="005D16AE" w:rsidRPr="006B7F19" w:rsidRDefault="005D16AE" w:rsidP="005C1AD1">
            <w:pPr>
              <w:tabs>
                <w:tab w:val="clear" w:pos="284"/>
              </w:tabs>
              <w:autoSpaceDE w:val="0"/>
              <w:autoSpaceDN w:val="0"/>
              <w:adjustRightInd w:val="0"/>
              <w:spacing w:line="240" w:lineRule="auto"/>
              <w:jc w:val="both"/>
            </w:pPr>
            <w:r>
              <w:rPr>
                <w:b/>
              </w:rPr>
              <w:t>Circulaire aan de financiële instellingen over verwervingen, vergrotingen, verkleiningen of overdrachten van gekwalificeerde deelnemingen</w:t>
            </w:r>
          </w:p>
        </w:tc>
      </w:tr>
      <w:tr w:rsidR="005D16AE" w:rsidRPr="006B7F19" w:rsidTr="005D16AE">
        <w:trPr>
          <w:cantSplit/>
          <w:trHeight w:hRule="exact" w:val="397"/>
        </w:trPr>
        <w:tc>
          <w:tcPr>
            <w:tcW w:w="9923" w:type="dxa"/>
            <w:gridSpan w:val="3"/>
            <w:vAlign w:val="center"/>
          </w:tcPr>
          <w:p w:rsidR="005D16AE" w:rsidRPr="006B7F19" w:rsidRDefault="005D16AE" w:rsidP="005C1AD1">
            <w:pPr>
              <w:spacing w:line="260" w:lineRule="atLeast"/>
              <w:jc w:val="both"/>
            </w:pPr>
          </w:p>
        </w:tc>
      </w:tr>
    </w:tbl>
    <w:p w:rsidR="005D16AE" w:rsidRPr="006B7F19" w:rsidRDefault="005D16AE" w:rsidP="005C1AD1">
      <w:pPr>
        <w:tabs>
          <w:tab w:val="left" w:pos="3402"/>
        </w:tabs>
        <w:jc w:val="both"/>
      </w:pPr>
    </w:p>
    <w:p w:rsidR="005D16AE" w:rsidRPr="006B7F19" w:rsidRDefault="005D16AE" w:rsidP="005C1AD1">
      <w:pPr>
        <w:pStyle w:val="Sous-titreOndertitel"/>
        <w:jc w:val="both"/>
      </w:pPr>
      <w:r>
        <w:t>Toepassingsveld</w:t>
      </w:r>
    </w:p>
    <w:p w:rsidR="00947C4D" w:rsidRPr="00947C4D" w:rsidRDefault="00947C4D" w:rsidP="005C1AD1">
      <w:pPr>
        <w:pStyle w:val="Default"/>
        <w:numPr>
          <w:ilvl w:val="0"/>
          <w:numId w:val="38"/>
        </w:numPr>
        <w:spacing w:before="120" w:after="60"/>
        <w:jc w:val="both"/>
        <w:rPr>
          <w:rFonts w:ascii="Arial" w:hAnsi="Arial" w:cs="Arial"/>
          <w:sz w:val="22"/>
          <w:szCs w:val="22"/>
        </w:rPr>
      </w:pPr>
      <w:r>
        <w:rPr>
          <w:rFonts w:ascii="Arial" w:hAnsi="Arial"/>
          <w:i/>
          <w:sz w:val="22"/>
        </w:rPr>
        <w:t>kredietinstellingen naar Belgisch recht</w:t>
      </w:r>
    </w:p>
    <w:p w:rsidR="00947C4D" w:rsidRPr="00947C4D" w:rsidRDefault="00947C4D" w:rsidP="005C1AD1">
      <w:pPr>
        <w:pStyle w:val="Default"/>
        <w:numPr>
          <w:ilvl w:val="0"/>
          <w:numId w:val="38"/>
        </w:numPr>
        <w:spacing w:before="120" w:after="60"/>
        <w:jc w:val="both"/>
        <w:rPr>
          <w:rFonts w:ascii="Arial" w:hAnsi="Arial" w:cs="Arial"/>
          <w:i/>
          <w:iCs/>
          <w:sz w:val="22"/>
          <w:szCs w:val="22"/>
        </w:rPr>
      </w:pPr>
      <w:r>
        <w:rPr>
          <w:rFonts w:ascii="Arial" w:hAnsi="Arial"/>
          <w:i/>
          <w:sz w:val="22"/>
        </w:rPr>
        <w:t>verzekeringsondernemingen naar Belgisch recht</w:t>
      </w:r>
    </w:p>
    <w:p w:rsidR="00947C4D" w:rsidRPr="00947C4D" w:rsidRDefault="00947C4D" w:rsidP="005C1AD1">
      <w:pPr>
        <w:pStyle w:val="Default"/>
        <w:numPr>
          <w:ilvl w:val="0"/>
          <w:numId w:val="38"/>
        </w:numPr>
        <w:spacing w:before="120" w:after="60"/>
        <w:jc w:val="both"/>
        <w:rPr>
          <w:rFonts w:ascii="Arial" w:hAnsi="Arial" w:cs="Arial"/>
          <w:i/>
          <w:iCs/>
          <w:sz w:val="22"/>
          <w:szCs w:val="22"/>
        </w:rPr>
      </w:pPr>
      <w:r>
        <w:rPr>
          <w:rFonts w:ascii="Arial" w:hAnsi="Arial"/>
          <w:i/>
          <w:sz w:val="22"/>
        </w:rPr>
        <w:t>herverzekeringsondernemingen naar Belgisch recht</w:t>
      </w:r>
    </w:p>
    <w:p w:rsidR="00947C4D" w:rsidRPr="00947C4D" w:rsidRDefault="00947C4D" w:rsidP="005C1AD1">
      <w:pPr>
        <w:pStyle w:val="Default"/>
        <w:numPr>
          <w:ilvl w:val="0"/>
          <w:numId w:val="38"/>
        </w:numPr>
        <w:spacing w:before="120" w:after="60"/>
        <w:jc w:val="both"/>
        <w:rPr>
          <w:rFonts w:ascii="Arial" w:hAnsi="Arial" w:cs="Arial"/>
          <w:sz w:val="22"/>
          <w:szCs w:val="22"/>
        </w:rPr>
      </w:pPr>
      <w:r>
        <w:rPr>
          <w:rFonts w:ascii="Arial" w:hAnsi="Arial"/>
          <w:i/>
          <w:sz w:val="22"/>
        </w:rPr>
        <w:t>beursvennootschappen naar Belgisch recht</w:t>
      </w:r>
    </w:p>
    <w:p w:rsidR="00947C4D" w:rsidRPr="00947C4D" w:rsidRDefault="00947C4D" w:rsidP="005C1AD1">
      <w:pPr>
        <w:pStyle w:val="Default"/>
        <w:numPr>
          <w:ilvl w:val="0"/>
          <w:numId w:val="38"/>
        </w:numPr>
        <w:spacing w:before="120" w:after="60"/>
        <w:jc w:val="both"/>
        <w:rPr>
          <w:rFonts w:ascii="Arial" w:hAnsi="Arial" w:cs="Arial"/>
          <w:sz w:val="22"/>
          <w:szCs w:val="22"/>
        </w:rPr>
      </w:pPr>
      <w:r>
        <w:rPr>
          <w:rFonts w:ascii="Arial" w:hAnsi="Arial"/>
          <w:i/>
          <w:sz w:val="22"/>
        </w:rPr>
        <w:t>financiële holdings naar Belgisch recht</w:t>
      </w:r>
    </w:p>
    <w:p w:rsidR="00947C4D" w:rsidRPr="00947C4D" w:rsidRDefault="00947C4D" w:rsidP="005C1AD1">
      <w:pPr>
        <w:pStyle w:val="Default"/>
        <w:numPr>
          <w:ilvl w:val="0"/>
          <w:numId w:val="38"/>
        </w:numPr>
        <w:spacing w:before="120" w:after="60"/>
        <w:jc w:val="both"/>
        <w:rPr>
          <w:rFonts w:ascii="Arial" w:hAnsi="Arial" w:cs="Arial"/>
          <w:sz w:val="22"/>
          <w:szCs w:val="22"/>
        </w:rPr>
      </w:pPr>
      <w:r>
        <w:rPr>
          <w:rFonts w:ascii="Arial" w:hAnsi="Arial"/>
          <w:i/>
          <w:sz w:val="22"/>
        </w:rPr>
        <w:t>verzekeringsholdings naar Belgisch recht</w:t>
      </w:r>
    </w:p>
    <w:p w:rsidR="00947C4D" w:rsidRPr="00947C4D" w:rsidRDefault="00947C4D" w:rsidP="005C1AD1">
      <w:pPr>
        <w:pStyle w:val="Default"/>
        <w:numPr>
          <w:ilvl w:val="0"/>
          <w:numId w:val="38"/>
        </w:numPr>
        <w:spacing w:before="120" w:after="60"/>
        <w:jc w:val="both"/>
        <w:rPr>
          <w:rFonts w:ascii="Arial" w:hAnsi="Arial" w:cs="Arial"/>
          <w:sz w:val="22"/>
          <w:szCs w:val="22"/>
        </w:rPr>
      </w:pPr>
      <w:r>
        <w:rPr>
          <w:rFonts w:ascii="Arial" w:hAnsi="Arial"/>
          <w:i/>
          <w:sz w:val="22"/>
        </w:rPr>
        <w:t>gemengde financiële holdings naar Belgisch recht</w:t>
      </w:r>
    </w:p>
    <w:p w:rsidR="005D16AE" w:rsidRPr="00947C4D" w:rsidRDefault="00947C4D" w:rsidP="005C1AD1">
      <w:pPr>
        <w:tabs>
          <w:tab w:val="clear" w:pos="284"/>
        </w:tabs>
        <w:autoSpaceDE w:val="0"/>
        <w:autoSpaceDN w:val="0"/>
        <w:adjustRightInd w:val="0"/>
        <w:spacing w:line="240" w:lineRule="auto"/>
        <w:jc w:val="both"/>
        <w:rPr>
          <w:i/>
          <w:sz w:val="22"/>
          <w:szCs w:val="22"/>
        </w:rPr>
      </w:pPr>
      <w:r>
        <w:rPr>
          <w:i/>
          <w:sz w:val="22"/>
        </w:rPr>
        <w:t>(deze instellingen worden hierna gezamenlijk 'financiële instellingen' genoemd)</w:t>
      </w:r>
      <w:r w:rsidR="002E7D83">
        <w:rPr>
          <w:i/>
          <w:sz w:val="22"/>
        </w:rPr>
        <w:t>.</w:t>
      </w:r>
    </w:p>
    <w:p w:rsidR="00947C4D" w:rsidRDefault="00947C4D" w:rsidP="005C1AD1">
      <w:pPr>
        <w:pStyle w:val="Sous-titreOndertitel"/>
        <w:jc w:val="both"/>
      </w:pPr>
    </w:p>
    <w:p w:rsidR="005D16AE" w:rsidRPr="006B7F19" w:rsidRDefault="005D16AE" w:rsidP="005C1AD1">
      <w:pPr>
        <w:pStyle w:val="Sous-titreOndertitel"/>
        <w:jc w:val="both"/>
      </w:pPr>
      <w:r>
        <w:t>Samenvatting/Doelstelling</w:t>
      </w:r>
    </w:p>
    <w:p w:rsidR="005D16AE" w:rsidRDefault="005D16AE" w:rsidP="005C1AD1">
      <w:pPr>
        <w:tabs>
          <w:tab w:val="clear" w:pos="284"/>
        </w:tabs>
        <w:autoSpaceDE w:val="0"/>
        <w:autoSpaceDN w:val="0"/>
        <w:adjustRightInd w:val="0"/>
        <w:spacing w:before="120" w:line="240" w:lineRule="auto"/>
        <w:jc w:val="both"/>
        <w:rPr>
          <w:i/>
          <w:sz w:val="22"/>
        </w:rPr>
      </w:pPr>
      <w:r>
        <w:rPr>
          <w:i/>
          <w:sz w:val="22"/>
        </w:rPr>
        <w:t>Naast de wettelijke kennisgevingsverplichtingen waaraan de kandidaat-verwervers moeten voldoen, leggen de prudentiële wetten aan de financiële instellingen zelf een aantal verplichtingen op tot occasionele en periodieke kennisgeving aan de toezichthouder.</w:t>
      </w:r>
    </w:p>
    <w:p w:rsidR="005D16AE" w:rsidRPr="006B7F19" w:rsidRDefault="005D16AE" w:rsidP="005C1AD1">
      <w:pPr>
        <w:tabs>
          <w:tab w:val="clear" w:pos="284"/>
        </w:tabs>
        <w:autoSpaceDE w:val="0"/>
        <w:autoSpaceDN w:val="0"/>
        <w:adjustRightInd w:val="0"/>
        <w:spacing w:line="240" w:lineRule="auto"/>
        <w:jc w:val="both"/>
        <w:rPr>
          <w:i/>
          <w:sz w:val="22"/>
        </w:rPr>
      </w:pPr>
      <w:r>
        <w:rPr>
          <w:i/>
          <w:sz w:val="22"/>
        </w:rPr>
        <w:t>In aanvulling op de mededeling van de Nationale Bank van België aan de kandidaat-verwervers en de aandeelhouders wordt in deze circulaire aangegeven hoe de financiële instellingen concreet te werk moeten gaan om te voldoen aan deze verplichtingen.</w:t>
      </w:r>
    </w:p>
    <w:p w:rsidR="00620BFC" w:rsidRDefault="00620BFC" w:rsidP="005C1AD1">
      <w:pPr>
        <w:pStyle w:val="Sous-titreOndertitel"/>
        <w:jc w:val="both"/>
      </w:pPr>
    </w:p>
    <w:p w:rsidR="00947C4D" w:rsidRPr="00947C4D" w:rsidRDefault="00947C4D" w:rsidP="005C1AD1">
      <w:pPr>
        <w:tabs>
          <w:tab w:val="clear" w:pos="284"/>
        </w:tabs>
        <w:autoSpaceDE w:val="0"/>
        <w:autoSpaceDN w:val="0"/>
        <w:adjustRightInd w:val="0"/>
        <w:spacing w:before="120" w:line="240" w:lineRule="auto"/>
        <w:jc w:val="both"/>
        <w:rPr>
          <w:rFonts w:cs="Arial"/>
          <w:i/>
          <w:iCs/>
          <w:sz w:val="22"/>
          <w:szCs w:val="22"/>
          <w:u w:val="single"/>
        </w:rPr>
      </w:pPr>
      <w:r>
        <w:rPr>
          <w:i/>
          <w:sz w:val="22"/>
          <w:u w:val="single"/>
        </w:rPr>
        <w:t>Juridische basis</w:t>
      </w:r>
    </w:p>
    <w:p w:rsidR="00947C4D" w:rsidRPr="00947C4D" w:rsidRDefault="00947C4D" w:rsidP="005C1AD1">
      <w:pPr>
        <w:pStyle w:val="ListParagraph"/>
        <w:numPr>
          <w:ilvl w:val="0"/>
          <w:numId w:val="39"/>
        </w:numPr>
        <w:tabs>
          <w:tab w:val="clear" w:pos="284"/>
        </w:tabs>
        <w:autoSpaceDE w:val="0"/>
        <w:autoSpaceDN w:val="0"/>
        <w:adjustRightInd w:val="0"/>
        <w:spacing w:before="120" w:line="240" w:lineRule="auto"/>
        <w:jc w:val="both"/>
        <w:rPr>
          <w:rFonts w:cs="Arial"/>
          <w:i/>
          <w:iCs/>
          <w:sz w:val="22"/>
          <w:szCs w:val="22"/>
        </w:rPr>
      </w:pPr>
      <w:proofErr w:type="gramStart"/>
      <w:r>
        <w:rPr>
          <w:i/>
          <w:sz w:val="22"/>
        </w:rPr>
        <w:t xml:space="preserve">Wet van 13 maart 2016 op het statuut van en het toezicht op de verzekerings- of herverzekeringsondernemingen: artikelen 71 (verzekerings- of herverzekeringsondernemingen) en 443 (verzekeringsholdings en gemengde financiële holdings die deel uitmaken van een verzekeringsgroep); en </w:t>
      </w:r>
      <w:proofErr w:type="gramEnd"/>
    </w:p>
    <w:p w:rsidR="00947C4D" w:rsidRPr="00947C4D" w:rsidRDefault="00947C4D" w:rsidP="005C1AD1">
      <w:pPr>
        <w:pStyle w:val="ListParagraph"/>
        <w:numPr>
          <w:ilvl w:val="0"/>
          <w:numId w:val="39"/>
        </w:numPr>
        <w:tabs>
          <w:tab w:val="clear" w:pos="284"/>
        </w:tabs>
        <w:autoSpaceDE w:val="0"/>
        <w:autoSpaceDN w:val="0"/>
        <w:adjustRightInd w:val="0"/>
        <w:spacing w:before="120" w:line="240" w:lineRule="auto"/>
        <w:jc w:val="both"/>
        <w:rPr>
          <w:rFonts w:cs="Arial"/>
          <w:i/>
          <w:iCs/>
          <w:sz w:val="22"/>
          <w:szCs w:val="22"/>
        </w:rPr>
      </w:pPr>
      <w:r>
        <w:rPr>
          <w:i/>
          <w:sz w:val="22"/>
        </w:rPr>
        <w:t>Wet van 25 april 2014 op het statuut van en het toezicht op kredietinstellingen en beursvennootschappen: artikelen 53 (kredietinstellingen), 212 (financiële holdings en gemengde financiële holdings die deel uitmaken van een bankgroep) en 517 (beursvennootschappen).</w:t>
      </w:r>
    </w:p>
    <w:p w:rsidR="00947C4D" w:rsidRPr="00947C4D" w:rsidRDefault="00947C4D" w:rsidP="005C1AD1">
      <w:pPr>
        <w:pStyle w:val="Sous-titreOndertitel"/>
        <w:jc w:val="both"/>
      </w:pPr>
    </w:p>
    <w:p w:rsidR="00947C4D" w:rsidRPr="006B7F19" w:rsidRDefault="00947C4D" w:rsidP="005C1AD1">
      <w:pPr>
        <w:pStyle w:val="Sous-titreOndertitel"/>
        <w:jc w:val="both"/>
      </w:pPr>
    </w:p>
    <w:p w:rsidR="005D16AE" w:rsidRPr="006B7F19" w:rsidRDefault="005D16AE" w:rsidP="005C1AD1">
      <w:pPr>
        <w:pStyle w:val="Sous-titreOndertitel"/>
        <w:jc w:val="both"/>
      </w:pPr>
      <w:r>
        <w:lastRenderedPageBreak/>
        <w:t>Structuur</w:t>
      </w:r>
    </w:p>
    <w:p w:rsidR="008771A8" w:rsidRDefault="008771A8" w:rsidP="005C1AD1">
      <w:pPr>
        <w:tabs>
          <w:tab w:val="clear" w:pos="284"/>
        </w:tabs>
        <w:autoSpaceDE w:val="0"/>
        <w:autoSpaceDN w:val="0"/>
        <w:adjustRightInd w:val="0"/>
        <w:spacing w:line="240" w:lineRule="auto"/>
        <w:jc w:val="both"/>
        <w:rPr>
          <w:i/>
          <w:sz w:val="22"/>
        </w:rPr>
      </w:pPr>
      <w:r>
        <w:rPr>
          <w:i/>
          <w:sz w:val="22"/>
        </w:rPr>
        <w:t xml:space="preserve">1. Context en doelstellingen </w:t>
      </w:r>
    </w:p>
    <w:p w:rsidR="008771A8" w:rsidRPr="006B7F19" w:rsidRDefault="008771A8" w:rsidP="005C1AD1">
      <w:pPr>
        <w:tabs>
          <w:tab w:val="clear" w:pos="284"/>
        </w:tabs>
        <w:autoSpaceDE w:val="0"/>
        <w:autoSpaceDN w:val="0"/>
        <w:adjustRightInd w:val="0"/>
        <w:spacing w:line="240" w:lineRule="auto"/>
        <w:jc w:val="both"/>
        <w:rPr>
          <w:i/>
          <w:sz w:val="22"/>
        </w:rPr>
      </w:pPr>
      <w:r>
        <w:rPr>
          <w:i/>
          <w:sz w:val="22"/>
        </w:rPr>
        <w:t>2. Occasionele kennisgevingen</w:t>
      </w:r>
    </w:p>
    <w:p w:rsidR="008771A8" w:rsidRPr="006B7F19" w:rsidRDefault="008771A8" w:rsidP="005C1AD1">
      <w:pPr>
        <w:jc w:val="both"/>
        <w:rPr>
          <w:i/>
          <w:sz w:val="22"/>
        </w:rPr>
      </w:pPr>
      <w:r>
        <w:rPr>
          <w:i/>
          <w:sz w:val="22"/>
        </w:rPr>
        <w:t>3. Jaarlijkse kennisgevingen</w:t>
      </w:r>
    </w:p>
    <w:p w:rsidR="005D16AE" w:rsidRDefault="008771A8" w:rsidP="005C1AD1">
      <w:pPr>
        <w:tabs>
          <w:tab w:val="clear" w:pos="284"/>
        </w:tabs>
        <w:autoSpaceDE w:val="0"/>
        <w:autoSpaceDN w:val="0"/>
        <w:adjustRightInd w:val="0"/>
        <w:spacing w:line="240" w:lineRule="auto"/>
        <w:jc w:val="both"/>
        <w:rPr>
          <w:i/>
          <w:sz w:val="22"/>
        </w:rPr>
      </w:pPr>
      <w:r>
        <w:rPr>
          <w:i/>
          <w:sz w:val="22"/>
        </w:rPr>
        <w:t xml:space="preserve">4. Regels voor het overmaken van de vereiste </w:t>
      </w:r>
      <w:r w:rsidR="00B06300">
        <w:rPr>
          <w:i/>
          <w:sz w:val="22"/>
        </w:rPr>
        <w:t>verklaringen</w:t>
      </w:r>
    </w:p>
    <w:p w:rsidR="0018502B" w:rsidRPr="006B7F19" w:rsidRDefault="0018502B" w:rsidP="005C1AD1">
      <w:pPr>
        <w:tabs>
          <w:tab w:val="clear" w:pos="284"/>
        </w:tabs>
        <w:autoSpaceDE w:val="0"/>
        <w:autoSpaceDN w:val="0"/>
        <w:adjustRightInd w:val="0"/>
        <w:spacing w:line="240" w:lineRule="auto"/>
        <w:jc w:val="both"/>
        <w:rPr>
          <w:i/>
          <w:sz w:val="22"/>
        </w:rPr>
      </w:pPr>
      <w:r>
        <w:rPr>
          <w:i/>
          <w:sz w:val="22"/>
        </w:rPr>
        <w:t>5. Inwerkingtreding</w:t>
      </w:r>
    </w:p>
    <w:p w:rsidR="008771A8" w:rsidRDefault="008771A8" w:rsidP="005C1AD1">
      <w:pPr>
        <w:tabs>
          <w:tab w:val="clear" w:pos="284"/>
        </w:tabs>
        <w:spacing w:line="240" w:lineRule="auto"/>
        <w:jc w:val="both"/>
      </w:pPr>
    </w:p>
    <w:p w:rsidR="00E96BA3" w:rsidRDefault="00E96BA3" w:rsidP="005C1AD1">
      <w:pPr>
        <w:tabs>
          <w:tab w:val="clear" w:pos="284"/>
        </w:tabs>
        <w:autoSpaceDE w:val="0"/>
        <w:autoSpaceDN w:val="0"/>
        <w:adjustRightInd w:val="0"/>
        <w:jc w:val="both"/>
        <w:rPr>
          <w:rFonts w:cs="Arial"/>
        </w:rPr>
      </w:pPr>
    </w:p>
    <w:p w:rsidR="00E96BA3" w:rsidRDefault="00E96BA3" w:rsidP="005C1AD1">
      <w:pPr>
        <w:tabs>
          <w:tab w:val="clear" w:pos="284"/>
        </w:tabs>
        <w:autoSpaceDE w:val="0"/>
        <w:autoSpaceDN w:val="0"/>
        <w:adjustRightInd w:val="0"/>
        <w:jc w:val="both"/>
        <w:rPr>
          <w:rFonts w:cs="Arial"/>
        </w:rPr>
      </w:pPr>
    </w:p>
    <w:p w:rsidR="00E96BA3" w:rsidRDefault="00E96BA3" w:rsidP="005C1AD1">
      <w:pPr>
        <w:tabs>
          <w:tab w:val="clear" w:pos="284"/>
        </w:tabs>
        <w:autoSpaceDE w:val="0"/>
        <w:autoSpaceDN w:val="0"/>
        <w:adjustRightInd w:val="0"/>
        <w:jc w:val="both"/>
        <w:rPr>
          <w:rFonts w:cs="Arial"/>
        </w:rPr>
      </w:pPr>
    </w:p>
    <w:p w:rsidR="005D16AE" w:rsidRPr="006B7F19" w:rsidRDefault="005D16AE" w:rsidP="005C1AD1">
      <w:pPr>
        <w:tabs>
          <w:tab w:val="clear" w:pos="284"/>
        </w:tabs>
        <w:autoSpaceDE w:val="0"/>
        <w:autoSpaceDN w:val="0"/>
        <w:adjustRightInd w:val="0"/>
        <w:jc w:val="both"/>
        <w:rPr>
          <w:rFonts w:cs="Arial"/>
        </w:rPr>
      </w:pPr>
      <w:r>
        <w:t>Geachte mevrouw,</w:t>
      </w:r>
    </w:p>
    <w:p w:rsidR="005D16AE" w:rsidRPr="006B7F19" w:rsidRDefault="005D16AE" w:rsidP="005C1AD1">
      <w:pPr>
        <w:tabs>
          <w:tab w:val="clear" w:pos="284"/>
        </w:tabs>
        <w:autoSpaceDE w:val="0"/>
        <w:autoSpaceDN w:val="0"/>
        <w:adjustRightInd w:val="0"/>
        <w:jc w:val="both"/>
        <w:rPr>
          <w:rFonts w:cs="Arial"/>
        </w:rPr>
      </w:pPr>
      <w:r>
        <w:t>Geachte heer,</w:t>
      </w:r>
    </w:p>
    <w:p w:rsidR="005D16AE" w:rsidRPr="006B7F19" w:rsidRDefault="005D16AE" w:rsidP="005C1AD1">
      <w:pPr>
        <w:tabs>
          <w:tab w:val="clear" w:pos="284"/>
        </w:tabs>
        <w:autoSpaceDE w:val="0"/>
        <w:autoSpaceDN w:val="0"/>
        <w:adjustRightInd w:val="0"/>
        <w:spacing w:before="240" w:after="240"/>
        <w:jc w:val="both"/>
        <w:rPr>
          <w:rFonts w:cs="Arial"/>
        </w:rPr>
      </w:pPr>
      <w:r>
        <w:t>Uit prudentieel oogpunt is het van wezenlijk belang dat de personen die het beleid van een financiële instelling kunnen beïnvloeden met hun rechtstreekse of onrechtstreekse deelnemingen in haar kapitaal, blijk geven van welbepaalde kwaliteiten die er borg voor staan dat zij hun invloed zullen aanwenden om te ijveren voor een gezond en voorzichtig beleid van de instelling.</w:t>
      </w:r>
    </w:p>
    <w:p w:rsidR="005D16AE" w:rsidRDefault="005D16AE" w:rsidP="005C1AD1">
      <w:pPr>
        <w:tabs>
          <w:tab w:val="clear" w:pos="284"/>
        </w:tabs>
        <w:autoSpaceDE w:val="0"/>
        <w:autoSpaceDN w:val="0"/>
        <w:adjustRightInd w:val="0"/>
        <w:spacing w:before="240" w:after="240"/>
        <w:jc w:val="both"/>
        <w:rPr>
          <w:rFonts w:cs="Arial"/>
        </w:rPr>
      </w:pPr>
      <w:proofErr w:type="gramStart"/>
      <w:r>
        <w:t>Deze</w:t>
      </w:r>
      <w:proofErr w:type="gramEnd"/>
      <w:r>
        <w:t xml:space="preserve"> prudentiële vereiste is niet enkel een basisvoorwaarde om een vergunning te verkrijgen, maar blijft ook gehandhaafd in de daaropvolgende fases, waar zij met name terug te vinden is in de vorm van de prudentiële beoordeling die gemaakt moet worden van de kwaliteiten van de natuurlijke en rechtspersonen die besloten hebben om een deelneming te verwerven in het kapitaal van de financiële instelling of om hun deelneming aanzienlijk te vergroten. Deze prudentiële beoordeling moet </w:t>
      </w:r>
      <w:proofErr w:type="gramStart"/>
      <w:r>
        <w:t>evenwel</w:t>
      </w:r>
      <w:proofErr w:type="gramEnd"/>
      <w:r>
        <w:t xml:space="preserve"> zodanig worden verricht dat zij de verwervingen in de financiële sector niet overmatig belemmert.</w:t>
      </w:r>
    </w:p>
    <w:p w:rsidR="008771A8" w:rsidRPr="008771A8" w:rsidRDefault="008771A8" w:rsidP="005C1AD1">
      <w:pPr>
        <w:tabs>
          <w:tab w:val="clear" w:pos="284"/>
        </w:tabs>
        <w:autoSpaceDE w:val="0"/>
        <w:autoSpaceDN w:val="0"/>
        <w:adjustRightInd w:val="0"/>
        <w:spacing w:before="240" w:after="240"/>
        <w:jc w:val="both"/>
        <w:rPr>
          <w:rFonts w:cs="Arial"/>
          <w:b/>
          <w:u w:val="single"/>
        </w:rPr>
      </w:pPr>
      <w:r>
        <w:rPr>
          <w:b/>
          <w:u w:val="single"/>
        </w:rPr>
        <w:t xml:space="preserve">1. Context en doelstellingen </w:t>
      </w:r>
    </w:p>
    <w:p w:rsidR="00E63E0F" w:rsidRDefault="00E63E0F" w:rsidP="005C1AD1">
      <w:pPr>
        <w:tabs>
          <w:tab w:val="clear" w:pos="284"/>
        </w:tabs>
        <w:autoSpaceDE w:val="0"/>
        <w:autoSpaceDN w:val="0"/>
        <w:adjustRightInd w:val="0"/>
        <w:spacing w:before="240" w:after="240"/>
        <w:jc w:val="both"/>
        <w:rPr>
          <w:rFonts w:cs="Arial"/>
        </w:rPr>
      </w:pPr>
      <w:r>
        <w:t>Na de publicatie op 5 mei 2017 van de gemeenschappelijke richtsnoeren van de Europese toezichthoudende autoriteiten of 'ESA's' (namelijk de Europese Bankautoriteit, de Europese Autoriteit voor Verzekeringen en Bedrijfspensioenen en de Europese Autoriteit voor Effecten en Markten) betreffende de prudentiële beoordeling van de verwervingen en van de vergrotingen van gekwalificeerde deelnemingen in de entiteiten uit de financiële sector</w:t>
      </w:r>
      <w:r>
        <w:rPr>
          <w:rStyle w:val="FootnoteReference"/>
        </w:rPr>
        <w:footnoteReference w:id="2"/>
      </w:r>
      <w:r>
        <w:t>, heeft de Nationale Bank van België voor de kandidaat-verwervers van een gekwalificeerde deelneming en voor de aandeelhouders op haar website 'mededeling NBB</w:t>
      </w:r>
      <w:r w:rsidRPr="002E7D83">
        <w:t>_</w:t>
      </w:r>
      <w:r w:rsidR="002E7D83" w:rsidRPr="002A5E10">
        <w:t>2017</w:t>
      </w:r>
      <w:r w:rsidRPr="002A5E10">
        <w:t>_</w:t>
      </w:r>
      <w:r w:rsidR="00611D42" w:rsidRPr="002A5E10">
        <w:t>22</w:t>
      </w:r>
      <w:r>
        <w:t xml:space="preserve"> aan de personen die voornemens zijn een gekwalificeerde deelneming in het kapitaal van een financiële instelling te verwerven, te vergroten, te verkleinen of over te dragen, en aan de personen die een gekwalificeerde deelneming bezitten', gepubliceerd, ter vervanging van de voormalige mededeling CBFA_2009_31.</w:t>
      </w:r>
    </w:p>
    <w:p w:rsidR="00E63E0F" w:rsidRDefault="00E63E0F" w:rsidP="005C1AD1">
      <w:pPr>
        <w:tabs>
          <w:tab w:val="clear" w:pos="284"/>
        </w:tabs>
        <w:autoSpaceDE w:val="0"/>
        <w:autoSpaceDN w:val="0"/>
        <w:adjustRightInd w:val="0"/>
        <w:spacing w:before="240" w:after="240"/>
        <w:jc w:val="both"/>
        <w:rPr>
          <w:rFonts w:cs="Arial"/>
        </w:rPr>
      </w:pPr>
      <w:r>
        <w:t xml:space="preserve">In deze mededeling wordt </w:t>
      </w:r>
      <w:proofErr w:type="gramStart"/>
      <w:r>
        <w:t>met name</w:t>
      </w:r>
      <w:proofErr w:type="gramEnd"/>
      <w:r>
        <w:t xml:space="preserve"> een gedetailleerd overzicht gegeven van de omstandigheden waarin de kandidaat-verwervers of -overdragers verplicht zijn om hun voornemen te melden aan de bevoegde toezichthouder</w:t>
      </w:r>
      <w:r>
        <w:rPr>
          <w:rStyle w:val="FootnoteReference"/>
        </w:rPr>
        <w:footnoteReference w:id="3"/>
      </w:r>
      <w:r>
        <w:t xml:space="preserve">, van de praktische aspecten van de kennisgevingsprocedure en het </w:t>
      </w:r>
      <w:proofErr w:type="spellStart"/>
      <w:r>
        <w:t>prudentiëlebeoordelingsproces</w:t>
      </w:r>
      <w:proofErr w:type="spellEnd"/>
      <w:r>
        <w:t xml:space="preserve">, en van de procedure die aandeelhouders moeten volgen als er nieuwe elementen opduiken die hun beoordeling kunnen beïnvloeden.  Bij deze mededeling zijn </w:t>
      </w:r>
      <w:proofErr w:type="gramStart"/>
      <w:r>
        <w:t>met name</w:t>
      </w:r>
      <w:proofErr w:type="gramEnd"/>
      <w:r>
        <w:t xml:space="preserve"> een aantal kennisgevingsformulieren gevoegd. De kandidaat-verwervers en de aandeelhouders worden nadrukkelijk verzocht deze te gebruiken.</w:t>
      </w:r>
    </w:p>
    <w:p w:rsidR="000E5338" w:rsidRPr="006B7F19" w:rsidRDefault="000E5338" w:rsidP="005C1AD1">
      <w:pPr>
        <w:tabs>
          <w:tab w:val="clear" w:pos="284"/>
        </w:tabs>
        <w:autoSpaceDE w:val="0"/>
        <w:autoSpaceDN w:val="0"/>
        <w:adjustRightInd w:val="0"/>
        <w:spacing w:before="240" w:after="240"/>
        <w:jc w:val="both"/>
        <w:rPr>
          <w:rFonts w:cs="Arial"/>
        </w:rPr>
      </w:pPr>
      <w:r>
        <w:lastRenderedPageBreak/>
        <w:t>Naast de wettelijke kennisgevingsverplichtingen waaraan de kandidaat-verwervers moeten voldoen, leggen de prudentiële wetten aan de financiële instellingen zelf een aantal verplichtingen op tot occasionele en periodieke kennisgeving aan de toezichthouder.</w:t>
      </w:r>
    </w:p>
    <w:p w:rsidR="000E5338" w:rsidRDefault="000E5338" w:rsidP="005C1AD1">
      <w:pPr>
        <w:tabs>
          <w:tab w:val="clear" w:pos="284"/>
        </w:tabs>
        <w:autoSpaceDE w:val="0"/>
        <w:autoSpaceDN w:val="0"/>
        <w:adjustRightInd w:val="0"/>
        <w:spacing w:before="240" w:after="240"/>
        <w:jc w:val="both"/>
        <w:rPr>
          <w:rFonts w:cs="Arial"/>
        </w:rPr>
      </w:pPr>
      <w:r>
        <w:t>In aanvulling op de voormelde mededeling van de Nationale Bank van België aan de kandidaat-verwervers en de aandeelhouders wordt in deze circulaire aangegeven hoe de financiële instellingen concreet te werk moeten gaan om te voldoen aan deze kennisgevingsverplichtingen.</w:t>
      </w:r>
    </w:p>
    <w:p w:rsidR="005D16AE" w:rsidRPr="008771A8" w:rsidRDefault="008771A8" w:rsidP="005C1AD1">
      <w:pPr>
        <w:tabs>
          <w:tab w:val="clear" w:pos="284"/>
        </w:tabs>
        <w:autoSpaceDE w:val="0"/>
        <w:autoSpaceDN w:val="0"/>
        <w:adjustRightInd w:val="0"/>
        <w:spacing w:before="240" w:after="240"/>
        <w:jc w:val="both"/>
        <w:rPr>
          <w:rFonts w:cs="Arial"/>
          <w:b/>
          <w:bCs/>
          <w:u w:val="single"/>
        </w:rPr>
      </w:pPr>
      <w:r>
        <w:rPr>
          <w:b/>
          <w:u w:val="single"/>
        </w:rPr>
        <w:t xml:space="preserve">2. Occasionele kennisgevingen </w:t>
      </w:r>
    </w:p>
    <w:p w:rsidR="005D16AE" w:rsidRPr="006B7F19" w:rsidRDefault="005D16AE" w:rsidP="005C1AD1">
      <w:pPr>
        <w:tabs>
          <w:tab w:val="clear" w:pos="284"/>
        </w:tabs>
        <w:autoSpaceDE w:val="0"/>
        <w:autoSpaceDN w:val="0"/>
        <w:adjustRightInd w:val="0"/>
        <w:spacing w:before="240" w:after="240"/>
        <w:jc w:val="both"/>
        <w:rPr>
          <w:rFonts w:cs="Arial"/>
        </w:rPr>
      </w:pPr>
      <w:proofErr w:type="gramStart"/>
      <w:r>
        <w:t>Krachtens</w:t>
      </w:r>
      <w:proofErr w:type="gramEnd"/>
      <w:r>
        <w:t xml:space="preserve"> de bovenstaande wettelijke bepalingen moeten financiële instellingen de toezichthouder, zodra zij daarvan kennis hebben, op de hoogte te brengen van de verwervingen of overdrachten van hun aandelen die voor de overnemer of overdrager een stijging boven of daling onder een van de wettelijk vastgestelde kennisgevingsdrempels tot gevolg hebben. Dat is het geval indien de betrokken deelneming:</w:t>
      </w:r>
    </w:p>
    <w:p w:rsidR="005D16AE" w:rsidRPr="006B7F19" w:rsidRDefault="005D16AE" w:rsidP="005C1AD1">
      <w:pPr>
        <w:pStyle w:val="ListParagraph"/>
        <w:numPr>
          <w:ilvl w:val="0"/>
          <w:numId w:val="37"/>
        </w:numPr>
        <w:tabs>
          <w:tab w:val="clear" w:pos="284"/>
        </w:tabs>
        <w:autoSpaceDE w:val="0"/>
        <w:autoSpaceDN w:val="0"/>
        <w:adjustRightInd w:val="0"/>
        <w:spacing w:before="240" w:after="240"/>
        <w:jc w:val="both"/>
        <w:rPr>
          <w:rFonts w:cs="Arial"/>
        </w:rPr>
      </w:pPr>
      <w:r>
        <w:t>de kenmerken van een gekwalificeerde deelneming krijgt of verliest (namelijk een deelneming die hoger is dan of gelijk is aan 10 % van het kapitaal of de stemrechten, of een deelneming die onder deze drempel ligt maar de aandeelhouder in staat stelt om een invloed van betekenis uit te oefenen op het beleid van de financiële instelling),</w:t>
      </w:r>
    </w:p>
    <w:p w:rsidR="005D16AE" w:rsidRPr="006B7F19" w:rsidRDefault="005D16AE" w:rsidP="005C1AD1">
      <w:pPr>
        <w:pStyle w:val="ListParagraph"/>
        <w:numPr>
          <w:ilvl w:val="0"/>
          <w:numId w:val="37"/>
        </w:numPr>
        <w:tabs>
          <w:tab w:val="clear" w:pos="284"/>
        </w:tabs>
        <w:autoSpaceDE w:val="0"/>
        <w:autoSpaceDN w:val="0"/>
        <w:adjustRightInd w:val="0"/>
        <w:spacing w:before="240" w:after="240"/>
        <w:jc w:val="both"/>
        <w:rPr>
          <w:rFonts w:cs="Arial"/>
        </w:rPr>
      </w:pPr>
      <w:r>
        <w:t>onder een drempel van 20 %, 30 % of 50 % daalt of een van deze drempels overschrijdt,</w:t>
      </w:r>
    </w:p>
    <w:p w:rsidR="005D16AE" w:rsidRPr="006B7F19" w:rsidRDefault="005D16AE" w:rsidP="005C1AD1">
      <w:pPr>
        <w:pStyle w:val="ListParagraph"/>
        <w:numPr>
          <w:ilvl w:val="0"/>
          <w:numId w:val="37"/>
        </w:numPr>
        <w:tabs>
          <w:tab w:val="clear" w:pos="284"/>
        </w:tabs>
        <w:autoSpaceDE w:val="0"/>
        <w:autoSpaceDN w:val="0"/>
        <w:adjustRightInd w:val="0"/>
        <w:spacing w:before="240" w:after="240"/>
        <w:jc w:val="both"/>
        <w:rPr>
          <w:rFonts w:cs="Arial"/>
        </w:rPr>
      </w:pPr>
      <w:r>
        <w:t>tot gevolg heeft dat de financiële instelling een dochteronderneming wordt of ophoudt te zijn van de persoon die de verwerving of overdracht verricht.</w:t>
      </w:r>
    </w:p>
    <w:p w:rsidR="005D16AE" w:rsidRPr="006B7F19" w:rsidRDefault="005D16AE" w:rsidP="005C1AD1">
      <w:pPr>
        <w:tabs>
          <w:tab w:val="clear" w:pos="284"/>
        </w:tabs>
        <w:autoSpaceDE w:val="0"/>
        <w:autoSpaceDN w:val="0"/>
        <w:adjustRightInd w:val="0"/>
        <w:spacing w:before="240" w:after="240"/>
        <w:jc w:val="both"/>
        <w:rPr>
          <w:rFonts w:cs="Arial"/>
        </w:rPr>
      </w:pPr>
      <w:r>
        <w:t xml:space="preserve">Er zij opgemerkt dat de kennisgevingsverplichtingen voor de kandidaat-verwervers en de overdragende aandeelhouders, enerzijds, en de financiële instellingen, anderzijds, weliswaar complementair maar </w:t>
      </w:r>
      <w:proofErr w:type="gramStart"/>
      <w:r>
        <w:t>geenszins</w:t>
      </w:r>
      <w:proofErr w:type="gramEnd"/>
      <w:r>
        <w:t xml:space="preserve"> identiek zijn. Zo zijn de kandidaat-verwervers en de overdragende aandeelhouders wettelijk verplicht om, zodra hun besluit tot verwerving of overdracht vaststaat, de toezichthouder hiervan in kennis te stellen alvorens hier werkelijk toe over te gaan, terwijl de financiële instellingen verplicht zijn om de toezichthouder in kennis te stellen van verwervingen of overdrachten van hun aandelen 'zodra zij daarvan kennis hebben'. Naargelang de omstandigheden is het dan ook mogelijk dat een financiële instelling deze kennisgeving moet verrichten vooraleer de verrichting wordt uitgevoerd, </w:t>
      </w:r>
      <w:proofErr w:type="gramStart"/>
      <w:r>
        <w:t>met name</w:t>
      </w:r>
      <w:proofErr w:type="gramEnd"/>
      <w:r>
        <w:t xml:space="preserve"> ingeval de kandidaat-verwerver of overdragende aandeelhouder haar vooraf in kennis stelt van zijn beslissing om de betrokken verrichting uit te voeren.</w:t>
      </w:r>
    </w:p>
    <w:p w:rsidR="005D16AE" w:rsidRPr="006B7F19" w:rsidRDefault="005D16AE" w:rsidP="005C1AD1">
      <w:pPr>
        <w:tabs>
          <w:tab w:val="clear" w:pos="284"/>
        </w:tabs>
        <w:autoSpaceDE w:val="0"/>
        <w:autoSpaceDN w:val="0"/>
        <w:adjustRightInd w:val="0"/>
        <w:spacing w:before="240" w:after="240"/>
        <w:jc w:val="both"/>
        <w:rPr>
          <w:rFonts w:cs="Arial"/>
        </w:rPr>
      </w:pPr>
      <w:proofErr w:type="gramStart"/>
      <w:r>
        <w:t>Daarentegen</w:t>
      </w:r>
      <w:proofErr w:type="gramEnd"/>
      <w:r>
        <w:t xml:space="preserve"> is het ook mogelijk dat deze kennisgeving pas a posteriori moet worden verricht, indien de financiële instelling pas na de effectieve uitvoering van de verwerving of overdracht van haar aandelen in kennis wordt gesteld van deze verrichting.</w:t>
      </w:r>
    </w:p>
    <w:p w:rsidR="005D16AE" w:rsidRPr="006B7F19" w:rsidRDefault="005D16AE" w:rsidP="005C1AD1">
      <w:pPr>
        <w:tabs>
          <w:tab w:val="clear" w:pos="284"/>
        </w:tabs>
        <w:autoSpaceDE w:val="0"/>
        <w:autoSpaceDN w:val="0"/>
        <w:adjustRightInd w:val="0"/>
        <w:spacing w:before="240" w:after="240"/>
        <w:jc w:val="both"/>
        <w:rPr>
          <w:rFonts w:cs="Arial"/>
        </w:rPr>
      </w:pPr>
      <w:r>
        <w:t xml:space="preserve">Deze kennisgevingen aan de toezichthouder kunnen gebaseerd zijn op informatie die de financiële instelling uit verschillende bronnen heeft verkregen. Zo dient de financiële instelling </w:t>
      </w:r>
      <w:proofErr w:type="gramStart"/>
      <w:r>
        <w:t>met name</w:t>
      </w:r>
      <w:proofErr w:type="gramEnd"/>
      <w:r>
        <w:t xml:space="preserve"> een kennisgeving te richten aan de toezichthouder indien zij overeenkomstig artikel 515 van het Wetboek van Vennootschappen op de hoogte wordt gebracht van een verwerving of overdracht van haar aandelen, of indien zij overdrachten van aandelen op naam of van aandelen van vennoten dient te noteren in het register van de aandelen op naam of in het register van de vennoten. Meer algemeen ontstaat deze verplichting ook indien haar op rechtstreekse of onrechtstreekse wijze geloofwaardige informatie</w:t>
      </w:r>
      <w:r w:rsidR="00B06300">
        <w:rPr>
          <w:rStyle w:val="FootnoteReference"/>
        </w:rPr>
        <w:footnoteReference w:id="4"/>
      </w:r>
      <w:r>
        <w:t xml:space="preserve"> wordt medegedeeld, los van enige wettelijke of statutaire verplichting. De toezichthouder raadt de financiële instellingen eveneens aan om na elke gewone of buitengewone algemene aandeelhoudersvergadering na te gaan of uit de lijst van aanwezige aandeelhouders blijkt dat er wijzigingen zijn opgetreden in hun aandeelhoudersstructuur op grond waarvan zij verplicht zijn een occasionele kennisgeving te richten aan de toezichthouder.</w:t>
      </w:r>
    </w:p>
    <w:p w:rsidR="005D16AE" w:rsidRPr="006B7F19" w:rsidRDefault="005D16AE" w:rsidP="005C1AD1">
      <w:pPr>
        <w:tabs>
          <w:tab w:val="clear" w:pos="284"/>
        </w:tabs>
        <w:autoSpaceDE w:val="0"/>
        <w:autoSpaceDN w:val="0"/>
        <w:adjustRightInd w:val="0"/>
        <w:spacing w:before="240" w:after="240"/>
        <w:jc w:val="both"/>
        <w:rPr>
          <w:rFonts w:cs="Arial"/>
        </w:rPr>
      </w:pPr>
      <w:r>
        <w:lastRenderedPageBreak/>
        <w:t xml:space="preserve">In dergelijk geval worden de financiële instellingen verzocht om het formulier voor occasionele </w:t>
      </w:r>
      <w:r w:rsidRPr="002E7D83">
        <w:t>kennisgeving dat als bijlage 1 bij deze circulaire is gevoegd, in te vullen en in te dienen</w:t>
      </w:r>
      <w:r w:rsidR="001F7FC8" w:rsidRPr="002E7D83">
        <w:rPr>
          <w:rStyle w:val="FootnoteReference"/>
        </w:rPr>
        <w:footnoteReference w:id="5"/>
      </w:r>
      <w:r w:rsidRPr="002E7D83">
        <w:t>. Er zij bovendien</w:t>
      </w:r>
      <w:r>
        <w:t xml:space="preserve"> opgemerkt dat een financiële instelling </w:t>
      </w:r>
      <w:proofErr w:type="gramStart"/>
      <w:r>
        <w:t>geenszins</w:t>
      </w:r>
      <w:proofErr w:type="gramEnd"/>
      <w:r>
        <w:t xml:space="preserve"> is vrijgesteld van haar verplichting om een occasionele kennisgeving te verrichten ingeval de kandidaat-verwerver of de aandeelhouder die besloten heeft om zijn gekwalificeerde deelneming integraal of gedeeltelijk over te dragen, reeds heeft voldaan aan zijn wettelijke verplichting tot voorafgaande kennisgeving aan de toezichthouder.</w:t>
      </w:r>
    </w:p>
    <w:p w:rsidR="005D16AE" w:rsidRPr="006B7F19" w:rsidRDefault="005D16AE" w:rsidP="005C1AD1">
      <w:pPr>
        <w:tabs>
          <w:tab w:val="clear" w:pos="284"/>
        </w:tabs>
        <w:autoSpaceDE w:val="0"/>
        <w:autoSpaceDN w:val="0"/>
        <w:adjustRightInd w:val="0"/>
        <w:spacing w:before="240" w:after="240"/>
        <w:jc w:val="both"/>
        <w:rPr>
          <w:rFonts w:cs="Arial"/>
        </w:rPr>
      </w:pPr>
      <w:r>
        <w:t xml:space="preserve">In aanvulling op de wettelijke verplichting voor de financiële instellingen om een occasionele kennisgeving te verrichten van verwervingen en overdrachten van gekwalificeerde deelnemingen, verzoekt de toezichthouder hen eveneens om hem, in het kader van de permanente dialoog die vereist is voor een optimale uitoefening van haar prudentieel toezicht, steeds </w:t>
      </w:r>
      <w:proofErr w:type="gramStart"/>
      <w:r>
        <w:t>terstond</w:t>
      </w:r>
      <w:proofErr w:type="gramEnd"/>
      <w:r>
        <w:t xml:space="preserve"> in kennis te stellen van verwervingen of overdrachten van hun aandelen die, hoewel zij niet onder de wettelijke verplichting tot occasionele kennisgeving vallen, relevant kunnen zijn voor de prudentiële beoordeling van hun situatie. Dit is meer bepaald het geval indien de financiële instelling weet heeft van een verwerving of overdracht waardoor de verwerver of overdrager een drempel van 5 % heeft overschreden of zal overschrijden zodat hij wettelijk verplicht is om louter ter informatie een kennisgeving te richten aan de toezichthouder</w:t>
      </w:r>
      <w:r w:rsidR="000066CA">
        <w:t xml:space="preserve"> (cf. </w:t>
      </w:r>
      <w:r w:rsidR="000066CA" w:rsidRPr="002E7D83">
        <w:t>punt 3.</w:t>
      </w:r>
      <w:proofErr w:type="gramStart"/>
      <w:r w:rsidR="000066CA" w:rsidRPr="002E7D83">
        <w:t>c</w:t>
      </w:r>
      <w:proofErr w:type="gramEnd"/>
      <w:r w:rsidR="000066CA" w:rsidRPr="002E7D83">
        <w:t xml:space="preserve">) van mededeling </w:t>
      </w:r>
      <w:r w:rsidR="000066CA" w:rsidRPr="002E7D83">
        <w:rPr>
          <w:lang w:val="fr-BE"/>
        </w:rPr>
        <w:t>NBB_</w:t>
      </w:r>
      <w:r w:rsidR="002E7D83" w:rsidRPr="002E7D83">
        <w:rPr>
          <w:lang w:val="fr-BE"/>
        </w:rPr>
        <w:t>2017</w:t>
      </w:r>
      <w:r w:rsidR="000066CA" w:rsidRPr="002E7D83">
        <w:rPr>
          <w:lang w:val="fr-BE"/>
        </w:rPr>
        <w:t>_</w:t>
      </w:r>
      <w:r w:rsidR="002E7D83" w:rsidRPr="002E7D83">
        <w:rPr>
          <w:lang w:val="fr-BE"/>
        </w:rPr>
        <w:t>2</w:t>
      </w:r>
      <w:r w:rsidR="00611D42">
        <w:rPr>
          <w:lang w:val="fr-BE"/>
        </w:rPr>
        <w:t>2</w:t>
      </w:r>
      <w:r w:rsidR="000066CA" w:rsidRPr="002E7D83">
        <w:rPr>
          <w:lang w:val="fr-BE"/>
        </w:rPr>
        <w:t xml:space="preserve"> </w:t>
      </w:r>
      <w:r w:rsidR="000066CA" w:rsidRPr="002E7D83">
        <w:t>aan de personen die voornemens zijn een gekwalificeerde</w:t>
      </w:r>
      <w:r w:rsidR="000066CA">
        <w:t xml:space="preserve"> deelneming in het kapitaal van een financiële instelling te verwerven, te vergroten, te verkleinen of over te dragen, en aan de personen die een gekwalificeerde deelneming bezitten</w:t>
      </w:r>
      <w:r>
        <w:t>.</w:t>
      </w:r>
    </w:p>
    <w:p w:rsidR="005D16AE" w:rsidRPr="0018502B" w:rsidRDefault="0018502B" w:rsidP="005C1AD1">
      <w:pPr>
        <w:tabs>
          <w:tab w:val="clear" w:pos="284"/>
        </w:tabs>
        <w:autoSpaceDE w:val="0"/>
        <w:autoSpaceDN w:val="0"/>
        <w:adjustRightInd w:val="0"/>
        <w:spacing w:before="240" w:after="240"/>
        <w:jc w:val="both"/>
        <w:rPr>
          <w:rFonts w:cs="Arial"/>
          <w:b/>
          <w:bCs/>
          <w:u w:val="single"/>
        </w:rPr>
      </w:pPr>
      <w:r>
        <w:rPr>
          <w:b/>
          <w:u w:val="single"/>
        </w:rPr>
        <w:t>3. Jaarlijkse kennisgevingen</w:t>
      </w:r>
    </w:p>
    <w:p w:rsidR="005D16AE" w:rsidRPr="006B7F19" w:rsidRDefault="005D16AE" w:rsidP="005C1AD1">
      <w:pPr>
        <w:tabs>
          <w:tab w:val="clear" w:pos="284"/>
        </w:tabs>
        <w:autoSpaceDE w:val="0"/>
        <w:autoSpaceDN w:val="0"/>
        <w:adjustRightInd w:val="0"/>
        <w:spacing w:before="240" w:after="240"/>
        <w:jc w:val="both"/>
        <w:rPr>
          <w:rFonts w:cs="Arial"/>
        </w:rPr>
      </w:pPr>
      <w:r>
        <w:t xml:space="preserve">Daarnaast schrijven de voormelde wettelijke bepalingen voor dat de financiële instellingen de toezichthouder </w:t>
      </w:r>
      <w:proofErr w:type="gramStart"/>
      <w:r>
        <w:t>ten minste</w:t>
      </w:r>
      <w:proofErr w:type="gramEnd"/>
      <w:r>
        <w:t xml:space="preserve"> eenmaal per jaar de identiteit moeten meedelen van hun aandeelhouders of vennoten die, rechtstreeks of onrechtstreeks, alleen of in onderling overleg handelend, een gekwalificeerde deelneming bezitten in hun kapitaal, alsook welke kapitaalfractie en hoeveel stemrechten zij aldus bezitten.</w:t>
      </w:r>
    </w:p>
    <w:p w:rsidR="005D16AE" w:rsidRPr="006B7F19" w:rsidRDefault="005D16AE" w:rsidP="005C1AD1">
      <w:pPr>
        <w:tabs>
          <w:tab w:val="clear" w:pos="284"/>
        </w:tabs>
        <w:autoSpaceDE w:val="0"/>
        <w:autoSpaceDN w:val="0"/>
        <w:adjustRightInd w:val="0"/>
        <w:spacing w:before="240" w:after="240"/>
        <w:jc w:val="both"/>
        <w:rPr>
          <w:rFonts w:cs="Arial"/>
        </w:rPr>
      </w:pPr>
      <w:r>
        <w:t xml:space="preserve">De financiële instellingen worden verzocht om deze jaarlijkse kennisgeving te verrichten binnen een termijn van een maand na hun gewone algemene vergadering en daarvoor gebruik te maken van alle betrouwbare informatiebronnen waarover zij beschikken, zoals de kennisgevingen van verwervingen of overdrachten die zij </w:t>
      </w:r>
      <w:proofErr w:type="gramStart"/>
      <w:r>
        <w:t>overeenkomstig</w:t>
      </w:r>
      <w:proofErr w:type="gramEnd"/>
      <w:r>
        <w:t xml:space="preserve"> artikel 515 van het Wetboek van Vennootschappen ontvangen, hun register van aandelen op naam of hun register van vennoten, en de aanwezigheidslijst van de aandeelhouders tijdens de laatste gewone algemene vergadering.</w:t>
      </w:r>
    </w:p>
    <w:p w:rsidR="005D16AE" w:rsidRPr="006B7F19" w:rsidRDefault="005D16AE" w:rsidP="005C1AD1">
      <w:pPr>
        <w:tabs>
          <w:tab w:val="clear" w:pos="284"/>
        </w:tabs>
        <w:autoSpaceDE w:val="0"/>
        <w:autoSpaceDN w:val="0"/>
        <w:adjustRightInd w:val="0"/>
        <w:spacing w:before="240" w:after="240"/>
        <w:jc w:val="both"/>
        <w:rPr>
          <w:rFonts w:cs="Arial"/>
        </w:rPr>
      </w:pPr>
      <w:r>
        <w:t xml:space="preserve">Zij worden verzocht om hiervoor het desbetreffende formulier </w:t>
      </w:r>
      <w:r w:rsidRPr="002E7D83">
        <w:t>dat als bijlage 2</w:t>
      </w:r>
      <w:r>
        <w:t xml:space="preserve"> bij deze circulaire is gevoegd, in te vullen en in te dienen.</w:t>
      </w:r>
    </w:p>
    <w:p w:rsidR="0018502B" w:rsidRPr="0018502B" w:rsidRDefault="0018502B" w:rsidP="005C1AD1">
      <w:pPr>
        <w:tabs>
          <w:tab w:val="clear" w:pos="284"/>
        </w:tabs>
        <w:autoSpaceDE w:val="0"/>
        <w:autoSpaceDN w:val="0"/>
        <w:adjustRightInd w:val="0"/>
        <w:spacing w:before="240" w:after="240"/>
        <w:jc w:val="both"/>
        <w:rPr>
          <w:rFonts w:cs="Arial"/>
          <w:b/>
          <w:bCs/>
          <w:u w:val="single"/>
        </w:rPr>
      </w:pPr>
      <w:r>
        <w:rPr>
          <w:b/>
          <w:u w:val="single"/>
        </w:rPr>
        <w:t xml:space="preserve">4. Regel voor het overmaken van de vereiste </w:t>
      </w:r>
      <w:r w:rsidR="00B06300">
        <w:rPr>
          <w:b/>
          <w:u w:val="single"/>
        </w:rPr>
        <w:t xml:space="preserve">verklaringen </w:t>
      </w:r>
    </w:p>
    <w:p w:rsidR="008771A8" w:rsidRPr="006B7F19" w:rsidRDefault="008771A8" w:rsidP="005C1AD1">
      <w:pPr>
        <w:tabs>
          <w:tab w:val="clear" w:pos="284"/>
        </w:tabs>
        <w:autoSpaceDE w:val="0"/>
        <w:autoSpaceDN w:val="0"/>
        <w:adjustRightInd w:val="0"/>
        <w:spacing w:before="240" w:after="240"/>
        <w:jc w:val="both"/>
        <w:rPr>
          <w:rFonts w:cs="Arial"/>
        </w:rPr>
      </w:pPr>
      <w:proofErr w:type="gramStart"/>
      <w:r>
        <w:t>Overeenkomstig</w:t>
      </w:r>
      <w:proofErr w:type="gramEnd"/>
      <w:r>
        <w:t xml:space="preserve"> circulaire NBB_2016_40 van 12 oktober 2016 dienen de financiële instellingen gebruik te maken van het </w:t>
      </w:r>
      <w:proofErr w:type="spellStart"/>
      <w:r>
        <w:t>communicatieplatfom</w:t>
      </w:r>
      <w:proofErr w:type="spellEnd"/>
      <w:r>
        <w:t xml:space="preserve"> '</w:t>
      </w:r>
      <w:proofErr w:type="spellStart"/>
      <w:r>
        <w:t>eCorporate</w:t>
      </w:r>
      <w:proofErr w:type="spellEnd"/>
      <w:r>
        <w:t>' om de vereiste inlichtingen en documenten aan de toezichthouder te bezorgen.</w:t>
      </w:r>
    </w:p>
    <w:p w:rsidR="005C1AD1" w:rsidRDefault="005C1AD1">
      <w:pPr>
        <w:tabs>
          <w:tab w:val="clear" w:pos="284"/>
        </w:tabs>
        <w:spacing w:line="240" w:lineRule="auto"/>
        <w:rPr>
          <w:b/>
          <w:u w:val="single"/>
        </w:rPr>
      </w:pPr>
      <w:r>
        <w:rPr>
          <w:b/>
          <w:u w:val="single"/>
        </w:rPr>
        <w:br w:type="page"/>
      </w:r>
    </w:p>
    <w:p w:rsidR="00947C4D" w:rsidRPr="0018502B" w:rsidRDefault="0018502B" w:rsidP="005C1AD1">
      <w:pPr>
        <w:tabs>
          <w:tab w:val="clear" w:pos="284"/>
        </w:tabs>
        <w:autoSpaceDE w:val="0"/>
        <w:autoSpaceDN w:val="0"/>
        <w:adjustRightInd w:val="0"/>
        <w:spacing w:before="240" w:after="240"/>
        <w:jc w:val="both"/>
        <w:rPr>
          <w:rFonts w:cs="Arial"/>
          <w:b/>
          <w:u w:val="single"/>
        </w:rPr>
      </w:pPr>
      <w:r>
        <w:rPr>
          <w:b/>
          <w:u w:val="single"/>
        </w:rPr>
        <w:lastRenderedPageBreak/>
        <w:t>5. Inwerkingtreding</w:t>
      </w:r>
    </w:p>
    <w:p w:rsidR="00E96BA3" w:rsidRDefault="00947C4D" w:rsidP="005C1AD1">
      <w:pPr>
        <w:tabs>
          <w:tab w:val="clear" w:pos="284"/>
        </w:tabs>
        <w:autoSpaceDE w:val="0"/>
        <w:autoSpaceDN w:val="0"/>
        <w:adjustRightInd w:val="0"/>
        <w:spacing w:before="240" w:after="240"/>
        <w:jc w:val="both"/>
        <w:rPr>
          <w:rFonts w:cs="Arial"/>
        </w:rPr>
      </w:pPr>
      <w:r>
        <w:t>Deze circulaire is van toepassing vanaf 1 oktober 2017 en vervangt circulaire CBFA_2009_32 van 18 november 2009 gericht aan de financiële instellingen met betrekking op de verwervingen, vergrotingen, de verkleiningen of vervreemdingen van gekwalificeerde deelnemingen in hun kapitaal.</w:t>
      </w:r>
    </w:p>
    <w:p w:rsidR="00947C4D" w:rsidRDefault="00947C4D" w:rsidP="005C1AD1">
      <w:pPr>
        <w:tabs>
          <w:tab w:val="clear" w:pos="284"/>
        </w:tabs>
        <w:autoSpaceDE w:val="0"/>
        <w:autoSpaceDN w:val="0"/>
        <w:adjustRightInd w:val="0"/>
        <w:spacing w:before="240" w:after="240"/>
        <w:jc w:val="both"/>
        <w:rPr>
          <w:rFonts w:cs="Arial"/>
        </w:rPr>
      </w:pPr>
    </w:p>
    <w:p w:rsidR="005D16AE" w:rsidRPr="006B7F19" w:rsidRDefault="005D16AE" w:rsidP="005C1AD1">
      <w:pPr>
        <w:tabs>
          <w:tab w:val="clear" w:pos="284"/>
        </w:tabs>
        <w:autoSpaceDE w:val="0"/>
        <w:autoSpaceDN w:val="0"/>
        <w:adjustRightInd w:val="0"/>
        <w:spacing w:before="240" w:after="240"/>
        <w:jc w:val="both"/>
        <w:rPr>
          <w:rFonts w:cs="Arial"/>
        </w:rPr>
      </w:pPr>
      <w:r>
        <w:t>Er wordt een kopie van deze circulaire verzonden naar de revisor(en) van uw onderneming of instelling.</w:t>
      </w:r>
    </w:p>
    <w:p w:rsidR="00620BFC" w:rsidRPr="006B7F19" w:rsidRDefault="001130BC" w:rsidP="005C1AD1">
      <w:pPr>
        <w:jc w:val="both"/>
      </w:pPr>
      <w:r>
        <w:t>Hoogachtend</w:t>
      </w:r>
    </w:p>
    <w:p w:rsidR="00620BFC" w:rsidRPr="006B7F19" w:rsidRDefault="00620BFC" w:rsidP="005C1AD1">
      <w:pPr>
        <w:tabs>
          <w:tab w:val="clear" w:pos="284"/>
        </w:tabs>
        <w:autoSpaceDE w:val="0"/>
        <w:autoSpaceDN w:val="0"/>
        <w:adjustRightInd w:val="0"/>
        <w:spacing w:before="240" w:after="240"/>
        <w:jc w:val="both"/>
        <w:rPr>
          <w:rFonts w:cs="Arial"/>
        </w:rPr>
      </w:pPr>
    </w:p>
    <w:p w:rsidR="00620BFC" w:rsidRPr="006B7F19" w:rsidRDefault="00620BFC" w:rsidP="005C1AD1">
      <w:pPr>
        <w:tabs>
          <w:tab w:val="clear" w:pos="284"/>
        </w:tabs>
        <w:autoSpaceDE w:val="0"/>
        <w:autoSpaceDN w:val="0"/>
        <w:adjustRightInd w:val="0"/>
        <w:spacing w:before="240" w:after="240"/>
        <w:jc w:val="both"/>
        <w:rPr>
          <w:rFonts w:cs="Arial"/>
        </w:rPr>
      </w:pPr>
    </w:p>
    <w:p w:rsidR="005D16AE" w:rsidRPr="006B7F19" w:rsidRDefault="00620BFC" w:rsidP="005C1AD1">
      <w:pPr>
        <w:tabs>
          <w:tab w:val="clear" w:pos="284"/>
        </w:tabs>
        <w:autoSpaceDE w:val="0"/>
        <w:autoSpaceDN w:val="0"/>
        <w:adjustRightInd w:val="0"/>
        <w:spacing w:before="240" w:after="240"/>
        <w:jc w:val="both"/>
        <w:rPr>
          <w:rFonts w:cs="Arial"/>
        </w:rPr>
      </w:pPr>
      <w:r>
        <w:t>Jan Smets</w:t>
      </w:r>
    </w:p>
    <w:p w:rsidR="005D16AE" w:rsidRPr="002E7D83" w:rsidRDefault="006B7F19" w:rsidP="009066CB">
      <w:pPr>
        <w:tabs>
          <w:tab w:val="clear" w:pos="284"/>
          <w:tab w:val="left" w:pos="851"/>
          <w:tab w:val="left" w:pos="2977"/>
        </w:tabs>
        <w:autoSpaceDE w:val="0"/>
        <w:autoSpaceDN w:val="0"/>
        <w:adjustRightInd w:val="0"/>
        <w:ind w:left="1134" w:hanging="1134"/>
        <w:jc w:val="both"/>
        <w:rPr>
          <w:rFonts w:cs="Arial"/>
          <w:i/>
          <w:iCs/>
        </w:rPr>
      </w:pPr>
      <w:r w:rsidRPr="002E7D83">
        <w:rPr>
          <w:i/>
        </w:rPr>
        <w:t>Bijlagen</w:t>
      </w:r>
      <w:proofErr w:type="gramStart"/>
      <w:r w:rsidRPr="002E7D83">
        <w:rPr>
          <w:i/>
        </w:rPr>
        <w:t>:</w:t>
      </w:r>
      <w:r w:rsidR="002E7D83" w:rsidRPr="002E7D83">
        <w:tab/>
      </w:r>
      <w:r w:rsidRPr="002E7D83">
        <w:rPr>
          <w:i/>
        </w:rPr>
        <w:t>-</w:t>
      </w:r>
      <w:r w:rsidR="002E7D83" w:rsidRPr="002E7D83">
        <w:rPr>
          <w:i/>
        </w:rPr>
        <w:tab/>
      </w:r>
      <w:r w:rsidRPr="002E7D83">
        <w:rPr>
          <w:i/>
        </w:rPr>
        <w:t>NBB_</w:t>
      </w:r>
      <w:proofErr w:type="gramEnd"/>
      <w:r w:rsidR="002E7D83" w:rsidRPr="002E7D83">
        <w:rPr>
          <w:i/>
        </w:rPr>
        <w:t>2017</w:t>
      </w:r>
      <w:r w:rsidRPr="002E7D83">
        <w:rPr>
          <w:i/>
        </w:rPr>
        <w:t>_</w:t>
      </w:r>
      <w:r w:rsidR="002E7D83" w:rsidRPr="002E7D83">
        <w:rPr>
          <w:i/>
        </w:rPr>
        <w:t>2</w:t>
      </w:r>
      <w:r w:rsidR="00611D42">
        <w:rPr>
          <w:i/>
        </w:rPr>
        <w:t>3</w:t>
      </w:r>
      <w:r w:rsidRPr="002E7D83">
        <w:rPr>
          <w:i/>
        </w:rPr>
        <w:t xml:space="preserve">-1 / </w:t>
      </w:r>
      <w:r w:rsidR="009066CB">
        <w:rPr>
          <w:i/>
        </w:rPr>
        <w:tab/>
      </w:r>
      <w:r w:rsidRPr="002E7D83">
        <w:t>Wijziging van de staat en de samenstelling van het kapitaal – Occasionele kennisgeving</w:t>
      </w:r>
    </w:p>
    <w:p w:rsidR="005D16AE" w:rsidRPr="006B7F19" w:rsidRDefault="00766DE5" w:rsidP="009066CB">
      <w:pPr>
        <w:pStyle w:val="ListParagraph"/>
        <w:numPr>
          <w:ilvl w:val="0"/>
          <w:numId w:val="34"/>
        </w:numPr>
        <w:tabs>
          <w:tab w:val="clear" w:pos="284"/>
          <w:tab w:val="left" w:pos="2977"/>
        </w:tabs>
        <w:ind w:left="1134" w:hanging="286"/>
        <w:jc w:val="both"/>
        <w:rPr>
          <w:rFonts w:cs="Arial"/>
        </w:rPr>
      </w:pPr>
      <w:r w:rsidRPr="002E7D83">
        <w:rPr>
          <w:i/>
        </w:rPr>
        <w:t>NBB_</w:t>
      </w:r>
      <w:r w:rsidR="002E7D83" w:rsidRPr="002E7D83">
        <w:rPr>
          <w:i/>
        </w:rPr>
        <w:t>2017</w:t>
      </w:r>
      <w:r w:rsidRPr="002E7D83">
        <w:rPr>
          <w:i/>
        </w:rPr>
        <w:t>_</w:t>
      </w:r>
      <w:r w:rsidR="002E7D83" w:rsidRPr="002E7D83">
        <w:rPr>
          <w:i/>
        </w:rPr>
        <w:t>2</w:t>
      </w:r>
      <w:r w:rsidR="00611D42">
        <w:rPr>
          <w:i/>
        </w:rPr>
        <w:t>3</w:t>
      </w:r>
      <w:r w:rsidRPr="002E7D83">
        <w:rPr>
          <w:i/>
        </w:rPr>
        <w:t>-</w:t>
      </w:r>
      <w:r w:rsidR="009066CB">
        <w:rPr>
          <w:i/>
        </w:rPr>
        <w:t>2</w:t>
      </w:r>
      <w:r w:rsidRPr="002E7D83">
        <w:rPr>
          <w:i/>
        </w:rPr>
        <w:t xml:space="preserve"> /</w:t>
      </w:r>
      <w:r>
        <w:t xml:space="preserve"> </w:t>
      </w:r>
      <w:r w:rsidR="009066CB">
        <w:tab/>
      </w:r>
      <w:r>
        <w:t>Staat en samenstelling van het kapitaal - Jaarlijkse kennisgeving</w:t>
      </w:r>
    </w:p>
    <w:sectPr w:rsidR="005D16AE" w:rsidRPr="006B7F19" w:rsidSect="00D850C8">
      <w:headerReference w:type="even" r:id="rId10"/>
      <w:headerReference w:type="default" r:id="rId11"/>
      <w:footerReference w:type="even" r:id="rId12"/>
      <w:footerReference w:type="default" r:id="rId13"/>
      <w:footerReference w:type="first" r:id="rId14"/>
      <w:footnotePr>
        <w:numRestart w:val="eachSect"/>
      </w:footnotePr>
      <w:pgSz w:w="11907" w:h="16840" w:code="9"/>
      <w:pgMar w:top="510" w:right="1134" w:bottom="1361" w:left="1418" w:header="397" w:footer="1191"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6AE" w:rsidRDefault="005D16AE">
      <w:r>
        <w:separator/>
      </w:r>
    </w:p>
  </w:endnote>
  <w:endnote w:type="continuationSeparator" w:id="0">
    <w:p w:rsidR="005D16AE" w:rsidRDefault="005D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276" w:rsidRPr="005D16AE" w:rsidRDefault="005D16AE" w:rsidP="00E87276">
    <w:pPr>
      <w:pStyle w:val="Footer"/>
      <w:pBdr>
        <w:top w:val="single" w:sz="4" w:space="1" w:color="auto"/>
      </w:pBdr>
      <w:rPr>
        <w:b/>
        <w:sz w:val="16"/>
        <w:szCs w:val="16"/>
      </w:rPr>
    </w:pPr>
    <w:r>
      <w:rPr>
        <w:b/>
        <w:sz w:val="16"/>
      </w:rPr>
      <w:t xml:space="preserve">Circulaire – Blz. </w:t>
    </w:r>
    <w:r>
      <w:rPr>
        <w:b/>
        <w:sz w:val="16"/>
        <w:szCs w:val="16"/>
      </w:rPr>
      <w:fldChar w:fldCharType="begin"/>
    </w:r>
    <w:r>
      <w:rPr>
        <w:b/>
        <w:sz w:val="16"/>
        <w:szCs w:val="16"/>
      </w:rPr>
      <w:instrText xml:space="preserve"> PAGE   </w:instrText>
    </w:r>
    <w:r>
      <w:rPr>
        <w:b/>
        <w:sz w:val="16"/>
        <w:szCs w:val="16"/>
      </w:rPr>
      <w:fldChar w:fldCharType="separate"/>
    </w:r>
    <w:r w:rsidR="002A5E10">
      <w:rPr>
        <w:b/>
        <w:noProof/>
        <w:sz w:val="16"/>
        <w:szCs w:val="16"/>
      </w:rPr>
      <w:t>4</w:t>
    </w:r>
    <w:r>
      <w:rPr>
        <w:b/>
        <w:sz w:val="16"/>
        <w:szCs w:val="16"/>
      </w:rPr>
      <w:fldChar w:fldCharType="end"/>
    </w:r>
    <w:r>
      <w:rPr>
        <w:b/>
        <w:sz w:val="16"/>
      </w:rPr>
      <w:t>/</w:t>
    </w:r>
    <w:r>
      <w:rPr>
        <w:b/>
        <w:sz w:val="16"/>
        <w:szCs w:val="16"/>
      </w:rPr>
      <w:fldChar w:fldCharType="begin"/>
    </w:r>
    <w:r>
      <w:rPr>
        <w:b/>
        <w:sz w:val="16"/>
        <w:szCs w:val="16"/>
      </w:rPr>
      <w:instrText xml:space="preserve"> NUMPAGES   </w:instrText>
    </w:r>
    <w:r>
      <w:rPr>
        <w:b/>
        <w:sz w:val="16"/>
        <w:szCs w:val="16"/>
      </w:rPr>
      <w:fldChar w:fldCharType="separate"/>
    </w:r>
    <w:r w:rsidR="002A5E10">
      <w:rPr>
        <w:b/>
        <w:noProof/>
        <w:sz w:val="16"/>
        <w:szCs w:val="16"/>
      </w:rPr>
      <w:t>5</w:t>
    </w:r>
    <w:r>
      <w:rPr>
        <w:b/>
        <w:sz w:val="16"/>
        <w:szCs w:val="16"/>
      </w:rPr>
      <w:fldChar w:fldCharType="end"/>
    </w:r>
    <w:r>
      <w:tab/>
    </w:r>
    <w:r>
      <w:rPr>
        <w:sz w:val="14"/>
      </w:rPr>
      <w:t>NBB_2017_</w:t>
    </w:r>
    <w:r w:rsidR="002E7D83">
      <w:rPr>
        <w:sz w:val="14"/>
      </w:rPr>
      <w:t>2</w:t>
    </w:r>
    <w:r w:rsidR="00611D42">
      <w:rPr>
        <w:sz w:val="14"/>
      </w:rPr>
      <w:t>3</w:t>
    </w:r>
    <w:r>
      <w:rPr>
        <w:sz w:val="14"/>
      </w:rPr>
      <w:t> – </w:t>
    </w:r>
    <w:r w:rsidR="002E7D83">
      <w:rPr>
        <w:sz w:val="14"/>
      </w:rPr>
      <w:t>1</w:t>
    </w:r>
    <w:r w:rsidR="00437A4B">
      <w:rPr>
        <w:sz w:val="14"/>
      </w:rPr>
      <w:t>4</w:t>
    </w:r>
    <w:r w:rsidR="002E7D83">
      <w:rPr>
        <w:sz w:val="14"/>
      </w:rPr>
      <w:t xml:space="preserve"> september </w:t>
    </w:r>
    <w:r>
      <w:rPr>
        <w:sz w:val="14"/>
      </w:rPr>
      <w:t>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949" w:rsidRPr="005D16AE" w:rsidRDefault="005D16AE" w:rsidP="00F64E38">
    <w:pPr>
      <w:pStyle w:val="Footer"/>
      <w:pBdr>
        <w:top w:val="single" w:sz="4" w:space="1" w:color="auto"/>
      </w:pBdr>
      <w:rPr>
        <w:b/>
        <w:sz w:val="16"/>
        <w:szCs w:val="14"/>
      </w:rPr>
    </w:pPr>
    <w:r>
      <w:tab/>
    </w:r>
    <w:r w:rsidR="002E7D83">
      <w:rPr>
        <w:sz w:val="14"/>
      </w:rPr>
      <w:t>NBB_2017_2</w:t>
    </w:r>
    <w:r w:rsidR="00611D42">
      <w:rPr>
        <w:sz w:val="14"/>
      </w:rPr>
      <w:t>3</w:t>
    </w:r>
    <w:r w:rsidR="002E7D83">
      <w:rPr>
        <w:sz w:val="14"/>
      </w:rPr>
      <w:t> – 1</w:t>
    </w:r>
    <w:r w:rsidR="00437A4B">
      <w:rPr>
        <w:sz w:val="14"/>
      </w:rPr>
      <w:t>4</w:t>
    </w:r>
    <w:r w:rsidR="002E7D83">
      <w:rPr>
        <w:sz w:val="14"/>
      </w:rPr>
      <w:t xml:space="preserve"> september 2017</w:t>
    </w:r>
    <w:r>
      <w:tab/>
    </w:r>
    <w:r>
      <w:rPr>
        <w:b/>
        <w:sz w:val="16"/>
      </w:rPr>
      <w:t xml:space="preserve">Circulaire – Blz. </w:t>
    </w:r>
    <w:r>
      <w:rPr>
        <w:b/>
        <w:sz w:val="16"/>
        <w:szCs w:val="14"/>
      </w:rPr>
      <w:fldChar w:fldCharType="begin"/>
    </w:r>
    <w:r>
      <w:rPr>
        <w:b/>
        <w:sz w:val="16"/>
        <w:szCs w:val="14"/>
      </w:rPr>
      <w:instrText xml:space="preserve"> PAGE   </w:instrText>
    </w:r>
    <w:r>
      <w:rPr>
        <w:b/>
        <w:sz w:val="16"/>
        <w:szCs w:val="14"/>
      </w:rPr>
      <w:fldChar w:fldCharType="separate"/>
    </w:r>
    <w:r w:rsidR="002A5E10">
      <w:rPr>
        <w:b/>
        <w:noProof/>
        <w:sz w:val="16"/>
        <w:szCs w:val="14"/>
      </w:rPr>
      <w:t>5</w:t>
    </w:r>
    <w:r>
      <w:rPr>
        <w:b/>
        <w:sz w:val="16"/>
        <w:szCs w:val="14"/>
      </w:rPr>
      <w:fldChar w:fldCharType="end"/>
    </w:r>
    <w:r>
      <w:rPr>
        <w:b/>
        <w:sz w:val="16"/>
      </w:rPr>
      <w:t>/</w:t>
    </w:r>
    <w:r>
      <w:rPr>
        <w:b/>
        <w:sz w:val="16"/>
        <w:szCs w:val="14"/>
      </w:rPr>
      <w:fldChar w:fldCharType="begin"/>
    </w:r>
    <w:r>
      <w:rPr>
        <w:b/>
        <w:sz w:val="16"/>
        <w:szCs w:val="14"/>
      </w:rPr>
      <w:instrText xml:space="preserve"> NUMPAGES   </w:instrText>
    </w:r>
    <w:r>
      <w:rPr>
        <w:b/>
        <w:sz w:val="16"/>
        <w:szCs w:val="14"/>
      </w:rPr>
      <w:fldChar w:fldCharType="separate"/>
    </w:r>
    <w:r w:rsidR="002A5E10">
      <w:rPr>
        <w:b/>
        <w:noProof/>
        <w:sz w:val="16"/>
        <w:szCs w:val="14"/>
      </w:rPr>
      <w:t>5</w:t>
    </w:r>
    <w:r>
      <w:rPr>
        <w:b/>
        <w:sz w:val="16"/>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949" w:rsidRPr="005D16AE" w:rsidRDefault="005D16AE" w:rsidP="00CB2202">
    <w:pPr>
      <w:pStyle w:val="Footer"/>
      <w:pBdr>
        <w:top w:val="single" w:sz="4" w:space="1" w:color="auto"/>
      </w:pBdr>
      <w:rPr>
        <w:b/>
        <w:sz w:val="16"/>
        <w:szCs w:val="16"/>
      </w:rPr>
    </w:pPr>
    <w:r>
      <w:tab/>
    </w:r>
    <w:r>
      <w:rPr>
        <w:sz w:val="14"/>
      </w:rPr>
      <w:t>NBB_2017_</w:t>
    </w:r>
    <w:r w:rsidR="00611D42">
      <w:rPr>
        <w:sz w:val="14"/>
      </w:rPr>
      <w:t>23</w:t>
    </w:r>
    <w:r>
      <w:rPr>
        <w:sz w:val="14"/>
      </w:rPr>
      <w:t> – </w:t>
    </w:r>
    <w:r w:rsidR="001130BC">
      <w:rPr>
        <w:sz w:val="14"/>
      </w:rPr>
      <w:t>1</w:t>
    </w:r>
    <w:r w:rsidR="00437A4B">
      <w:rPr>
        <w:sz w:val="14"/>
      </w:rPr>
      <w:t>4</w:t>
    </w:r>
    <w:r w:rsidR="001130BC">
      <w:rPr>
        <w:sz w:val="14"/>
      </w:rPr>
      <w:t xml:space="preserve"> september</w:t>
    </w:r>
    <w:r>
      <w:rPr>
        <w:sz w:val="14"/>
      </w:rPr>
      <w:t xml:space="preserve"> 2017</w:t>
    </w:r>
    <w:r>
      <w:tab/>
    </w:r>
    <w:r>
      <w:rPr>
        <w:b/>
        <w:sz w:val="16"/>
      </w:rPr>
      <w:t xml:space="preserve">Circulaire – Blz. </w:t>
    </w:r>
    <w:r>
      <w:rPr>
        <w:b/>
        <w:sz w:val="16"/>
        <w:szCs w:val="16"/>
      </w:rPr>
      <w:fldChar w:fldCharType="begin"/>
    </w:r>
    <w:r>
      <w:rPr>
        <w:b/>
        <w:sz w:val="16"/>
        <w:szCs w:val="16"/>
      </w:rPr>
      <w:instrText xml:space="preserve"> PAGE   </w:instrText>
    </w:r>
    <w:r>
      <w:rPr>
        <w:b/>
        <w:sz w:val="16"/>
        <w:szCs w:val="16"/>
      </w:rPr>
      <w:fldChar w:fldCharType="separate"/>
    </w:r>
    <w:r w:rsidR="002A5E10">
      <w:rPr>
        <w:b/>
        <w:noProof/>
        <w:sz w:val="16"/>
        <w:szCs w:val="16"/>
      </w:rPr>
      <w:t>1</w:t>
    </w:r>
    <w:r>
      <w:rPr>
        <w:b/>
        <w:sz w:val="16"/>
        <w:szCs w:val="16"/>
      </w:rPr>
      <w:fldChar w:fldCharType="end"/>
    </w:r>
    <w:r>
      <w:rPr>
        <w:b/>
        <w:sz w:val="16"/>
      </w:rPr>
      <w:t>/</w:t>
    </w:r>
    <w:r>
      <w:rPr>
        <w:b/>
        <w:sz w:val="16"/>
        <w:szCs w:val="16"/>
      </w:rPr>
      <w:fldChar w:fldCharType="begin"/>
    </w:r>
    <w:r>
      <w:rPr>
        <w:b/>
        <w:sz w:val="16"/>
        <w:szCs w:val="16"/>
      </w:rPr>
      <w:instrText xml:space="preserve"> NUMPAGES   </w:instrText>
    </w:r>
    <w:r>
      <w:rPr>
        <w:b/>
        <w:sz w:val="16"/>
        <w:szCs w:val="16"/>
      </w:rPr>
      <w:fldChar w:fldCharType="separate"/>
    </w:r>
    <w:r w:rsidR="002A5E10">
      <w:rPr>
        <w:b/>
        <w:noProof/>
        <w:sz w:val="16"/>
        <w:szCs w:val="16"/>
      </w:rPr>
      <w:t>1</w:t>
    </w:r>
    <w:r>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6AE" w:rsidRPr="00117F31" w:rsidRDefault="005D16AE" w:rsidP="00117F31">
      <w:pPr>
        <w:pStyle w:val="Footer"/>
      </w:pPr>
    </w:p>
  </w:footnote>
  <w:footnote w:type="continuationSeparator" w:id="0">
    <w:p w:rsidR="005D16AE" w:rsidRPr="00117F31" w:rsidRDefault="005D16AE" w:rsidP="00117F31">
      <w:pPr>
        <w:pStyle w:val="Footer"/>
      </w:pPr>
    </w:p>
  </w:footnote>
  <w:footnote w:type="continuationNotice" w:id="1">
    <w:p w:rsidR="005D16AE" w:rsidRDefault="005D16AE"/>
  </w:footnote>
  <w:footnote w:id="2">
    <w:p w:rsidR="008771A8" w:rsidRPr="008771A8" w:rsidRDefault="008771A8" w:rsidP="002E7D83">
      <w:pPr>
        <w:pStyle w:val="FootnoteText"/>
        <w:tabs>
          <w:tab w:val="clear" w:pos="284"/>
        </w:tabs>
        <w:spacing w:line="240" w:lineRule="auto"/>
        <w:jc w:val="both"/>
        <w:rPr>
          <w:lang w:val="fr-BE"/>
        </w:rPr>
      </w:pPr>
      <w:r>
        <w:rPr>
          <w:rStyle w:val="FootnoteReference"/>
        </w:rPr>
        <w:footnoteRef/>
      </w:r>
      <w:r w:rsidR="005C1AD1">
        <w:tab/>
      </w:r>
      <w:r>
        <w:t xml:space="preserve">Zie bijlage 8 bij Mededeling </w:t>
      </w:r>
      <w:r w:rsidRPr="002E7D83">
        <w:t>NBB_</w:t>
      </w:r>
      <w:r w:rsidR="002E7D83" w:rsidRPr="002E7D83">
        <w:t>2017</w:t>
      </w:r>
      <w:r w:rsidRPr="002E7D83">
        <w:t>_</w:t>
      </w:r>
      <w:r w:rsidR="002E7D83" w:rsidRPr="002E7D83">
        <w:t>2</w:t>
      </w:r>
      <w:r w:rsidR="00611D42">
        <w:t>2</w:t>
      </w:r>
      <w:bookmarkStart w:id="0" w:name="_GoBack"/>
      <w:bookmarkEnd w:id="0"/>
      <w:r w:rsidRPr="002E7D83">
        <w:t xml:space="preserve"> aan</w:t>
      </w:r>
      <w:r>
        <w:t xml:space="preserve"> de personen die voornemens zijn een gekwalificeerde deelneming in het kapitaal van een financiële instelling te verwerven, te vergroten, te verkleinen of over te dragen, en aan de personen die een gekwalificeerde deelneming bezitten, waarin de gemeenschappelijke richtsnoeren van de ESA's volledig zijn overgenomen.</w:t>
      </w:r>
    </w:p>
  </w:footnote>
  <w:footnote w:id="3">
    <w:p w:rsidR="00CF256F" w:rsidRPr="00CF256F" w:rsidRDefault="00CF256F" w:rsidP="002E7D83">
      <w:pPr>
        <w:tabs>
          <w:tab w:val="clear" w:pos="284"/>
        </w:tabs>
        <w:autoSpaceDE w:val="0"/>
        <w:autoSpaceDN w:val="0"/>
        <w:adjustRightInd w:val="0"/>
        <w:spacing w:line="240" w:lineRule="auto"/>
        <w:ind w:left="284" w:hanging="284"/>
        <w:jc w:val="both"/>
        <w:rPr>
          <w:lang w:val="fr-BE"/>
        </w:rPr>
      </w:pPr>
      <w:r>
        <w:rPr>
          <w:rStyle w:val="FootnoteReference"/>
        </w:rPr>
        <w:footnoteRef/>
      </w:r>
      <w:r w:rsidR="005C1AD1">
        <w:t xml:space="preserve"> </w:t>
      </w:r>
      <w:r w:rsidR="005C1AD1">
        <w:tab/>
      </w:r>
      <w:r>
        <w:rPr>
          <w:sz w:val="18"/>
        </w:rPr>
        <w:t>Namelijk, (i) voor de verzekerings- en herverzekeringsondernemingen naar Belgisch recht, voor de verzekeringsholdings naar Belgisch recht en voor de gemengde financiële holdings die deel uitmaken van een Belgische verzekeringsgroep: de Nationale Bank van België; (ii) voor de kredietinstellingen naar Belgisch recht, voor de financiële holdings naar Belgisch recht en voor de gemengde financiële holdings die deel uitmaken van een Belgische bankgroep: de Europese Centrale Bank (ECB)</w:t>
      </w:r>
      <w:r w:rsidR="0013735D">
        <w:rPr>
          <w:sz w:val="18"/>
        </w:rPr>
        <w:t xml:space="preserve"> </w:t>
      </w:r>
      <w:proofErr w:type="gramStart"/>
      <w:r w:rsidR="0013735D">
        <w:rPr>
          <w:sz w:val="18"/>
        </w:rPr>
        <w:t>overeenkomstig</w:t>
      </w:r>
      <w:proofErr w:type="gramEnd"/>
      <w:r w:rsidR="0013735D">
        <w:rPr>
          <w:sz w:val="18"/>
        </w:rPr>
        <w:t xml:space="preserve"> </w:t>
      </w:r>
      <w:r>
        <w:rPr>
          <w:sz w:val="18"/>
        </w:rPr>
        <w:t>de bevoegdheidsverdelingen die zijn vastgelegd in of krachtens de GTM-Verordening inzake het toezicht op de kredietinstellingen; en (iii) voor de beursvennootschappen naar Belgisch recht: de Nationale Bank van België.</w:t>
      </w:r>
    </w:p>
  </w:footnote>
  <w:footnote w:id="4">
    <w:p w:rsidR="00B06300" w:rsidRDefault="00B06300" w:rsidP="001130BC">
      <w:pPr>
        <w:pStyle w:val="FootnoteText"/>
        <w:spacing w:line="240" w:lineRule="auto"/>
        <w:jc w:val="both"/>
      </w:pPr>
      <w:r>
        <w:rPr>
          <w:rStyle w:val="FootnoteReference"/>
        </w:rPr>
        <w:footnoteRef/>
      </w:r>
      <w:r w:rsidR="005C1AD1">
        <w:tab/>
      </w:r>
      <w:r w:rsidR="001F7FC8">
        <w:t>Onder ‘geloofwaardige informatie’ wordt informatie verstaan waarvan de financiële instelling redelijkerwijs kan aannemen dat ze correct is.</w:t>
      </w:r>
    </w:p>
    <w:p w:rsidR="001F7FC8" w:rsidRPr="00667857" w:rsidRDefault="001F7FC8">
      <w:pPr>
        <w:pStyle w:val="FootnoteText"/>
        <w:rPr>
          <w:lang w:val="nl-BE"/>
        </w:rPr>
      </w:pPr>
    </w:p>
  </w:footnote>
  <w:footnote w:id="5">
    <w:p w:rsidR="001F7FC8" w:rsidRPr="00667857" w:rsidRDefault="001F7FC8" w:rsidP="002E7D83">
      <w:pPr>
        <w:pStyle w:val="FootnoteText"/>
        <w:spacing w:line="240" w:lineRule="auto"/>
        <w:jc w:val="both"/>
        <w:rPr>
          <w:lang w:val="nl-BE"/>
        </w:rPr>
      </w:pPr>
      <w:r>
        <w:rPr>
          <w:rStyle w:val="FootnoteReference"/>
        </w:rPr>
        <w:footnoteRef/>
      </w:r>
      <w:r w:rsidR="005C1AD1">
        <w:tab/>
      </w:r>
      <w:r w:rsidR="000F24D4">
        <w:t>Indien bij</w:t>
      </w:r>
      <w:r>
        <w:t xml:space="preserve"> een overdracht of verwerving </w:t>
      </w:r>
      <w:r w:rsidR="000F24D4">
        <w:t>de aandeelhouder</w:t>
      </w:r>
      <w:r>
        <w:t xml:space="preserve"> </w:t>
      </w:r>
      <w:proofErr w:type="gramStart"/>
      <w:r>
        <w:t>reeds</w:t>
      </w:r>
      <w:proofErr w:type="gramEnd"/>
      <w:r>
        <w:t xml:space="preserve"> bekend is (bv. </w:t>
      </w:r>
      <w:r w:rsidR="000F24D4">
        <w:t>bij</w:t>
      </w:r>
      <w:r w:rsidR="00D754E2">
        <w:t xml:space="preserve"> een </w:t>
      </w:r>
      <w:proofErr w:type="spellStart"/>
      <w:r w:rsidR="00D754E2">
        <w:t>intragroepstransactie</w:t>
      </w:r>
      <w:proofErr w:type="spellEnd"/>
      <w:r w:rsidR="00D754E2">
        <w:t xml:space="preserve"> zonder een echte wijziging in de controle of </w:t>
      </w:r>
      <w:r w:rsidR="000F24D4">
        <w:t>bij</w:t>
      </w:r>
      <w:r w:rsidR="00D754E2">
        <w:t xml:space="preserve"> een overdracht van onrechtstreekse deelnemingen zonder wijziging in het </w:t>
      </w:r>
      <w:r w:rsidR="00E11298">
        <w:t>percentage</w:t>
      </w:r>
      <w:r w:rsidR="00D754E2">
        <w:t xml:space="preserve"> dat wordt gehouden op het hogere niveau in de aandeelhoudersstructuur</w:t>
      </w:r>
      <w:r w:rsidR="000066CA">
        <w:t>) kan met de toezichthouder worden overeengekomen dat een aantal van de in bijlage 1 gevraagde gegevens</w:t>
      </w:r>
      <w:r w:rsidR="00A81324">
        <w:t xml:space="preserve"> </w:t>
      </w:r>
      <w:r w:rsidR="000066CA">
        <w:t>niet moeten worden verstrekt. Hiertoe moet voorafgaandelijk contact worden opgenomen met de toezichthouder.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949" w:rsidRDefault="00450949" w:rsidP="00E829D6">
    <w:pPr>
      <w:pStyle w:val="Header"/>
      <w:tabs>
        <w:tab w:val="clear" w:pos="4394"/>
        <w:tab w:val="center" w:pos="4395"/>
      </w:tabs>
    </w:pPr>
  </w:p>
  <w:p w:rsidR="00450949" w:rsidRPr="00BF29ED" w:rsidRDefault="00450949" w:rsidP="00E829D6">
    <w:pPr>
      <w:pStyle w:val="Header"/>
      <w:tabs>
        <w:tab w:val="clear" w:pos="4394"/>
        <w:tab w:val="center" w:pos="43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949" w:rsidRDefault="00450949" w:rsidP="00D850C8">
    <w:pPr>
      <w:pStyle w:val="Header"/>
    </w:pPr>
  </w:p>
  <w:p w:rsidR="00450949" w:rsidRPr="00D850C8" w:rsidRDefault="00450949" w:rsidP="00D850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C4C596"/>
    <w:lvl w:ilvl="0">
      <w:start w:val="1"/>
      <w:numFmt w:val="decimal"/>
      <w:lvlText w:val="%1."/>
      <w:lvlJc w:val="left"/>
      <w:pPr>
        <w:tabs>
          <w:tab w:val="num" w:pos="1492"/>
        </w:tabs>
        <w:ind w:left="1492" w:hanging="360"/>
      </w:pPr>
    </w:lvl>
  </w:abstractNum>
  <w:abstractNum w:abstractNumId="1">
    <w:nsid w:val="FFFFFF7D"/>
    <w:multiLevelType w:val="singleLevel"/>
    <w:tmpl w:val="B456B8EA"/>
    <w:lvl w:ilvl="0">
      <w:start w:val="1"/>
      <w:numFmt w:val="decimal"/>
      <w:lvlText w:val="%1."/>
      <w:lvlJc w:val="left"/>
      <w:pPr>
        <w:tabs>
          <w:tab w:val="num" w:pos="1209"/>
        </w:tabs>
        <w:ind w:left="1209" w:hanging="360"/>
      </w:pPr>
    </w:lvl>
  </w:abstractNum>
  <w:abstractNum w:abstractNumId="2">
    <w:nsid w:val="FFFFFF7E"/>
    <w:multiLevelType w:val="singleLevel"/>
    <w:tmpl w:val="FB5CC4CE"/>
    <w:lvl w:ilvl="0">
      <w:start w:val="1"/>
      <w:numFmt w:val="decimal"/>
      <w:lvlText w:val="%1."/>
      <w:lvlJc w:val="left"/>
      <w:pPr>
        <w:tabs>
          <w:tab w:val="num" w:pos="926"/>
        </w:tabs>
        <w:ind w:left="926" w:hanging="360"/>
      </w:pPr>
    </w:lvl>
  </w:abstractNum>
  <w:abstractNum w:abstractNumId="3">
    <w:nsid w:val="FFFFFF7F"/>
    <w:multiLevelType w:val="singleLevel"/>
    <w:tmpl w:val="5A54D732"/>
    <w:lvl w:ilvl="0">
      <w:start w:val="1"/>
      <w:numFmt w:val="decimal"/>
      <w:lvlText w:val="%1."/>
      <w:lvlJc w:val="left"/>
      <w:pPr>
        <w:tabs>
          <w:tab w:val="num" w:pos="643"/>
        </w:tabs>
        <w:ind w:left="643" w:hanging="360"/>
      </w:pPr>
    </w:lvl>
  </w:abstractNum>
  <w:abstractNum w:abstractNumId="4">
    <w:nsid w:val="FFFFFF80"/>
    <w:multiLevelType w:val="singleLevel"/>
    <w:tmpl w:val="8CFE73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624D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3863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7F8DE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CC288AE"/>
    <w:lvl w:ilvl="0">
      <w:start w:val="1"/>
      <w:numFmt w:val="decimal"/>
      <w:lvlText w:val="%1."/>
      <w:lvlJc w:val="left"/>
      <w:pPr>
        <w:tabs>
          <w:tab w:val="num" w:pos="360"/>
        </w:tabs>
        <w:ind w:left="360" w:hanging="360"/>
      </w:pPr>
    </w:lvl>
  </w:abstractNum>
  <w:abstractNum w:abstractNumId="9">
    <w:nsid w:val="FFFFFF89"/>
    <w:multiLevelType w:val="singleLevel"/>
    <w:tmpl w:val="C8DC3AA6"/>
    <w:lvl w:ilvl="0">
      <w:start w:val="1"/>
      <w:numFmt w:val="bullet"/>
      <w:lvlText w:val=""/>
      <w:lvlJc w:val="left"/>
      <w:pPr>
        <w:tabs>
          <w:tab w:val="num" w:pos="360"/>
        </w:tabs>
        <w:ind w:left="360" w:hanging="360"/>
      </w:pPr>
      <w:rPr>
        <w:rFonts w:ascii="Symbol" w:hAnsi="Symbol" w:hint="default"/>
      </w:rPr>
    </w:lvl>
  </w:abstractNum>
  <w:abstractNum w:abstractNumId="10">
    <w:nsid w:val="009911A2"/>
    <w:multiLevelType w:val="hybridMultilevel"/>
    <w:tmpl w:val="477821B4"/>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076E42DC"/>
    <w:multiLevelType w:val="multilevel"/>
    <w:tmpl w:val="6D967668"/>
    <w:lvl w:ilvl="0">
      <w:start w:val="1"/>
      <w:numFmt w:val="none"/>
      <w:lvlText w:val="%1"/>
      <w:lvlJc w:val="left"/>
      <w:pPr>
        <w:tabs>
          <w:tab w:val="num" w:pos="0"/>
        </w:tabs>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2">
    <w:nsid w:val="15F22421"/>
    <w:multiLevelType w:val="multilevel"/>
    <w:tmpl w:val="083AFA2E"/>
    <w:lvl w:ilvl="0">
      <w:start w:val="1"/>
      <w:numFmt w:val="none"/>
      <w:lvlText w:val="%1"/>
      <w:lvlJc w:val="left"/>
      <w:pPr>
        <w:tabs>
          <w:tab w:val="num" w:pos="0"/>
        </w:tabs>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3">
    <w:nsid w:val="162C51DB"/>
    <w:multiLevelType w:val="multilevel"/>
    <w:tmpl w:val="DDE64F1C"/>
    <w:lvl w:ilvl="0">
      <w:start w:val="1"/>
      <w:numFmt w:val="none"/>
      <w:suff w:val="nothing"/>
      <w:lvlText w:val="%1"/>
      <w:lvlJc w:val="left"/>
      <w:pPr>
        <w:ind w:left="0" w:firstLine="0"/>
      </w:pPr>
      <w:rPr>
        <w:rFonts w:hint="default"/>
        <w:u w:val="none"/>
      </w:rPr>
    </w:lvl>
    <w:lvl w:ilvl="1">
      <w:start w:val="1"/>
      <w:numFmt w:val="decimal"/>
      <w:lvlText w:val="%1%2."/>
      <w:lvlJc w:val="left"/>
      <w:pPr>
        <w:tabs>
          <w:tab w:val="num" w:pos="284"/>
        </w:tabs>
        <w:ind w:left="284" w:hanging="284"/>
      </w:pPr>
      <w:rPr>
        <w:rFonts w:hint="default"/>
        <w:u w:val="none"/>
      </w:rPr>
    </w:lvl>
    <w:lvl w:ilvl="2">
      <w:start w:val="1"/>
      <w:numFmt w:val="decimal"/>
      <w:lvlText w:val="%1%2.%3"/>
      <w:lvlJc w:val="left"/>
      <w:pPr>
        <w:tabs>
          <w:tab w:val="num" w:pos="397"/>
        </w:tabs>
        <w:ind w:left="397" w:hanging="397"/>
      </w:pPr>
      <w:rPr>
        <w:rFonts w:hint="default"/>
        <w:u w:val="none"/>
      </w:rPr>
    </w:lvl>
    <w:lvl w:ilvl="3">
      <w:start w:val="1"/>
      <w:numFmt w:val="decimal"/>
      <w:lvlText w:val="%1%2.%3.%4"/>
      <w:lvlJc w:val="left"/>
      <w:pPr>
        <w:tabs>
          <w:tab w:val="num" w:pos="510"/>
        </w:tabs>
        <w:ind w:left="510" w:hanging="510"/>
      </w:pPr>
      <w:rPr>
        <w:rFonts w:hint="default"/>
        <w:u w:val="none"/>
      </w:rPr>
    </w:lvl>
    <w:lvl w:ilvl="4">
      <w:start w:val="1"/>
      <w:numFmt w:val="none"/>
      <w:suff w:val="nothing"/>
      <w:lvlText w:val="%1"/>
      <w:lvlJc w:val="left"/>
      <w:pPr>
        <w:ind w:left="0" w:firstLine="0"/>
      </w:pPr>
      <w:rPr>
        <w:rFonts w:hint="default"/>
        <w:u w:val="none"/>
      </w:rPr>
    </w:lvl>
    <w:lvl w:ilvl="5">
      <w:start w:val="1"/>
      <w:numFmt w:val="none"/>
      <w:suff w:val="nothing"/>
      <w:lvlText w:val="%1"/>
      <w:lvlJc w:val="left"/>
      <w:pPr>
        <w:ind w:left="0" w:firstLine="0"/>
      </w:pPr>
      <w:rPr>
        <w:rFonts w:hint="default"/>
        <w:u w:val="none"/>
      </w:rPr>
    </w:lvl>
    <w:lvl w:ilvl="6">
      <w:start w:val="1"/>
      <w:numFmt w:val="none"/>
      <w:suff w:val="nothing"/>
      <w:lvlText w:val="%1"/>
      <w:lvlJc w:val="left"/>
      <w:pPr>
        <w:ind w:left="0" w:firstLine="0"/>
      </w:pPr>
      <w:rPr>
        <w:rFonts w:hint="default"/>
        <w:u w:val="none"/>
      </w:rPr>
    </w:lvl>
    <w:lvl w:ilvl="7">
      <w:start w:val="1"/>
      <w:numFmt w:val="none"/>
      <w:suff w:val="nothing"/>
      <w:lvlText w:val=""/>
      <w:lvlJc w:val="left"/>
      <w:pPr>
        <w:ind w:left="0" w:firstLine="0"/>
      </w:pPr>
      <w:rPr>
        <w:rFonts w:hint="default"/>
        <w:u w:val="none"/>
      </w:rPr>
    </w:lvl>
    <w:lvl w:ilvl="8">
      <w:start w:val="1"/>
      <w:numFmt w:val="none"/>
      <w:suff w:val="nothing"/>
      <w:lvlText w:val="%1"/>
      <w:lvlJc w:val="left"/>
      <w:pPr>
        <w:ind w:left="0" w:firstLine="0"/>
      </w:pPr>
      <w:rPr>
        <w:rFonts w:hint="default"/>
        <w:u w:val="none"/>
      </w:rPr>
    </w:lvl>
  </w:abstractNum>
  <w:abstractNum w:abstractNumId="14">
    <w:nsid w:val="1CA3495A"/>
    <w:multiLevelType w:val="hybridMultilevel"/>
    <w:tmpl w:val="8E2CD854"/>
    <w:lvl w:ilvl="0" w:tplc="A5346E8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15D1D43"/>
    <w:multiLevelType w:val="multilevel"/>
    <w:tmpl w:val="20303294"/>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ACE5ACE"/>
    <w:multiLevelType w:val="hybridMultilevel"/>
    <w:tmpl w:val="12FCB87A"/>
    <w:lvl w:ilvl="0" w:tplc="30E074B0">
      <w:start w:val="5"/>
      <w:numFmt w:val="bullet"/>
      <w:lvlText w:val="-"/>
      <w:lvlJc w:val="left"/>
      <w:pPr>
        <w:ind w:left="1208" w:hanging="360"/>
      </w:pPr>
      <w:rPr>
        <w:rFonts w:ascii="Arial" w:eastAsia="Times New Roman" w:hAnsi="Arial" w:cs="Arial" w:hint="default"/>
        <w:i/>
        <w:color w:val="000000"/>
      </w:rPr>
    </w:lvl>
    <w:lvl w:ilvl="1" w:tplc="080C0003" w:tentative="1">
      <w:start w:val="1"/>
      <w:numFmt w:val="bullet"/>
      <w:lvlText w:val="o"/>
      <w:lvlJc w:val="left"/>
      <w:pPr>
        <w:ind w:left="1928" w:hanging="360"/>
      </w:pPr>
      <w:rPr>
        <w:rFonts w:ascii="Courier New" w:hAnsi="Courier New" w:cs="Courier New" w:hint="default"/>
      </w:rPr>
    </w:lvl>
    <w:lvl w:ilvl="2" w:tplc="080C0005" w:tentative="1">
      <w:start w:val="1"/>
      <w:numFmt w:val="bullet"/>
      <w:lvlText w:val=""/>
      <w:lvlJc w:val="left"/>
      <w:pPr>
        <w:ind w:left="2648" w:hanging="360"/>
      </w:pPr>
      <w:rPr>
        <w:rFonts w:ascii="Wingdings" w:hAnsi="Wingdings" w:hint="default"/>
      </w:rPr>
    </w:lvl>
    <w:lvl w:ilvl="3" w:tplc="080C0001" w:tentative="1">
      <w:start w:val="1"/>
      <w:numFmt w:val="bullet"/>
      <w:lvlText w:val=""/>
      <w:lvlJc w:val="left"/>
      <w:pPr>
        <w:ind w:left="3368" w:hanging="360"/>
      </w:pPr>
      <w:rPr>
        <w:rFonts w:ascii="Symbol" w:hAnsi="Symbol" w:hint="default"/>
      </w:rPr>
    </w:lvl>
    <w:lvl w:ilvl="4" w:tplc="080C0003" w:tentative="1">
      <w:start w:val="1"/>
      <w:numFmt w:val="bullet"/>
      <w:lvlText w:val="o"/>
      <w:lvlJc w:val="left"/>
      <w:pPr>
        <w:ind w:left="4088" w:hanging="360"/>
      </w:pPr>
      <w:rPr>
        <w:rFonts w:ascii="Courier New" w:hAnsi="Courier New" w:cs="Courier New" w:hint="default"/>
      </w:rPr>
    </w:lvl>
    <w:lvl w:ilvl="5" w:tplc="080C0005" w:tentative="1">
      <w:start w:val="1"/>
      <w:numFmt w:val="bullet"/>
      <w:lvlText w:val=""/>
      <w:lvlJc w:val="left"/>
      <w:pPr>
        <w:ind w:left="4808" w:hanging="360"/>
      </w:pPr>
      <w:rPr>
        <w:rFonts w:ascii="Wingdings" w:hAnsi="Wingdings" w:hint="default"/>
      </w:rPr>
    </w:lvl>
    <w:lvl w:ilvl="6" w:tplc="080C0001" w:tentative="1">
      <w:start w:val="1"/>
      <w:numFmt w:val="bullet"/>
      <w:lvlText w:val=""/>
      <w:lvlJc w:val="left"/>
      <w:pPr>
        <w:ind w:left="5528" w:hanging="360"/>
      </w:pPr>
      <w:rPr>
        <w:rFonts w:ascii="Symbol" w:hAnsi="Symbol" w:hint="default"/>
      </w:rPr>
    </w:lvl>
    <w:lvl w:ilvl="7" w:tplc="080C0003" w:tentative="1">
      <w:start w:val="1"/>
      <w:numFmt w:val="bullet"/>
      <w:lvlText w:val="o"/>
      <w:lvlJc w:val="left"/>
      <w:pPr>
        <w:ind w:left="6248" w:hanging="360"/>
      </w:pPr>
      <w:rPr>
        <w:rFonts w:ascii="Courier New" w:hAnsi="Courier New" w:cs="Courier New" w:hint="default"/>
      </w:rPr>
    </w:lvl>
    <w:lvl w:ilvl="8" w:tplc="080C0005" w:tentative="1">
      <w:start w:val="1"/>
      <w:numFmt w:val="bullet"/>
      <w:lvlText w:val=""/>
      <w:lvlJc w:val="left"/>
      <w:pPr>
        <w:ind w:left="6968" w:hanging="360"/>
      </w:pPr>
      <w:rPr>
        <w:rFonts w:ascii="Wingdings" w:hAnsi="Wingdings" w:hint="default"/>
      </w:rPr>
    </w:lvl>
  </w:abstractNum>
  <w:abstractNum w:abstractNumId="17">
    <w:nsid w:val="32B05212"/>
    <w:multiLevelType w:val="hybridMultilevel"/>
    <w:tmpl w:val="8216F860"/>
    <w:lvl w:ilvl="0" w:tplc="30E074B0">
      <w:start w:val="5"/>
      <w:numFmt w:val="bullet"/>
      <w:lvlText w:val="-"/>
      <w:lvlJc w:val="left"/>
      <w:pPr>
        <w:ind w:left="720" w:hanging="360"/>
      </w:pPr>
      <w:rPr>
        <w:rFonts w:ascii="Arial" w:eastAsia="Times New Roman" w:hAnsi="Arial" w:cs="Arial" w:hint="default"/>
        <w:i/>
        <w:color w:val="00000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356D4BB1"/>
    <w:multiLevelType w:val="multilevel"/>
    <w:tmpl w:val="42A63D7C"/>
    <w:lvl w:ilvl="0">
      <w:start w:val="1"/>
      <w:numFmt w:val="none"/>
      <w:suff w:val="space"/>
      <w:lvlText w:val="%1."/>
      <w:lvlJc w:val="left"/>
      <w:pPr>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9">
    <w:nsid w:val="361B5BC9"/>
    <w:multiLevelType w:val="multilevel"/>
    <w:tmpl w:val="4CBC15FC"/>
    <w:lvl w:ilvl="0">
      <w:start w:val="1"/>
      <w:numFmt w:val="none"/>
      <w:lvlText w:val=""/>
      <w:lvlJc w:val="left"/>
      <w:pPr>
        <w:tabs>
          <w:tab w:val="num" w:pos="0"/>
        </w:tabs>
        <w:ind w:left="0" w:firstLine="0"/>
      </w:pPr>
      <w:rPr>
        <w:rFonts w:hint="default"/>
      </w:rPr>
    </w:lvl>
    <w:lvl w:ilvl="1">
      <w:start w:val="1"/>
      <w:numFmt w:val="decimal"/>
      <w:lvlText w:val="%2."/>
      <w:lvlJc w:val="left"/>
      <w:pPr>
        <w:tabs>
          <w:tab w:val="num" w:pos="227"/>
        </w:tabs>
        <w:ind w:left="227" w:hanging="22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454"/>
        </w:tabs>
        <w:ind w:left="454" w:hanging="454"/>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20">
    <w:nsid w:val="361F0C47"/>
    <w:multiLevelType w:val="multilevel"/>
    <w:tmpl w:val="9F8C365E"/>
    <w:lvl w:ilvl="0">
      <w:start w:val="1"/>
      <w:numFmt w:val="none"/>
      <w:lvlText w:val=""/>
      <w:lvlJc w:val="left"/>
      <w:pPr>
        <w:tabs>
          <w:tab w:val="num" w:pos="0"/>
        </w:tabs>
        <w:ind w:left="0" w:firstLine="0"/>
      </w:pPr>
      <w:rPr>
        <w:rFonts w:hint="default"/>
      </w:rPr>
    </w:lvl>
    <w:lvl w:ilvl="1">
      <w:start w:val="1"/>
      <w:numFmt w:val="decimal"/>
      <w:lvlText w:val="%2."/>
      <w:lvlJc w:val="left"/>
      <w:pPr>
        <w:tabs>
          <w:tab w:val="num" w:pos="227"/>
        </w:tabs>
        <w:ind w:left="227" w:hanging="22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454"/>
        </w:tabs>
        <w:ind w:left="454" w:hanging="454"/>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21">
    <w:nsid w:val="373F18B8"/>
    <w:multiLevelType w:val="multilevel"/>
    <w:tmpl w:val="462A3074"/>
    <w:lvl w:ilvl="0">
      <w:start w:val="1"/>
      <w:numFmt w:val="none"/>
      <w:lvlText w:val="%1"/>
      <w:lvlJc w:val="left"/>
      <w:pPr>
        <w:tabs>
          <w:tab w:val="num" w:pos="0"/>
        </w:tabs>
        <w:ind w:left="0" w:firstLine="0"/>
      </w:pPr>
      <w:rPr>
        <w:rFonts w:hint="default"/>
        <w:u w:val="none"/>
      </w:rPr>
    </w:lvl>
    <w:lvl w:ilvl="1">
      <w:start w:val="1"/>
      <w:numFmt w:val="decimal"/>
      <w:lvlText w:val="%1%2."/>
      <w:lvlJc w:val="left"/>
      <w:pPr>
        <w:tabs>
          <w:tab w:val="num" w:pos="284"/>
        </w:tabs>
        <w:ind w:left="284" w:hanging="284"/>
      </w:pPr>
      <w:rPr>
        <w:rFonts w:hint="default"/>
        <w:u w:val="none"/>
      </w:rPr>
    </w:lvl>
    <w:lvl w:ilvl="2">
      <w:start w:val="1"/>
      <w:numFmt w:val="decimal"/>
      <w:lvlText w:val="%1%2.%3"/>
      <w:lvlJc w:val="left"/>
      <w:pPr>
        <w:tabs>
          <w:tab w:val="num" w:pos="397"/>
        </w:tabs>
        <w:ind w:left="397" w:hanging="397"/>
      </w:pPr>
      <w:rPr>
        <w:rFonts w:hint="default"/>
        <w:u w:val="none"/>
      </w:rPr>
    </w:lvl>
    <w:lvl w:ilvl="3">
      <w:start w:val="1"/>
      <w:numFmt w:val="decimal"/>
      <w:lvlText w:val="%1%2.%3.%4"/>
      <w:lvlJc w:val="left"/>
      <w:pPr>
        <w:tabs>
          <w:tab w:val="num" w:pos="510"/>
        </w:tabs>
        <w:ind w:left="510" w:hanging="510"/>
      </w:pPr>
      <w:rPr>
        <w:rFonts w:hint="default"/>
        <w:u w:val="none"/>
      </w:rPr>
    </w:lvl>
    <w:lvl w:ilvl="4">
      <w:start w:val="1"/>
      <w:numFmt w:val="none"/>
      <w:suff w:val="nothing"/>
      <w:lvlText w:val="%1"/>
      <w:lvlJc w:val="left"/>
      <w:pPr>
        <w:ind w:left="0" w:firstLine="0"/>
      </w:pPr>
      <w:rPr>
        <w:rFonts w:hint="default"/>
        <w:u w:val="none"/>
      </w:rPr>
    </w:lvl>
    <w:lvl w:ilvl="5">
      <w:start w:val="1"/>
      <w:numFmt w:val="none"/>
      <w:suff w:val="nothing"/>
      <w:lvlText w:val="%1"/>
      <w:lvlJc w:val="left"/>
      <w:pPr>
        <w:ind w:left="0" w:firstLine="0"/>
      </w:pPr>
      <w:rPr>
        <w:rFonts w:hint="default"/>
        <w:u w:val="none"/>
      </w:rPr>
    </w:lvl>
    <w:lvl w:ilvl="6">
      <w:start w:val="1"/>
      <w:numFmt w:val="none"/>
      <w:suff w:val="nothing"/>
      <w:lvlText w:val="%1"/>
      <w:lvlJc w:val="left"/>
      <w:pPr>
        <w:ind w:left="0" w:firstLine="0"/>
      </w:pPr>
      <w:rPr>
        <w:rFonts w:hint="default"/>
        <w:u w:val="none"/>
      </w:rPr>
    </w:lvl>
    <w:lvl w:ilvl="7">
      <w:start w:val="1"/>
      <w:numFmt w:val="none"/>
      <w:suff w:val="nothing"/>
      <w:lvlText w:val=""/>
      <w:lvlJc w:val="left"/>
      <w:pPr>
        <w:ind w:left="0" w:firstLine="0"/>
      </w:pPr>
      <w:rPr>
        <w:rFonts w:hint="default"/>
        <w:u w:val="none"/>
      </w:rPr>
    </w:lvl>
    <w:lvl w:ilvl="8">
      <w:start w:val="1"/>
      <w:numFmt w:val="none"/>
      <w:suff w:val="nothing"/>
      <w:lvlText w:val="%1"/>
      <w:lvlJc w:val="left"/>
      <w:pPr>
        <w:ind w:left="0" w:firstLine="0"/>
      </w:pPr>
      <w:rPr>
        <w:rFonts w:hint="default"/>
        <w:u w:val="none"/>
      </w:rPr>
    </w:lvl>
  </w:abstractNum>
  <w:abstractNum w:abstractNumId="22">
    <w:nsid w:val="3D3A0A8E"/>
    <w:multiLevelType w:val="multilevel"/>
    <w:tmpl w:val="46C2EAE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41575B30"/>
    <w:multiLevelType w:val="multilevel"/>
    <w:tmpl w:val="1E3660A2"/>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423F3443"/>
    <w:multiLevelType w:val="multilevel"/>
    <w:tmpl w:val="A6687038"/>
    <w:lvl w:ilvl="0">
      <w:start w:val="1"/>
      <w:numFmt w:val="decimal"/>
      <w:pStyle w:val="Heading1"/>
      <w:lvlText w:val="%1."/>
      <w:lvlJc w:val="left"/>
      <w:pPr>
        <w:ind w:left="357" w:hanging="357"/>
      </w:pPr>
      <w:rPr>
        <w:rFonts w:hint="default"/>
      </w:rPr>
    </w:lvl>
    <w:lvl w:ilvl="1">
      <w:start w:val="1"/>
      <w:numFmt w:val="upperLetter"/>
      <w:pStyle w:val="Heading2"/>
      <w:lvlText w:val="%1.%2."/>
      <w:lvlJc w:val="left"/>
      <w:pPr>
        <w:ind w:left="567" w:hanging="567"/>
      </w:pPr>
      <w:rPr>
        <w:rFonts w:hint="default"/>
      </w:rPr>
    </w:lvl>
    <w:lvl w:ilvl="2">
      <w:numFmt w:val="decimal"/>
      <w:pStyle w:val="Heading3"/>
      <w:lvlText w:val="%1.%2.%3."/>
      <w:lvlJc w:val="left"/>
      <w:pPr>
        <w:ind w:left="709" w:hanging="709"/>
      </w:pPr>
      <w:rPr>
        <w:rFonts w:hint="default"/>
      </w:rPr>
    </w:lvl>
    <w:lvl w:ilvl="3">
      <w:start w:val="1"/>
      <w:numFmt w:val="lowerLetter"/>
      <w:pStyle w:val="Heading4"/>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427549C2"/>
    <w:multiLevelType w:val="hybridMultilevel"/>
    <w:tmpl w:val="D4463D9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nsid w:val="4AC35C05"/>
    <w:multiLevelType w:val="hybridMultilevel"/>
    <w:tmpl w:val="0E7E4CA4"/>
    <w:lvl w:ilvl="0" w:tplc="A5346E8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BF5274"/>
    <w:multiLevelType w:val="hybridMultilevel"/>
    <w:tmpl w:val="D11CA0D6"/>
    <w:lvl w:ilvl="0" w:tplc="F7422CC0">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55847C49"/>
    <w:multiLevelType w:val="multilevel"/>
    <w:tmpl w:val="44F4C87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5A9E3A8C"/>
    <w:multiLevelType w:val="multilevel"/>
    <w:tmpl w:val="8200A2C0"/>
    <w:lvl w:ilvl="0">
      <w:start w:val="1"/>
      <w:numFmt w:val="decimal"/>
      <w:lvlText w:val="%1."/>
      <w:lvlJc w:val="left"/>
      <w:pPr>
        <w:tabs>
          <w:tab w:val="num" w:pos="255"/>
        </w:tabs>
        <w:ind w:left="255" w:hanging="255"/>
      </w:pPr>
      <w:rPr>
        <w:rFonts w:hint="default"/>
      </w:rPr>
    </w:lvl>
    <w:lvl w:ilvl="1">
      <w:start w:val="1"/>
      <w:numFmt w:val="decimal"/>
      <w:lvlText w:val="%2"/>
      <w:lvlJc w:val="left"/>
      <w:pPr>
        <w:tabs>
          <w:tab w:val="num" w:pos="0"/>
        </w:tabs>
        <w:ind w:left="0" w:firstLine="0"/>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5CCA7F7E"/>
    <w:multiLevelType w:val="multilevel"/>
    <w:tmpl w:val="0936A182"/>
    <w:lvl w:ilvl="0">
      <w:start w:val="1"/>
      <w:numFmt w:val="none"/>
      <w:lvlText w:val=""/>
      <w:lvlJc w:val="left"/>
      <w:pPr>
        <w:tabs>
          <w:tab w:val="num" w:pos="0"/>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510"/>
        </w:tabs>
        <w:ind w:left="510" w:hanging="51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31">
    <w:nsid w:val="60B95EA5"/>
    <w:multiLevelType w:val="multilevel"/>
    <w:tmpl w:val="A86CA668"/>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695A7236"/>
    <w:multiLevelType w:val="multilevel"/>
    <w:tmpl w:val="84DEC9D6"/>
    <w:lvl w:ilvl="0">
      <w:start w:val="1"/>
      <w:numFmt w:val="none"/>
      <w:lvlText w:val=""/>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5%1"/>
      <w:lvlJc w:val="left"/>
      <w:pPr>
        <w:tabs>
          <w:tab w:val="num" w:pos="0"/>
        </w:tabs>
        <w:ind w:left="0" w:firstLine="0"/>
      </w:pPr>
      <w:rPr>
        <w:rFonts w:hint="default"/>
      </w:rPr>
    </w:lvl>
    <w:lvl w:ilvl="5">
      <w:start w:val="1"/>
      <w:numFmt w:val="decimal"/>
      <w:lvlText w:val="%6%1"/>
      <w:lvlJc w:val="left"/>
      <w:pPr>
        <w:tabs>
          <w:tab w:val="num" w:pos="0"/>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6B74003B"/>
    <w:multiLevelType w:val="hybridMultilevel"/>
    <w:tmpl w:val="01D222D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6D911FC9"/>
    <w:multiLevelType w:val="multilevel"/>
    <w:tmpl w:val="12D85406"/>
    <w:lvl w:ilvl="0">
      <w:start w:val="1"/>
      <w:numFmt w:val="none"/>
      <w:lvlText w:val="%1"/>
      <w:lvlJc w:val="left"/>
      <w:pPr>
        <w:tabs>
          <w:tab w:val="num" w:pos="284"/>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2.%3"/>
      <w:lvlJc w:val="left"/>
      <w:pPr>
        <w:tabs>
          <w:tab w:val="num" w:pos="284"/>
        </w:tabs>
        <w:ind w:left="284" w:hanging="284"/>
      </w:pPr>
      <w:rPr>
        <w:rFonts w:hint="default"/>
      </w:rPr>
    </w:lvl>
    <w:lvl w:ilvl="3">
      <w:start w:val="1"/>
      <w:numFmt w:val="decimal"/>
      <w:lvlText w:val="%2.%3.%4"/>
      <w:lvlJc w:val="left"/>
      <w:pPr>
        <w:tabs>
          <w:tab w:val="num" w:pos="397"/>
        </w:tabs>
        <w:ind w:left="397" w:hanging="397"/>
      </w:pPr>
      <w:rPr>
        <w:rFonts w:hint="default"/>
      </w:rPr>
    </w:lvl>
    <w:lvl w:ilvl="4">
      <w:start w:val="1"/>
      <w:numFmt w:val="none"/>
      <w:lvlText w:val=""/>
      <w:lvlJc w:val="left"/>
      <w:pPr>
        <w:tabs>
          <w:tab w:val="num" w:pos="510"/>
        </w:tabs>
        <w:ind w:left="510" w:hanging="510"/>
      </w:pPr>
      <w:rPr>
        <w:rFonts w:hint="default"/>
      </w:rPr>
    </w:lvl>
    <w:lvl w:ilvl="5">
      <w:start w:val="1"/>
      <w:numFmt w:val="none"/>
      <w:lvlText w:val=""/>
      <w:lvlJc w:val="left"/>
      <w:pPr>
        <w:tabs>
          <w:tab w:val="num" w:pos="0"/>
        </w:tabs>
        <w:ind w:left="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5">
    <w:nsid w:val="70FE10F4"/>
    <w:multiLevelType w:val="multilevel"/>
    <w:tmpl w:val="192C0D2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71B44794"/>
    <w:multiLevelType w:val="hybridMultilevel"/>
    <w:tmpl w:val="541403DC"/>
    <w:lvl w:ilvl="0" w:tplc="080C000D">
      <w:start w:val="1"/>
      <w:numFmt w:val="bullet"/>
      <w:lvlText w:val=""/>
      <w:lvlJc w:val="left"/>
      <w:pPr>
        <w:ind w:left="720" w:hanging="360"/>
      </w:pPr>
      <w:rPr>
        <w:rFonts w:ascii="Wingdings" w:hAnsi="Wingdings" w:hint="default"/>
        <w:i/>
        <w:color w:val="00000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nsid w:val="756E43D2"/>
    <w:multiLevelType w:val="multilevel"/>
    <w:tmpl w:val="64685F3A"/>
    <w:lvl w:ilvl="0">
      <w:start w:val="1"/>
      <w:numFmt w:val="none"/>
      <w:lvlText w:val=""/>
      <w:lvlJc w:val="left"/>
      <w:pPr>
        <w:tabs>
          <w:tab w:val="num" w:pos="0"/>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510"/>
        </w:tabs>
        <w:ind w:left="510" w:hanging="51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38">
    <w:nsid w:val="77D45783"/>
    <w:multiLevelType w:val="multilevel"/>
    <w:tmpl w:val="0BDE938A"/>
    <w:lvl w:ilvl="0">
      <w:start w:val="1"/>
      <w:numFmt w:val="none"/>
      <w:suff w:val="space"/>
      <w:lvlText w:val="%1"/>
      <w:lvlJc w:val="left"/>
      <w:pPr>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39">
    <w:nsid w:val="7D947388"/>
    <w:multiLevelType w:val="hybridMultilevel"/>
    <w:tmpl w:val="E6AE60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31"/>
  </w:num>
  <w:num w:numId="12">
    <w:abstractNumId w:val="23"/>
  </w:num>
  <w:num w:numId="13">
    <w:abstractNumId w:val="35"/>
  </w:num>
  <w:num w:numId="14">
    <w:abstractNumId w:val="28"/>
  </w:num>
  <w:num w:numId="15">
    <w:abstractNumId w:val="22"/>
  </w:num>
  <w:num w:numId="16">
    <w:abstractNumId w:val="15"/>
  </w:num>
  <w:num w:numId="17">
    <w:abstractNumId w:val="37"/>
  </w:num>
  <w:num w:numId="18">
    <w:abstractNumId w:val="13"/>
  </w:num>
  <w:num w:numId="19">
    <w:abstractNumId w:val="18"/>
  </w:num>
  <w:num w:numId="20">
    <w:abstractNumId w:val="38"/>
  </w:num>
  <w:num w:numId="21">
    <w:abstractNumId w:val="12"/>
  </w:num>
  <w:num w:numId="22">
    <w:abstractNumId w:val="29"/>
  </w:num>
  <w:num w:numId="23">
    <w:abstractNumId w:val="32"/>
  </w:num>
  <w:num w:numId="24">
    <w:abstractNumId w:val="20"/>
  </w:num>
  <w:num w:numId="25">
    <w:abstractNumId w:val="19"/>
  </w:num>
  <w:num w:numId="26">
    <w:abstractNumId w:val="30"/>
  </w:num>
  <w:num w:numId="27">
    <w:abstractNumId w:val="11"/>
  </w:num>
  <w:num w:numId="28">
    <w:abstractNumId w:val="21"/>
  </w:num>
  <w:num w:numId="29">
    <w:abstractNumId w:val="34"/>
  </w:num>
  <w:num w:numId="30">
    <w:abstractNumId w:val="24"/>
  </w:num>
  <w:num w:numId="31">
    <w:abstractNumId w:val="33"/>
  </w:num>
  <w:num w:numId="32">
    <w:abstractNumId w:val="27"/>
  </w:num>
  <w:num w:numId="33">
    <w:abstractNumId w:val="10"/>
  </w:num>
  <w:num w:numId="34">
    <w:abstractNumId w:val="16"/>
  </w:num>
  <w:num w:numId="35">
    <w:abstractNumId w:val="25"/>
  </w:num>
  <w:num w:numId="36">
    <w:abstractNumId w:val="17"/>
  </w:num>
  <w:num w:numId="37">
    <w:abstractNumId w:val="36"/>
  </w:num>
  <w:num w:numId="38">
    <w:abstractNumId w:val="14"/>
  </w:num>
  <w:num w:numId="39">
    <w:abstractNumId w:val="26"/>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mirrorMargins/>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fr-BE" w:vendorID="9" w:dllVersion="512" w:checkStyle="1"/>
  <w:activeWritingStyle w:appName="MSWord" w:lang="en-US" w:vendorID="8" w:dllVersion="513" w:checkStyle="1"/>
  <w:activeWritingStyle w:appName="MSWord" w:lang="nl-NL" w:vendorID="1" w:dllVersion="512" w:checkStyle="1"/>
  <w:activeWritingStyle w:appName="MSWord" w:lang="nl-BE" w:vendorID="1" w:dllVersion="512"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oNotHyphenateCaps/>
  <w:evenAndOddHeader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5057"/>
  </w:hdrShapeDefaults>
  <w:footnotePr>
    <w:numRestart w:val="eachSec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6AE"/>
    <w:rsid w:val="000066CA"/>
    <w:rsid w:val="00024A9E"/>
    <w:rsid w:val="000327D2"/>
    <w:rsid w:val="0003333C"/>
    <w:rsid w:val="00036E81"/>
    <w:rsid w:val="0004319E"/>
    <w:rsid w:val="0004570B"/>
    <w:rsid w:val="00051F2C"/>
    <w:rsid w:val="00053EEF"/>
    <w:rsid w:val="0006119D"/>
    <w:rsid w:val="00062C1B"/>
    <w:rsid w:val="00064AC6"/>
    <w:rsid w:val="00082FA7"/>
    <w:rsid w:val="000869C2"/>
    <w:rsid w:val="00090275"/>
    <w:rsid w:val="00097598"/>
    <w:rsid w:val="000A1DA9"/>
    <w:rsid w:val="000B6341"/>
    <w:rsid w:val="000B6441"/>
    <w:rsid w:val="000C35AA"/>
    <w:rsid w:val="000C37AB"/>
    <w:rsid w:val="000D10C0"/>
    <w:rsid w:val="000D405E"/>
    <w:rsid w:val="000E0090"/>
    <w:rsid w:val="000E2A68"/>
    <w:rsid w:val="000E5338"/>
    <w:rsid w:val="000F1EB6"/>
    <w:rsid w:val="000F24D4"/>
    <w:rsid w:val="000F7268"/>
    <w:rsid w:val="000F7C34"/>
    <w:rsid w:val="001126F5"/>
    <w:rsid w:val="001130BC"/>
    <w:rsid w:val="00114821"/>
    <w:rsid w:val="00117F31"/>
    <w:rsid w:val="00124312"/>
    <w:rsid w:val="00124AA8"/>
    <w:rsid w:val="00133D4B"/>
    <w:rsid w:val="0013735D"/>
    <w:rsid w:val="00145EF1"/>
    <w:rsid w:val="00147933"/>
    <w:rsid w:val="001516F5"/>
    <w:rsid w:val="0015337A"/>
    <w:rsid w:val="00154310"/>
    <w:rsid w:val="001548A9"/>
    <w:rsid w:val="00155349"/>
    <w:rsid w:val="00160D31"/>
    <w:rsid w:val="00167ACD"/>
    <w:rsid w:val="00172DAF"/>
    <w:rsid w:val="00175ADE"/>
    <w:rsid w:val="001763C2"/>
    <w:rsid w:val="001767CB"/>
    <w:rsid w:val="0018502B"/>
    <w:rsid w:val="0018615D"/>
    <w:rsid w:val="00186EC7"/>
    <w:rsid w:val="0019158E"/>
    <w:rsid w:val="00197FEB"/>
    <w:rsid w:val="001A1D68"/>
    <w:rsid w:val="001A7DC7"/>
    <w:rsid w:val="001B4EEE"/>
    <w:rsid w:val="001B7F21"/>
    <w:rsid w:val="001D503F"/>
    <w:rsid w:val="001F1805"/>
    <w:rsid w:val="001F711D"/>
    <w:rsid w:val="001F7FC8"/>
    <w:rsid w:val="00200D79"/>
    <w:rsid w:val="00202B0B"/>
    <w:rsid w:val="00204BE8"/>
    <w:rsid w:val="00215E02"/>
    <w:rsid w:val="00221231"/>
    <w:rsid w:val="00223911"/>
    <w:rsid w:val="002307B0"/>
    <w:rsid w:val="00231694"/>
    <w:rsid w:val="002333AF"/>
    <w:rsid w:val="00233828"/>
    <w:rsid w:val="002406B2"/>
    <w:rsid w:val="002477FA"/>
    <w:rsid w:val="002554D2"/>
    <w:rsid w:val="00261D63"/>
    <w:rsid w:val="002754A4"/>
    <w:rsid w:val="00275C1C"/>
    <w:rsid w:val="00276804"/>
    <w:rsid w:val="00277EDB"/>
    <w:rsid w:val="002859A3"/>
    <w:rsid w:val="00287538"/>
    <w:rsid w:val="0028790D"/>
    <w:rsid w:val="00291C9C"/>
    <w:rsid w:val="002A5E10"/>
    <w:rsid w:val="002B5743"/>
    <w:rsid w:val="002C1A85"/>
    <w:rsid w:val="002D5723"/>
    <w:rsid w:val="002D75B3"/>
    <w:rsid w:val="002E10A2"/>
    <w:rsid w:val="002E15B9"/>
    <w:rsid w:val="002E409B"/>
    <w:rsid w:val="002E5144"/>
    <w:rsid w:val="002E7D83"/>
    <w:rsid w:val="002F1611"/>
    <w:rsid w:val="003116AA"/>
    <w:rsid w:val="003135E6"/>
    <w:rsid w:val="003364D4"/>
    <w:rsid w:val="00336912"/>
    <w:rsid w:val="003419C5"/>
    <w:rsid w:val="003519BC"/>
    <w:rsid w:val="00352B22"/>
    <w:rsid w:val="00353178"/>
    <w:rsid w:val="00353E3D"/>
    <w:rsid w:val="00354956"/>
    <w:rsid w:val="00362513"/>
    <w:rsid w:val="00365065"/>
    <w:rsid w:val="00365FFE"/>
    <w:rsid w:val="00377371"/>
    <w:rsid w:val="003802EE"/>
    <w:rsid w:val="0038095A"/>
    <w:rsid w:val="00381F4A"/>
    <w:rsid w:val="00383392"/>
    <w:rsid w:val="00387716"/>
    <w:rsid w:val="00395A49"/>
    <w:rsid w:val="00397DDA"/>
    <w:rsid w:val="003B1662"/>
    <w:rsid w:val="003B7866"/>
    <w:rsid w:val="003D7096"/>
    <w:rsid w:val="003E4928"/>
    <w:rsid w:val="003F2836"/>
    <w:rsid w:val="003F792F"/>
    <w:rsid w:val="004003CC"/>
    <w:rsid w:val="00407822"/>
    <w:rsid w:val="00412C56"/>
    <w:rsid w:val="0042595A"/>
    <w:rsid w:val="004275C8"/>
    <w:rsid w:val="00437A4B"/>
    <w:rsid w:val="004449B7"/>
    <w:rsid w:val="00450949"/>
    <w:rsid w:val="00452093"/>
    <w:rsid w:val="004540E1"/>
    <w:rsid w:val="00454C65"/>
    <w:rsid w:val="00456DEB"/>
    <w:rsid w:val="004619EE"/>
    <w:rsid w:val="00464101"/>
    <w:rsid w:val="004679FA"/>
    <w:rsid w:val="00477F18"/>
    <w:rsid w:val="00485F3C"/>
    <w:rsid w:val="004A477F"/>
    <w:rsid w:val="004A4C5C"/>
    <w:rsid w:val="004B400F"/>
    <w:rsid w:val="004C14FA"/>
    <w:rsid w:val="004C2424"/>
    <w:rsid w:val="004D12DD"/>
    <w:rsid w:val="004E136D"/>
    <w:rsid w:val="004F04DA"/>
    <w:rsid w:val="004F0F6B"/>
    <w:rsid w:val="004F41BA"/>
    <w:rsid w:val="005033DA"/>
    <w:rsid w:val="0050792E"/>
    <w:rsid w:val="0051268A"/>
    <w:rsid w:val="00552963"/>
    <w:rsid w:val="0055492B"/>
    <w:rsid w:val="00557A3F"/>
    <w:rsid w:val="0056043D"/>
    <w:rsid w:val="005616A3"/>
    <w:rsid w:val="00561A9A"/>
    <w:rsid w:val="00567693"/>
    <w:rsid w:val="00571A24"/>
    <w:rsid w:val="00582D56"/>
    <w:rsid w:val="00587ADE"/>
    <w:rsid w:val="00592469"/>
    <w:rsid w:val="00592957"/>
    <w:rsid w:val="005932C7"/>
    <w:rsid w:val="0059396D"/>
    <w:rsid w:val="005A3DA7"/>
    <w:rsid w:val="005B1D88"/>
    <w:rsid w:val="005B3743"/>
    <w:rsid w:val="005B4C1C"/>
    <w:rsid w:val="005C1AD1"/>
    <w:rsid w:val="005C1B25"/>
    <w:rsid w:val="005C3450"/>
    <w:rsid w:val="005C3F84"/>
    <w:rsid w:val="005D16AE"/>
    <w:rsid w:val="005E33F6"/>
    <w:rsid w:val="006107D5"/>
    <w:rsid w:val="00610B4E"/>
    <w:rsid w:val="00611D42"/>
    <w:rsid w:val="00611E02"/>
    <w:rsid w:val="00620BFC"/>
    <w:rsid w:val="00627AF2"/>
    <w:rsid w:val="0063089E"/>
    <w:rsid w:val="006316A4"/>
    <w:rsid w:val="00631E3C"/>
    <w:rsid w:val="00634558"/>
    <w:rsid w:val="00635AD7"/>
    <w:rsid w:val="00635DCE"/>
    <w:rsid w:val="006372C7"/>
    <w:rsid w:val="006376E3"/>
    <w:rsid w:val="006506E6"/>
    <w:rsid w:val="00651843"/>
    <w:rsid w:val="00653A88"/>
    <w:rsid w:val="006602F1"/>
    <w:rsid w:val="006626A0"/>
    <w:rsid w:val="00667481"/>
    <w:rsid w:val="00667857"/>
    <w:rsid w:val="006703F5"/>
    <w:rsid w:val="0067198D"/>
    <w:rsid w:val="0068065A"/>
    <w:rsid w:val="00683802"/>
    <w:rsid w:val="0068679D"/>
    <w:rsid w:val="0069769C"/>
    <w:rsid w:val="00697F48"/>
    <w:rsid w:val="006A3829"/>
    <w:rsid w:val="006B6BFC"/>
    <w:rsid w:val="006B7F19"/>
    <w:rsid w:val="006E7D13"/>
    <w:rsid w:val="00702DA6"/>
    <w:rsid w:val="00706B32"/>
    <w:rsid w:val="0071004E"/>
    <w:rsid w:val="00714070"/>
    <w:rsid w:val="007148AA"/>
    <w:rsid w:val="00730DDA"/>
    <w:rsid w:val="00733829"/>
    <w:rsid w:val="00733DE9"/>
    <w:rsid w:val="00741E9C"/>
    <w:rsid w:val="007459B1"/>
    <w:rsid w:val="00750B57"/>
    <w:rsid w:val="00752FC4"/>
    <w:rsid w:val="007654E7"/>
    <w:rsid w:val="00766DE5"/>
    <w:rsid w:val="00766F4D"/>
    <w:rsid w:val="0077019B"/>
    <w:rsid w:val="00773E81"/>
    <w:rsid w:val="00785B6F"/>
    <w:rsid w:val="00787601"/>
    <w:rsid w:val="00796920"/>
    <w:rsid w:val="00797BED"/>
    <w:rsid w:val="007A1C59"/>
    <w:rsid w:val="007A1F21"/>
    <w:rsid w:val="007A3EF3"/>
    <w:rsid w:val="007A552B"/>
    <w:rsid w:val="007A6D1E"/>
    <w:rsid w:val="007B25F7"/>
    <w:rsid w:val="007B793B"/>
    <w:rsid w:val="007C6D45"/>
    <w:rsid w:val="007E0494"/>
    <w:rsid w:val="007E0667"/>
    <w:rsid w:val="007E71C9"/>
    <w:rsid w:val="007F0A8C"/>
    <w:rsid w:val="007F462A"/>
    <w:rsid w:val="007F5AF5"/>
    <w:rsid w:val="007F78DB"/>
    <w:rsid w:val="00804480"/>
    <w:rsid w:val="00805AFA"/>
    <w:rsid w:val="0081015C"/>
    <w:rsid w:val="00814FBE"/>
    <w:rsid w:val="00821F74"/>
    <w:rsid w:val="00822375"/>
    <w:rsid w:val="00824A23"/>
    <w:rsid w:val="00836C05"/>
    <w:rsid w:val="008437C4"/>
    <w:rsid w:val="00843F67"/>
    <w:rsid w:val="00847145"/>
    <w:rsid w:val="008503E8"/>
    <w:rsid w:val="008771A8"/>
    <w:rsid w:val="008837CF"/>
    <w:rsid w:val="00896CFE"/>
    <w:rsid w:val="008977A1"/>
    <w:rsid w:val="008C3AAF"/>
    <w:rsid w:val="008C4032"/>
    <w:rsid w:val="008E5948"/>
    <w:rsid w:val="008E6931"/>
    <w:rsid w:val="0090354E"/>
    <w:rsid w:val="0090398E"/>
    <w:rsid w:val="00905D03"/>
    <w:rsid w:val="009066CB"/>
    <w:rsid w:val="00914031"/>
    <w:rsid w:val="00932175"/>
    <w:rsid w:val="00932DD3"/>
    <w:rsid w:val="00935B26"/>
    <w:rsid w:val="00937808"/>
    <w:rsid w:val="00940C81"/>
    <w:rsid w:val="00942B19"/>
    <w:rsid w:val="00942EE2"/>
    <w:rsid w:val="009466D6"/>
    <w:rsid w:val="00947C4D"/>
    <w:rsid w:val="00950C45"/>
    <w:rsid w:val="00954143"/>
    <w:rsid w:val="009600D3"/>
    <w:rsid w:val="00974952"/>
    <w:rsid w:val="00977D9F"/>
    <w:rsid w:val="00981916"/>
    <w:rsid w:val="00983714"/>
    <w:rsid w:val="00985229"/>
    <w:rsid w:val="00987DEA"/>
    <w:rsid w:val="00991E7A"/>
    <w:rsid w:val="009939BE"/>
    <w:rsid w:val="00994BF4"/>
    <w:rsid w:val="009A0346"/>
    <w:rsid w:val="009A140C"/>
    <w:rsid w:val="009B132A"/>
    <w:rsid w:val="009B6FA0"/>
    <w:rsid w:val="009C0BC7"/>
    <w:rsid w:val="009D10D0"/>
    <w:rsid w:val="009D1225"/>
    <w:rsid w:val="009D15BD"/>
    <w:rsid w:val="009D277D"/>
    <w:rsid w:val="009D3040"/>
    <w:rsid w:val="009D3082"/>
    <w:rsid w:val="009D784B"/>
    <w:rsid w:val="009E2A0A"/>
    <w:rsid w:val="009E56DB"/>
    <w:rsid w:val="00A01013"/>
    <w:rsid w:val="00A06B19"/>
    <w:rsid w:val="00A11F91"/>
    <w:rsid w:val="00A122B7"/>
    <w:rsid w:val="00A141C9"/>
    <w:rsid w:val="00A147E1"/>
    <w:rsid w:val="00A16F91"/>
    <w:rsid w:val="00A17571"/>
    <w:rsid w:val="00A2514A"/>
    <w:rsid w:val="00A25A33"/>
    <w:rsid w:val="00A267AD"/>
    <w:rsid w:val="00A351FF"/>
    <w:rsid w:val="00A355E9"/>
    <w:rsid w:val="00A51FAA"/>
    <w:rsid w:val="00A55A96"/>
    <w:rsid w:val="00A56340"/>
    <w:rsid w:val="00A605D0"/>
    <w:rsid w:val="00A621A5"/>
    <w:rsid w:val="00A62501"/>
    <w:rsid w:val="00A679F2"/>
    <w:rsid w:val="00A709E5"/>
    <w:rsid w:val="00A70F2E"/>
    <w:rsid w:val="00A7250C"/>
    <w:rsid w:val="00A73D60"/>
    <w:rsid w:val="00A81324"/>
    <w:rsid w:val="00A83B23"/>
    <w:rsid w:val="00A876D8"/>
    <w:rsid w:val="00A912F7"/>
    <w:rsid w:val="00A973C8"/>
    <w:rsid w:val="00AA074E"/>
    <w:rsid w:val="00AB4D11"/>
    <w:rsid w:val="00AB5B67"/>
    <w:rsid w:val="00AB5F38"/>
    <w:rsid w:val="00AB6BD9"/>
    <w:rsid w:val="00AC619F"/>
    <w:rsid w:val="00AD7BAB"/>
    <w:rsid w:val="00AE028E"/>
    <w:rsid w:val="00AE0FA5"/>
    <w:rsid w:val="00AF77D2"/>
    <w:rsid w:val="00B04933"/>
    <w:rsid w:val="00B06300"/>
    <w:rsid w:val="00B11BB2"/>
    <w:rsid w:val="00B144C0"/>
    <w:rsid w:val="00B338D7"/>
    <w:rsid w:val="00B34FEF"/>
    <w:rsid w:val="00B352D4"/>
    <w:rsid w:val="00B402AF"/>
    <w:rsid w:val="00B404A0"/>
    <w:rsid w:val="00B41942"/>
    <w:rsid w:val="00B44C6F"/>
    <w:rsid w:val="00B44D45"/>
    <w:rsid w:val="00B46BAE"/>
    <w:rsid w:val="00B52F2E"/>
    <w:rsid w:val="00B614D1"/>
    <w:rsid w:val="00B63B89"/>
    <w:rsid w:val="00B661C8"/>
    <w:rsid w:val="00B80CFD"/>
    <w:rsid w:val="00B908B1"/>
    <w:rsid w:val="00B92424"/>
    <w:rsid w:val="00B97B40"/>
    <w:rsid w:val="00BC351F"/>
    <w:rsid w:val="00BD7A38"/>
    <w:rsid w:val="00BE0CD8"/>
    <w:rsid w:val="00BF29ED"/>
    <w:rsid w:val="00BF44C1"/>
    <w:rsid w:val="00BF5C8A"/>
    <w:rsid w:val="00C0402A"/>
    <w:rsid w:val="00C0490F"/>
    <w:rsid w:val="00C079B3"/>
    <w:rsid w:val="00C24707"/>
    <w:rsid w:val="00C33CD7"/>
    <w:rsid w:val="00C34E1C"/>
    <w:rsid w:val="00C474DC"/>
    <w:rsid w:val="00C47857"/>
    <w:rsid w:val="00C5387A"/>
    <w:rsid w:val="00C55176"/>
    <w:rsid w:val="00C563FE"/>
    <w:rsid w:val="00C61050"/>
    <w:rsid w:val="00C634C5"/>
    <w:rsid w:val="00C641E4"/>
    <w:rsid w:val="00C66480"/>
    <w:rsid w:val="00C753E9"/>
    <w:rsid w:val="00C81B69"/>
    <w:rsid w:val="00C84EA1"/>
    <w:rsid w:val="00C90176"/>
    <w:rsid w:val="00C9043A"/>
    <w:rsid w:val="00C94B35"/>
    <w:rsid w:val="00C961A9"/>
    <w:rsid w:val="00CA5A74"/>
    <w:rsid w:val="00CB2202"/>
    <w:rsid w:val="00CB30C8"/>
    <w:rsid w:val="00CB4A52"/>
    <w:rsid w:val="00CB6234"/>
    <w:rsid w:val="00CC0365"/>
    <w:rsid w:val="00CC4296"/>
    <w:rsid w:val="00CE5D84"/>
    <w:rsid w:val="00CF256F"/>
    <w:rsid w:val="00CF6318"/>
    <w:rsid w:val="00CF63B4"/>
    <w:rsid w:val="00D00492"/>
    <w:rsid w:val="00D05113"/>
    <w:rsid w:val="00D0540B"/>
    <w:rsid w:val="00D06A39"/>
    <w:rsid w:val="00D231CE"/>
    <w:rsid w:val="00D25CC0"/>
    <w:rsid w:val="00D2603A"/>
    <w:rsid w:val="00D2703D"/>
    <w:rsid w:val="00D32B1A"/>
    <w:rsid w:val="00D346B5"/>
    <w:rsid w:val="00D36C5D"/>
    <w:rsid w:val="00D423C7"/>
    <w:rsid w:val="00D527DE"/>
    <w:rsid w:val="00D556C0"/>
    <w:rsid w:val="00D62D9B"/>
    <w:rsid w:val="00D63DA6"/>
    <w:rsid w:val="00D650B1"/>
    <w:rsid w:val="00D718C9"/>
    <w:rsid w:val="00D754E2"/>
    <w:rsid w:val="00D756CE"/>
    <w:rsid w:val="00D75B6C"/>
    <w:rsid w:val="00D82C98"/>
    <w:rsid w:val="00D850C8"/>
    <w:rsid w:val="00D94DEF"/>
    <w:rsid w:val="00DB2C3B"/>
    <w:rsid w:val="00DB31C8"/>
    <w:rsid w:val="00DC0B0F"/>
    <w:rsid w:val="00DC1B28"/>
    <w:rsid w:val="00DC727C"/>
    <w:rsid w:val="00DD1D39"/>
    <w:rsid w:val="00DD2826"/>
    <w:rsid w:val="00DF3B32"/>
    <w:rsid w:val="00DF758C"/>
    <w:rsid w:val="00DF7D48"/>
    <w:rsid w:val="00E04E63"/>
    <w:rsid w:val="00E07CCE"/>
    <w:rsid w:val="00E11298"/>
    <w:rsid w:val="00E13E2F"/>
    <w:rsid w:val="00E13E61"/>
    <w:rsid w:val="00E162FC"/>
    <w:rsid w:val="00E16B13"/>
    <w:rsid w:val="00E22E1D"/>
    <w:rsid w:val="00E26ABD"/>
    <w:rsid w:val="00E348BA"/>
    <w:rsid w:val="00E34A80"/>
    <w:rsid w:val="00E36D9F"/>
    <w:rsid w:val="00E471A8"/>
    <w:rsid w:val="00E63E0F"/>
    <w:rsid w:val="00E65C86"/>
    <w:rsid w:val="00E66CEF"/>
    <w:rsid w:val="00E73749"/>
    <w:rsid w:val="00E759E4"/>
    <w:rsid w:val="00E77B8A"/>
    <w:rsid w:val="00E829D6"/>
    <w:rsid w:val="00E83920"/>
    <w:rsid w:val="00E87276"/>
    <w:rsid w:val="00E9511F"/>
    <w:rsid w:val="00E966D1"/>
    <w:rsid w:val="00E96BA3"/>
    <w:rsid w:val="00EA2226"/>
    <w:rsid w:val="00EA33BE"/>
    <w:rsid w:val="00EB13F8"/>
    <w:rsid w:val="00EB28A5"/>
    <w:rsid w:val="00EB3741"/>
    <w:rsid w:val="00EB3F3D"/>
    <w:rsid w:val="00EB6DE0"/>
    <w:rsid w:val="00ED10C8"/>
    <w:rsid w:val="00ED1B50"/>
    <w:rsid w:val="00ED445E"/>
    <w:rsid w:val="00ED687C"/>
    <w:rsid w:val="00ED6928"/>
    <w:rsid w:val="00EE3C1C"/>
    <w:rsid w:val="00EE5676"/>
    <w:rsid w:val="00F01DE1"/>
    <w:rsid w:val="00F063BF"/>
    <w:rsid w:val="00F120C3"/>
    <w:rsid w:val="00F21513"/>
    <w:rsid w:val="00F24DB0"/>
    <w:rsid w:val="00F31133"/>
    <w:rsid w:val="00F32E26"/>
    <w:rsid w:val="00F35F9D"/>
    <w:rsid w:val="00F55AC8"/>
    <w:rsid w:val="00F57B63"/>
    <w:rsid w:val="00F62B97"/>
    <w:rsid w:val="00F63335"/>
    <w:rsid w:val="00F64E38"/>
    <w:rsid w:val="00F65486"/>
    <w:rsid w:val="00F747FC"/>
    <w:rsid w:val="00F76523"/>
    <w:rsid w:val="00F8549F"/>
    <w:rsid w:val="00F917ED"/>
    <w:rsid w:val="00FA14B8"/>
    <w:rsid w:val="00FA56DE"/>
    <w:rsid w:val="00FE222C"/>
    <w:rsid w:val="00FE24A6"/>
    <w:rsid w:val="00FF53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nl-NL" w:eastAsia="nl-NL" w:bidi="nl-N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0DDA"/>
    <w:pPr>
      <w:tabs>
        <w:tab w:val="left" w:pos="284"/>
      </w:tabs>
      <w:spacing w:line="264" w:lineRule="atLeast"/>
    </w:pPr>
    <w:rPr>
      <w:rFonts w:ascii="Arial" w:hAnsi="Arial"/>
    </w:rPr>
  </w:style>
  <w:style w:type="paragraph" w:styleId="Heading1">
    <w:name w:val="heading 1"/>
    <w:basedOn w:val="Normal"/>
    <w:next w:val="Normal"/>
    <w:qFormat/>
    <w:rsid w:val="007A552B"/>
    <w:pPr>
      <w:keepNext/>
      <w:keepLines/>
      <w:numPr>
        <w:numId w:val="30"/>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30"/>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30"/>
      </w:numPr>
      <w:tabs>
        <w:tab w:val="clear" w:pos="284"/>
      </w:tabs>
      <w:jc w:val="both"/>
      <w:outlineLvl w:val="2"/>
    </w:pPr>
  </w:style>
  <w:style w:type="paragraph" w:styleId="Heading4">
    <w:name w:val="heading 4"/>
    <w:basedOn w:val="Normal"/>
    <w:next w:val="Heading4Continue"/>
    <w:qFormat/>
    <w:rsid w:val="007A552B"/>
    <w:pPr>
      <w:keepNext/>
      <w:keepLines/>
      <w:numPr>
        <w:ilvl w:val="3"/>
        <w:numId w:val="30"/>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semiHidden/>
    <w:rsid w:val="00147933"/>
    <w:pPr>
      <w:tabs>
        <w:tab w:val="clear" w:pos="284"/>
        <w:tab w:val="center" w:pos="4678"/>
        <w:tab w:val="right" w:pos="9356"/>
      </w:tabs>
      <w:spacing w:line="240" w:lineRule="auto"/>
    </w:pPr>
    <w:rPr>
      <w:sz w:val="18"/>
    </w:rPr>
  </w:style>
  <w:style w:type="paragraph" w:styleId="Header">
    <w:name w:val="header"/>
    <w:basedOn w:val="Normal"/>
    <w:semiHidden/>
    <w:rsid w:val="00DC727C"/>
    <w:pPr>
      <w:tabs>
        <w:tab w:val="center" w:pos="4394"/>
        <w:tab w:val="right" w:pos="8789"/>
      </w:tabs>
      <w:spacing w:line="240" w:lineRule="auto"/>
    </w:pPr>
  </w:style>
  <w:style w:type="character" w:styleId="FootnoteReference">
    <w:name w:val="footnote reference"/>
    <w:basedOn w:val="DefaultParagraphFont"/>
    <w:semiHidden/>
    <w:rsid w:val="00D556C0"/>
    <w:rPr>
      <w:rFonts w:ascii="Arial" w:hAnsi="Arial"/>
      <w:spacing w:val="0"/>
      <w:position w:val="6"/>
      <w:sz w:val="16"/>
      <w:szCs w:val="16"/>
    </w:rPr>
  </w:style>
  <w:style w:type="paragraph" w:styleId="FootnoteText">
    <w:name w:val="footnote text"/>
    <w:basedOn w:val="Normal"/>
    <w:semiHidden/>
    <w:rsid w:val="00D556C0"/>
    <w:pPr>
      <w:spacing w:line="240" w:lineRule="atLeast"/>
      <w:ind w:left="284" w:hanging="284"/>
    </w:pPr>
    <w:rPr>
      <w:sz w:val="18"/>
    </w:rPr>
  </w:style>
  <w:style w:type="paragraph" w:styleId="MacroText">
    <w:name w:val="macro"/>
    <w:semiHidden/>
    <w:rsid w:val="00DC727C"/>
    <w:pPr>
      <w:tabs>
        <w:tab w:val="left" w:pos="567"/>
        <w:tab w:val="left" w:pos="1134"/>
        <w:tab w:val="left" w:pos="1701"/>
        <w:tab w:val="left" w:pos="2268"/>
        <w:tab w:val="left" w:pos="2835"/>
      </w:tabs>
      <w:spacing w:line="240" w:lineRule="atLeast"/>
    </w:p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rsid w:val="005B4C1C"/>
    <w:pPr>
      <w:spacing w:line="240" w:lineRule="atLeast"/>
    </w:pPr>
    <w:rPr>
      <w:rFonts w:ascii="Arial" w:hAnsi="Arial"/>
    </w:rPr>
    <w:tblPr/>
  </w:style>
  <w:style w:type="character" w:styleId="Hyperlink">
    <w:name w:val="Hyperlink"/>
    <w:basedOn w:val="DefaultParagraphFont"/>
    <w:semiHidden/>
    <w:rsid w:val="00571A24"/>
    <w:rPr>
      <w:color w:val="0000FF"/>
      <w:u w:val="single"/>
    </w:rPr>
  </w:style>
  <w:style w:type="paragraph" w:customStyle="1" w:styleId="DpartementDepartement">
    <w:name w:val="Département/Departement"/>
    <w:next w:val="Normal"/>
    <w:rsid w:val="00E04E63"/>
    <w:pPr>
      <w:spacing w:line="240" w:lineRule="exact"/>
    </w:pPr>
    <w:rPr>
      <w:rFonts w:ascii="Arial" w:hAnsi="Arial"/>
      <w:b/>
      <w:noProof/>
      <w:sz w:val="18"/>
      <w:szCs w:val="16"/>
    </w:rPr>
  </w:style>
  <w:style w:type="paragraph" w:customStyle="1" w:styleId="ServiceDienst">
    <w:name w:val="Service/Dienst"/>
    <w:next w:val="Normal"/>
    <w:rsid w:val="00E04E63"/>
    <w:pPr>
      <w:spacing w:line="240" w:lineRule="exact"/>
    </w:pPr>
    <w:rPr>
      <w:rFonts w:ascii="Arial" w:hAnsi="Arial"/>
      <w:noProof/>
      <w:sz w:val="17"/>
      <w:szCs w:val="16"/>
    </w:rPr>
  </w:style>
  <w:style w:type="paragraph" w:customStyle="1" w:styleId="SectionSectie">
    <w:name w:val="Section/Sectie"/>
    <w:next w:val="Normal"/>
    <w:semiHidden/>
    <w:rsid w:val="0081015C"/>
    <w:pPr>
      <w:spacing w:line="220" w:lineRule="exact"/>
    </w:pPr>
    <w:rPr>
      <w:rFonts w:ascii="Arial" w:hAnsi="Arial"/>
      <w:noProof/>
      <w:sz w:val="14"/>
      <w:szCs w:val="16"/>
    </w:rPr>
  </w:style>
  <w:style w:type="paragraph" w:customStyle="1" w:styleId="TitreTitel">
    <w:name w:val="Titre/Titel"/>
    <w:rsid w:val="00EB3741"/>
    <w:pPr>
      <w:spacing w:line="260" w:lineRule="atLeast"/>
    </w:pPr>
    <w:rPr>
      <w:rFonts w:ascii="Arial" w:hAnsi="Arial"/>
      <w:b/>
      <w:noProof/>
      <w:sz w:val="28"/>
      <w:szCs w:val="16"/>
    </w:rPr>
  </w:style>
  <w:style w:type="paragraph" w:customStyle="1" w:styleId="AdresseAdres">
    <w:name w:val="Adresse/Adres"/>
    <w:rsid w:val="00A605D0"/>
    <w:pPr>
      <w:spacing w:line="160" w:lineRule="exact"/>
    </w:pPr>
    <w:rPr>
      <w:rFonts w:ascii="Arial" w:hAnsi="Arial"/>
      <w:noProof/>
      <w:sz w:val="13"/>
      <w:szCs w:val="16"/>
    </w:rPr>
  </w:style>
  <w:style w:type="paragraph" w:customStyle="1" w:styleId="BNBNBB">
    <w:name w:val="BNB/NBB"/>
    <w:next w:val="AdresseAdres"/>
    <w:semiHidden/>
    <w:rsid w:val="00A605D0"/>
    <w:pPr>
      <w:spacing w:line="160" w:lineRule="exact"/>
    </w:pPr>
    <w:rPr>
      <w:rFonts w:ascii="Arial" w:hAnsi="Arial"/>
      <w:b/>
      <w:noProof/>
      <w:sz w:val="13"/>
      <w:szCs w:val="16"/>
    </w:rPr>
  </w:style>
  <w:style w:type="paragraph" w:customStyle="1" w:styleId="IntroductionInleiding">
    <w:name w:val="Introduction/Inleiding"/>
    <w:basedOn w:val="Normal"/>
    <w:uiPriority w:val="4"/>
    <w:qFormat/>
    <w:rsid w:val="00276804"/>
    <w:pPr>
      <w:spacing w:after="260"/>
    </w:pPr>
    <w:rPr>
      <w:i/>
      <w:sz w:val="22"/>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semiHidden/>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65065"/>
    <w:rPr>
      <w:rFonts w:ascii="Tahoma" w:hAnsi="Tahoma" w:cs="Tahoma"/>
      <w:sz w:val="16"/>
      <w:szCs w:val="16"/>
      <w:lang w:val="nl-NL" w:eastAsia="nl-NL"/>
    </w:rPr>
  </w:style>
  <w:style w:type="paragraph" w:customStyle="1" w:styleId="BoiteVakje">
    <w:name w:val="Boite/Vakje"/>
    <w:qFormat/>
    <w:rsid w:val="00FE24A6"/>
    <w:pPr>
      <w:spacing w:line="200" w:lineRule="atLeast"/>
    </w:pPr>
    <w:rPr>
      <w:rFonts w:ascii="Arial" w:hAnsi="Arial"/>
      <w:sz w:val="14"/>
      <w:szCs w:val="14"/>
    </w:rPr>
  </w:style>
  <w:style w:type="paragraph" w:customStyle="1" w:styleId="BoitetexteVakjetekst">
    <w:name w:val="Boite_texte/Vakje_tekst"/>
    <w:basedOn w:val="BoiteVakje"/>
    <w:qFormat/>
    <w:rsid w:val="00FE24A6"/>
    <w:rPr>
      <w:sz w:val="16"/>
      <w:szCs w:val="16"/>
    </w:rPr>
  </w:style>
  <w:style w:type="paragraph" w:customStyle="1" w:styleId="Heading4Continue">
    <w:name w:val="Heading 4 Continue"/>
    <w:basedOn w:val="Normal"/>
    <w:qFormat/>
    <w:rsid w:val="007A552B"/>
    <w:pPr>
      <w:tabs>
        <w:tab w:val="clear" w:pos="284"/>
      </w:tabs>
      <w:ind w:left="993"/>
    </w:pPr>
  </w:style>
  <w:style w:type="paragraph" w:customStyle="1" w:styleId="SignaturesHandtekeningen">
    <w:name w:val="Signatures/Handtekeningen"/>
    <w:basedOn w:val="Normal"/>
    <w:qFormat/>
    <w:rsid w:val="00E348BA"/>
    <w:pPr>
      <w:tabs>
        <w:tab w:val="clear" w:pos="284"/>
        <w:tab w:val="left" w:pos="3402"/>
      </w:tabs>
    </w:p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rPr>
  </w:style>
  <w:style w:type="paragraph" w:styleId="ListParagraph">
    <w:name w:val="List Paragraph"/>
    <w:basedOn w:val="Normal"/>
    <w:uiPriority w:val="34"/>
    <w:qFormat/>
    <w:rsid w:val="005D16AE"/>
    <w:pPr>
      <w:ind w:left="720"/>
      <w:contextualSpacing/>
    </w:pPr>
  </w:style>
  <w:style w:type="paragraph" w:customStyle="1" w:styleId="Default">
    <w:name w:val="Default"/>
    <w:rsid w:val="00947C4D"/>
    <w:pPr>
      <w:autoSpaceDE w:val="0"/>
      <w:autoSpaceDN w:val="0"/>
      <w:adjustRightInd w:val="0"/>
    </w:pPr>
    <w:rPr>
      <w:rFonts w:ascii="Symbol" w:hAnsi="Symbol" w:cs="Symbol"/>
      <w:color w:val="000000"/>
      <w:sz w:val="24"/>
      <w:szCs w:val="24"/>
    </w:rPr>
  </w:style>
  <w:style w:type="paragraph" w:styleId="EndnoteText">
    <w:name w:val="endnote text"/>
    <w:basedOn w:val="Normal"/>
    <w:link w:val="EndnoteTextChar"/>
    <w:rsid w:val="00B06300"/>
    <w:pPr>
      <w:spacing w:line="240" w:lineRule="auto"/>
    </w:pPr>
  </w:style>
  <w:style w:type="character" w:customStyle="1" w:styleId="EndnoteTextChar">
    <w:name w:val="Endnote Text Char"/>
    <w:basedOn w:val="DefaultParagraphFont"/>
    <w:link w:val="EndnoteText"/>
    <w:rsid w:val="00B06300"/>
    <w:rPr>
      <w:rFonts w:ascii="Arial" w:hAnsi="Arial"/>
    </w:rPr>
  </w:style>
  <w:style w:type="character" w:styleId="EndnoteReference">
    <w:name w:val="endnote reference"/>
    <w:basedOn w:val="DefaultParagraphFont"/>
    <w:rsid w:val="00B063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nl-NL" w:eastAsia="nl-NL" w:bidi="nl-N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0DDA"/>
    <w:pPr>
      <w:tabs>
        <w:tab w:val="left" w:pos="284"/>
      </w:tabs>
      <w:spacing w:line="264" w:lineRule="atLeast"/>
    </w:pPr>
    <w:rPr>
      <w:rFonts w:ascii="Arial" w:hAnsi="Arial"/>
    </w:rPr>
  </w:style>
  <w:style w:type="paragraph" w:styleId="Heading1">
    <w:name w:val="heading 1"/>
    <w:basedOn w:val="Normal"/>
    <w:next w:val="Normal"/>
    <w:qFormat/>
    <w:rsid w:val="007A552B"/>
    <w:pPr>
      <w:keepNext/>
      <w:keepLines/>
      <w:numPr>
        <w:numId w:val="30"/>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30"/>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30"/>
      </w:numPr>
      <w:tabs>
        <w:tab w:val="clear" w:pos="284"/>
      </w:tabs>
      <w:jc w:val="both"/>
      <w:outlineLvl w:val="2"/>
    </w:pPr>
  </w:style>
  <w:style w:type="paragraph" w:styleId="Heading4">
    <w:name w:val="heading 4"/>
    <w:basedOn w:val="Normal"/>
    <w:next w:val="Heading4Continue"/>
    <w:qFormat/>
    <w:rsid w:val="007A552B"/>
    <w:pPr>
      <w:keepNext/>
      <w:keepLines/>
      <w:numPr>
        <w:ilvl w:val="3"/>
        <w:numId w:val="30"/>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semiHidden/>
    <w:rsid w:val="00147933"/>
    <w:pPr>
      <w:tabs>
        <w:tab w:val="clear" w:pos="284"/>
        <w:tab w:val="center" w:pos="4678"/>
        <w:tab w:val="right" w:pos="9356"/>
      </w:tabs>
      <w:spacing w:line="240" w:lineRule="auto"/>
    </w:pPr>
    <w:rPr>
      <w:sz w:val="18"/>
    </w:rPr>
  </w:style>
  <w:style w:type="paragraph" w:styleId="Header">
    <w:name w:val="header"/>
    <w:basedOn w:val="Normal"/>
    <w:semiHidden/>
    <w:rsid w:val="00DC727C"/>
    <w:pPr>
      <w:tabs>
        <w:tab w:val="center" w:pos="4394"/>
        <w:tab w:val="right" w:pos="8789"/>
      </w:tabs>
      <w:spacing w:line="240" w:lineRule="auto"/>
    </w:pPr>
  </w:style>
  <w:style w:type="character" w:styleId="FootnoteReference">
    <w:name w:val="footnote reference"/>
    <w:basedOn w:val="DefaultParagraphFont"/>
    <w:semiHidden/>
    <w:rsid w:val="00D556C0"/>
    <w:rPr>
      <w:rFonts w:ascii="Arial" w:hAnsi="Arial"/>
      <w:spacing w:val="0"/>
      <w:position w:val="6"/>
      <w:sz w:val="16"/>
      <w:szCs w:val="16"/>
    </w:rPr>
  </w:style>
  <w:style w:type="paragraph" w:styleId="FootnoteText">
    <w:name w:val="footnote text"/>
    <w:basedOn w:val="Normal"/>
    <w:semiHidden/>
    <w:rsid w:val="00D556C0"/>
    <w:pPr>
      <w:spacing w:line="240" w:lineRule="atLeast"/>
      <w:ind w:left="284" w:hanging="284"/>
    </w:pPr>
    <w:rPr>
      <w:sz w:val="18"/>
    </w:rPr>
  </w:style>
  <w:style w:type="paragraph" w:styleId="MacroText">
    <w:name w:val="macro"/>
    <w:semiHidden/>
    <w:rsid w:val="00DC727C"/>
    <w:pPr>
      <w:tabs>
        <w:tab w:val="left" w:pos="567"/>
        <w:tab w:val="left" w:pos="1134"/>
        <w:tab w:val="left" w:pos="1701"/>
        <w:tab w:val="left" w:pos="2268"/>
        <w:tab w:val="left" w:pos="2835"/>
      </w:tabs>
      <w:spacing w:line="240" w:lineRule="atLeast"/>
    </w:p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rsid w:val="005B4C1C"/>
    <w:pPr>
      <w:spacing w:line="240" w:lineRule="atLeast"/>
    </w:pPr>
    <w:rPr>
      <w:rFonts w:ascii="Arial" w:hAnsi="Arial"/>
    </w:rPr>
    <w:tblPr/>
  </w:style>
  <w:style w:type="character" w:styleId="Hyperlink">
    <w:name w:val="Hyperlink"/>
    <w:basedOn w:val="DefaultParagraphFont"/>
    <w:semiHidden/>
    <w:rsid w:val="00571A24"/>
    <w:rPr>
      <w:color w:val="0000FF"/>
      <w:u w:val="single"/>
    </w:rPr>
  </w:style>
  <w:style w:type="paragraph" w:customStyle="1" w:styleId="DpartementDepartement">
    <w:name w:val="Département/Departement"/>
    <w:next w:val="Normal"/>
    <w:rsid w:val="00E04E63"/>
    <w:pPr>
      <w:spacing w:line="240" w:lineRule="exact"/>
    </w:pPr>
    <w:rPr>
      <w:rFonts w:ascii="Arial" w:hAnsi="Arial"/>
      <w:b/>
      <w:noProof/>
      <w:sz w:val="18"/>
      <w:szCs w:val="16"/>
    </w:rPr>
  </w:style>
  <w:style w:type="paragraph" w:customStyle="1" w:styleId="ServiceDienst">
    <w:name w:val="Service/Dienst"/>
    <w:next w:val="Normal"/>
    <w:rsid w:val="00E04E63"/>
    <w:pPr>
      <w:spacing w:line="240" w:lineRule="exact"/>
    </w:pPr>
    <w:rPr>
      <w:rFonts w:ascii="Arial" w:hAnsi="Arial"/>
      <w:noProof/>
      <w:sz w:val="17"/>
      <w:szCs w:val="16"/>
    </w:rPr>
  </w:style>
  <w:style w:type="paragraph" w:customStyle="1" w:styleId="SectionSectie">
    <w:name w:val="Section/Sectie"/>
    <w:next w:val="Normal"/>
    <w:semiHidden/>
    <w:rsid w:val="0081015C"/>
    <w:pPr>
      <w:spacing w:line="220" w:lineRule="exact"/>
    </w:pPr>
    <w:rPr>
      <w:rFonts w:ascii="Arial" w:hAnsi="Arial"/>
      <w:noProof/>
      <w:sz w:val="14"/>
      <w:szCs w:val="16"/>
    </w:rPr>
  </w:style>
  <w:style w:type="paragraph" w:customStyle="1" w:styleId="TitreTitel">
    <w:name w:val="Titre/Titel"/>
    <w:rsid w:val="00EB3741"/>
    <w:pPr>
      <w:spacing w:line="260" w:lineRule="atLeast"/>
    </w:pPr>
    <w:rPr>
      <w:rFonts w:ascii="Arial" w:hAnsi="Arial"/>
      <w:b/>
      <w:noProof/>
      <w:sz w:val="28"/>
      <w:szCs w:val="16"/>
    </w:rPr>
  </w:style>
  <w:style w:type="paragraph" w:customStyle="1" w:styleId="AdresseAdres">
    <w:name w:val="Adresse/Adres"/>
    <w:rsid w:val="00A605D0"/>
    <w:pPr>
      <w:spacing w:line="160" w:lineRule="exact"/>
    </w:pPr>
    <w:rPr>
      <w:rFonts w:ascii="Arial" w:hAnsi="Arial"/>
      <w:noProof/>
      <w:sz w:val="13"/>
      <w:szCs w:val="16"/>
    </w:rPr>
  </w:style>
  <w:style w:type="paragraph" w:customStyle="1" w:styleId="BNBNBB">
    <w:name w:val="BNB/NBB"/>
    <w:next w:val="AdresseAdres"/>
    <w:semiHidden/>
    <w:rsid w:val="00A605D0"/>
    <w:pPr>
      <w:spacing w:line="160" w:lineRule="exact"/>
    </w:pPr>
    <w:rPr>
      <w:rFonts w:ascii="Arial" w:hAnsi="Arial"/>
      <w:b/>
      <w:noProof/>
      <w:sz w:val="13"/>
      <w:szCs w:val="16"/>
    </w:rPr>
  </w:style>
  <w:style w:type="paragraph" w:customStyle="1" w:styleId="IntroductionInleiding">
    <w:name w:val="Introduction/Inleiding"/>
    <w:basedOn w:val="Normal"/>
    <w:uiPriority w:val="4"/>
    <w:qFormat/>
    <w:rsid w:val="00276804"/>
    <w:pPr>
      <w:spacing w:after="260"/>
    </w:pPr>
    <w:rPr>
      <w:i/>
      <w:sz w:val="22"/>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semiHidden/>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65065"/>
    <w:rPr>
      <w:rFonts w:ascii="Tahoma" w:hAnsi="Tahoma" w:cs="Tahoma"/>
      <w:sz w:val="16"/>
      <w:szCs w:val="16"/>
      <w:lang w:val="nl-NL" w:eastAsia="nl-NL"/>
    </w:rPr>
  </w:style>
  <w:style w:type="paragraph" w:customStyle="1" w:styleId="BoiteVakje">
    <w:name w:val="Boite/Vakje"/>
    <w:qFormat/>
    <w:rsid w:val="00FE24A6"/>
    <w:pPr>
      <w:spacing w:line="200" w:lineRule="atLeast"/>
    </w:pPr>
    <w:rPr>
      <w:rFonts w:ascii="Arial" w:hAnsi="Arial"/>
      <w:sz w:val="14"/>
      <w:szCs w:val="14"/>
    </w:rPr>
  </w:style>
  <w:style w:type="paragraph" w:customStyle="1" w:styleId="BoitetexteVakjetekst">
    <w:name w:val="Boite_texte/Vakje_tekst"/>
    <w:basedOn w:val="BoiteVakje"/>
    <w:qFormat/>
    <w:rsid w:val="00FE24A6"/>
    <w:rPr>
      <w:sz w:val="16"/>
      <w:szCs w:val="16"/>
    </w:rPr>
  </w:style>
  <w:style w:type="paragraph" w:customStyle="1" w:styleId="Heading4Continue">
    <w:name w:val="Heading 4 Continue"/>
    <w:basedOn w:val="Normal"/>
    <w:qFormat/>
    <w:rsid w:val="007A552B"/>
    <w:pPr>
      <w:tabs>
        <w:tab w:val="clear" w:pos="284"/>
      </w:tabs>
      <w:ind w:left="993"/>
    </w:pPr>
  </w:style>
  <w:style w:type="paragraph" w:customStyle="1" w:styleId="SignaturesHandtekeningen">
    <w:name w:val="Signatures/Handtekeningen"/>
    <w:basedOn w:val="Normal"/>
    <w:qFormat/>
    <w:rsid w:val="00E348BA"/>
    <w:pPr>
      <w:tabs>
        <w:tab w:val="clear" w:pos="284"/>
        <w:tab w:val="left" w:pos="3402"/>
      </w:tabs>
    </w:p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rPr>
  </w:style>
  <w:style w:type="paragraph" w:styleId="ListParagraph">
    <w:name w:val="List Paragraph"/>
    <w:basedOn w:val="Normal"/>
    <w:uiPriority w:val="34"/>
    <w:qFormat/>
    <w:rsid w:val="005D16AE"/>
    <w:pPr>
      <w:ind w:left="720"/>
      <w:contextualSpacing/>
    </w:pPr>
  </w:style>
  <w:style w:type="paragraph" w:customStyle="1" w:styleId="Default">
    <w:name w:val="Default"/>
    <w:rsid w:val="00947C4D"/>
    <w:pPr>
      <w:autoSpaceDE w:val="0"/>
      <w:autoSpaceDN w:val="0"/>
      <w:adjustRightInd w:val="0"/>
    </w:pPr>
    <w:rPr>
      <w:rFonts w:ascii="Symbol" w:hAnsi="Symbol" w:cs="Symbol"/>
      <w:color w:val="000000"/>
      <w:sz w:val="24"/>
      <w:szCs w:val="24"/>
    </w:rPr>
  </w:style>
  <w:style w:type="paragraph" w:styleId="EndnoteText">
    <w:name w:val="endnote text"/>
    <w:basedOn w:val="Normal"/>
    <w:link w:val="EndnoteTextChar"/>
    <w:rsid w:val="00B06300"/>
    <w:pPr>
      <w:spacing w:line="240" w:lineRule="auto"/>
    </w:pPr>
  </w:style>
  <w:style w:type="character" w:customStyle="1" w:styleId="EndnoteTextChar">
    <w:name w:val="Endnote Text Char"/>
    <w:basedOn w:val="DefaultParagraphFont"/>
    <w:link w:val="EndnoteText"/>
    <w:rsid w:val="00B06300"/>
    <w:rPr>
      <w:rFonts w:ascii="Arial" w:hAnsi="Arial"/>
    </w:rPr>
  </w:style>
  <w:style w:type="character" w:styleId="EndnoteReference">
    <w:name w:val="endnote reference"/>
    <w:basedOn w:val="DefaultParagraphFont"/>
    <w:rsid w:val="00B063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NbbTemplates\Others\CIRCU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98636-D061-40AD-BD51-8505874A5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Template>
  <TotalTime>8</TotalTime>
  <Pages>5</Pages>
  <Words>1915</Words>
  <Characters>10538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Template BNB Cartouches</vt:lpstr>
    </vt:vector>
  </TitlesOfParts>
  <Company>National Bank of Belgium</Company>
  <LinksUpToDate>false</LinksUpToDate>
  <CharactersWithSpaces>12429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BNB Cartouches</dc:title>
  <dc:creator>Dufrane Maite</dc:creator>
  <cp:lastModifiedBy>Dufrane Maite</cp:lastModifiedBy>
  <cp:revision>9</cp:revision>
  <cp:lastPrinted>2017-09-14T05:54:00Z</cp:lastPrinted>
  <dcterms:created xsi:type="dcterms:W3CDTF">2017-09-12T12:11:00Z</dcterms:created>
  <dcterms:modified xsi:type="dcterms:W3CDTF">2017-09-21T20:44:00Z</dcterms:modified>
</cp:coreProperties>
</file>