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4850" w:type="dxa"/>
        <w:tblLook w:val="04A0" w:firstRow="1" w:lastRow="0" w:firstColumn="1" w:lastColumn="0" w:noHBand="0" w:noVBand="1"/>
      </w:tblPr>
      <w:tblGrid>
        <w:gridCol w:w="14850"/>
      </w:tblGrid>
      <w:tr w:rsidR="00B056BD" w:rsidRPr="00823BDB" w14:paraId="127A6776" w14:textId="77777777" w:rsidTr="00B8037E">
        <w:trPr>
          <w:trHeight w:val="638"/>
        </w:trPr>
        <w:tc>
          <w:tcPr>
            <w:tcW w:w="14850" w:type="dxa"/>
            <w:shd w:val="clear" w:color="auto" w:fill="C6D9F1" w:themeFill="text2" w:themeFillTint="33"/>
          </w:tcPr>
          <w:p w14:paraId="4417BC48" w14:textId="2EB0C35E" w:rsidR="00B056BD" w:rsidRPr="00823BDB" w:rsidRDefault="00B056BD" w:rsidP="00B8037E">
            <w:pPr>
              <w:jc w:val="center"/>
              <w:rPr>
                <w:b/>
                <w:sz w:val="28"/>
                <w:szCs w:val="28"/>
              </w:rPr>
            </w:pPr>
            <w:bookmarkStart w:id="0" w:name="_GoBack"/>
            <w:bookmarkEnd w:id="0"/>
            <w:r>
              <w:rPr>
                <w:b/>
                <w:sz w:val="28"/>
                <w:szCs w:val="28"/>
              </w:rPr>
              <w:t xml:space="preserve">Standaardformulier voor de verklaring van de voorzitter van het directiecomité met betrekking tot de naleving van de voorwaarden voor de toepassing van de </w:t>
            </w:r>
            <w:r>
              <w:rPr>
                <w:b/>
                <w:sz w:val="28"/>
                <w:szCs w:val="28"/>
                <w:u w:val="single"/>
              </w:rPr>
              <w:t>vereenvoudigde procedure</w:t>
            </w:r>
            <w:r>
              <w:rPr>
                <w:b/>
                <w:sz w:val="28"/>
                <w:szCs w:val="28"/>
              </w:rPr>
              <w:t xml:space="preserve"> voor het verlenen van goedkeuring om verzekerings- of herverzekeringsdocumenten </w:t>
            </w:r>
            <w:r>
              <w:rPr>
                <w:b/>
                <w:sz w:val="28"/>
                <w:szCs w:val="28"/>
                <w:u w:val="single"/>
              </w:rPr>
              <w:t>elektronisch</w:t>
            </w:r>
            <w:r>
              <w:rPr>
                <w:b/>
                <w:sz w:val="28"/>
                <w:szCs w:val="28"/>
              </w:rPr>
              <w:t xml:space="preserve"> op een andere plaats dan de hoofdzetel te bewaren</w:t>
            </w:r>
          </w:p>
          <w:p w14:paraId="34A943F9" w14:textId="77777777" w:rsidR="00B056BD" w:rsidRPr="00955B5F" w:rsidRDefault="00B056BD" w:rsidP="00B8037E">
            <w:pPr>
              <w:jc w:val="center"/>
              <w:rPr>
                <w:b/>
                <w:sz w:val="32"/>
                <w:szCs w:val="32"/>
                <w:lang w:val="nl-BE"/>
              </w:rPr>
            </w:pPr>
          </w:p>
          <w:p w14:paraId="52F4C019" w14:textId="00C2521F" w:rsidR="00B056BD" w:rsidRPr="00823BDB" w:rsidRDefault="00B056BD" w:rsidP="00365CED">
            <w:pPr>
              <w:jc w:val="center"/>
              <w:rPr>
                <w:b/>
              </w:rPr>
            </w:pPr>
            <w:r>
              <w:rPr>
                <w:b/>
              </w:rPr>
              <w:t xml:space="preserve">Onderneming: </w:t>
            </w:r>
            <w:r>
              <w:rPr>
                <w:b/>
                <w:highlight w:val="green"/>
              </w:rPr>
              <w:t>AAN TE VULLEN</w:t>
            </w:r>
          </w:p>
        </w:tc>
      </w:tr>
      <w:tr w:rsidR="00B056BD" w:rsidRPr="00823BDB" w14:paraId="30FAD8F6" w14:textId="77777777" w:rsidTr="00B8037E">
        <w:trPr>
          <w:trHeight w:val="319"/>
        </w:trPr>
        <w:tc>
          <w:tcPr>
            <w:tcW w:w="14850" w:type="dxa"/>
          </w:tcPr>
          <w:p w14:paraId="7CDFCE50" w14:textId="29A535BE" w:rsidR="00B056BD" w:rsidRPr="00823BDB" w:rsidRDefault="00B056BD" w:rsidP="00365CED">
            <w:r>
              <w:rPr>
                <w:i/>
                <w:sz w:val="16"/>
                <w:szCs w:val="16"/>
              </w:rPr>
              <w:t>Met deze verklaring wordt uitvoering gegeven aan artikel 2, § 2 van het Reglement van de Nationale Bank van België van 12 mei 2020 betreffende de bewaarplaats van verzekerings- of herverzekeringsdocumenten (goedgekeurd bij koninklijk besluit van</w:t>
            </w:r>
            <w:r w:rsidR="00955B5F">
              <w:rPr>
                <w:i/>
                <w:sz w:val="16"/>
                <w:szCs w:val="16"/>
              </w:rPr>
              <w:t xml:space="preserve"> 11 september 2020</w:t>
            </w:r>
            <w:r>
              <w:rPr>
                <w:i/>
                <w:sz w:val="16"/>
                <w:szCs w:val="16"/>
              </w:rPr>
              <w:t xml:space="preserve">). </w:t>
            </w:r>
          </w:p>
        </w:tc>
      </w:tr>
      <w:tr w:rsidR="00365CED" w:rsidRPr="00823BDB" w14:paraId="2846ED5C" w14:textId="77777777" w:rsidTr="00854801">
        <w:trPr>
          <w:trHeight w:val="319"/>
        </w:trPr>
        <w:tc>
          <w:tcPr>
            <w:tcW w:w="14850" w:type="dxa"/>
          </w:tcPr>
          <w:p w14:paraId="0151119E" w14:textId="5A50DAEC" w:rsidR="00365CED" w:rsidRPr="00955B5F" w:rsidRDefault="00365CED" w:rsidP="00B8037E">
            <w:pPr>
              <w:contextualSpacing/>
              <w:rPr>
                <w:rFonts w:cs="Arial"/>
                <w:bCs/>
                <w:iCs/>
                <w:lang w:val="nl-BE"/>
              </w:rPr>
            </w:pPr>
            <w:r>
              <w:t>Ik bevestig bij deze dat voldaan is aan de volgende voorwaarden voor de toepassing van de vereenvoudigde procedure voor het verlenen van goedkeuring voor het elektronisch bewaren van verzekerings- of herverzekeringsdocumenten:</w:t>
            </w:r>
          </w:p>
          <w:p w14:paraId="1E1D89C1" w14:textId="11EB585F" w:rsidR="00365CED" w:rsidRPr="00823BDB" w:rsidRDefault="00365CED" w:rsidP="00F47CCC">
            <w:pPr>
              <w:numPr>
                <w:ilvl w:val="0"/>
                <w:numId w:val="15"/>
              </w:numPr>
              <w:spacing w:line="240" w:lineRule="auto"/>
              <w:ind w:left="360"/>
              <w:rPr>
                <w:rFonts w:cstheme="minorHAnsi"/>
              </w:rPr>
            </w:pPr>
            <w:r>
              <w:t>[</w:t>
            </w:r>
            <w:r>
              <w:rPr>
                <w:highlight w:val="green"/>
              </w:rPr>
              <w:t>onderneming</w:t>
            </w:r>
            <w:r>
              <w:t>] heeft permanent toegang tot de documenten die in [</w:t>
            </w:r>
            <w:r>
              <w:rPr>
                <w:highlight w:val="green"/>
              </w:rPr>
              <w:t>het datacenter of de  cloud</w:t>
            </w:r>
            <w:r>
              <w:t>] zijn opgeslagen;</w:t>
            </w:r>
          </w:p>
          <w:p w14:paraId="6E3A8329" w14:textId="77777777" w:rsidR="00365CED" w:rsidRPr="00823BDB" w:rsidRDefault="00365CED" w:rsidP="00F47CCC">
            <w:pPr>
              <w:numPr>
                <w:ilvl w:val="0"/>
                <w:numId w:val="15"/>
              </w:numPr>
              <w:spacing w:line="240" w:lineRule="auto"/>
              <w:ind w:left="360"/>
              <w:rPr>
                <w:rFonts w:cstheme="minorHAnsi"/>
              </w:rPr>
            </w:pPr>
            <w:r>
              <w:t>[</w:t>
            </w:r>
            <w:r>
              <w:rPr>
                <w:highlight w:val="green"/>
              </w:rPr>
              <w:t>onderneming</w:t>
            </w:r>
            <w:r>
              <w:t>] kan snel (dat wil zeggen binnen twee werkdagen na het verzoek), volledig en adequaat reageren op de toegangsverzoeken van de Bank, de FSMA of de Belgische gerechtelijke autoriteiten;</w:t>
            </w:r>
          </w:p>
          <w:p w14:paraId="55C69D43" w14:textId="7716A385" w:rsidR="00365CED" w:rsidRPr="00823BDB" w:rsidRDefault="00365CED" w:rsidP="00F47CCC">
            <w:pPr>
              <w:numPr>
                <w:ilvl w:val="0"/>
                <w:numId w:val="15"/>
              </w:numPr>
              <w:spacing w:line="240" w:lineRule="auto"/>
              <w:ind w:left="360"/>
              <w:rPr>
                <w:rFonts w:cstheme="minorHAnsi"/>
              </w:rPr>
            </w:pPr>
            <w:r>
              <w:t>[</w:t>
            </w:r>
            <w:r>
              <w:rPr>
                <w:highlight w:val="green"/>
              </w:rPr>
              <w:t xml:space="preserve">onderneming </w:t>
            </w:r>
            <w:r>
              <w:t>] behoudt de controle over belangrijke consequenties voor haar risicoprofiel, ook indien deze afhangen van beslissingen in verband met [</w:t>
            </w:r>
            <w:r>
              <w:rPr>
                <w:highlight w:val="green"/>
              </w:rPr>
              <w:t>het datacenter of de cloud</w:t>
            </w:r>
            <w:r>
              <w:t>] die door de dienstverlener worden genomen. Dit betekent dat [</w:t>
            </w:r>
            <w:r>
              <w:rPr>
                <w:highlight w:val="green"/>
              </w:rPr>
              <w:t xml:space="preserve">onderneming </w:t>
            </w:r>
            <w:r>
              <w:t>] in geval van belangrijke wijzigingen met betrekking tot het [</w:t>
            </w:r>
            <w:r>
              <w:rPr>
                <w:highlight w:val="green"/>
              </w:rPr>
              <w:t>datacenter of de cloud]</w:t>
            </w:r>
            <w:r>
              <w:t xml:space="preserve"> de overeenkomst kan beëindigen en de betrokken verzekerings- of herverzekeringsdocumenten over kan brengen naar een ander systeem voordat de voornoemde wijzigingen worden ingevoerd, als ze deze niet aanvaardt;</w:t>
            </w:r>
          </w:p>
          <w:p w14:paraId="3F8C0202" w14:textId="77777777" w:rsidR="00365CED" w:rsidRPr="00823BDB" w:rsidRDefault="00365CED" w:rsidP="00F47CCC">
            <w:pPr>
              <w:numPr>
                <w:ilvl w:val="0"/>
                <w:numId w:val="15"/>
              </w:numPr>
              <w:spacing w:line="240" w:lineRule="auto"/>
              <w:ind w:left="360"/>
              <w:rPr>
                <w:rFonts w:cstheme="minorHAnsi"/>
              </w:rPr>
            </w:pPr>
            <w:r>
              <w:t>het [</w:t>
            </w:r>
            <w:r>
              <w:rPr>
                <w:highlight w:val="green"/>
              </w:rPr>
              <w:t>datacenter of de cloud</w:t>
            </w:r>
            <w:r>
              <w:t xml:space="preserve">] </w:t>
            </w:r>
          </w:p>
          <w:p w14:paraId="7935EB6D" w14:textId="77777777" w:rsidR="00365CED" w:rsidRPr="00823BDB" w:rsidRDefault="00365CED" w:rsidP="00365CED">
            <w:pPr>
              <w:pStyle w:val="ListParagraph"/>
              <w:numPr>
                <w:ilvl w:val="0"/>
                <w:numId w:val="16"/>
              </w:numPr>
              <w:spacing w:line="240" w:lineRule="auto"/>
              <w:rPr>
                <w:rFonts w:cstheme="minorHAnsi"/>
              </w:rPr>
            </w:pPr>
            <w:r>
              <w:t xml:space="preserve">waarborgt dat de daar bewaarde verzekerings- of herverzekeringsdocumenten onaantastbaar en intact blijven en garandeert de beschikbaarheid ervan, </w:t>
            </w:r>
          </w:p>
          <w:p w14:paraId="2495B999" w14:textId="420B88C6" w:rsidR="00365CED" w:rsidRPr="00823BDB" w:rsidRDefault="00365CED" w:rsidP="00365CED">
            <w:pPr>
              <w:pStyle w:val="ListParagraph"/>
              <w:numPr>
                <w:ilvl w:val="0"/>
                <w:numId w:val="16"/>
              </w:numPr>
              <w:spacing w:line="240" w:lineRule="auto"/>
              <w:rPr>
                <w:rFonts w:cstheme="minorHAnsi"/>
              </w:rPr>
            </w:pPr>
            <w:r>
              <w:t xml:space="preserve">garandeert de vertrouwelijkheid van de verzekerings- en herverzekeringsdocumenten evenals de bescherming van persoonsgegevens overeenkomstig </w:t>
            </w:r>
            <w:r w:rsidR="00955B5F" w:rsidRPr="003D7D3E">
              <w:t>Verordening (EU) 2016/679 van het Europees Parlement en de Raad van 27 april 2016 betreffende de bescherming van natuurlijke personen in verband met de verwerking van persoonsgegevens en betreffende het vrije verkeer van die gegevens</w:t>
            </w:r>
            <w:r w:rsidR="00F31EE4">
              <w:t>,</w:t>
            </w:r>
            <w:r w:rsidR="00955B5F">
              <w:t xml:space="preserve"> </w:t>
            </w:r>
            <w:r>
              <w:t>en</w:t>
            </w:r>
          </w:p>
          <w:p w14:paraId="0D6B33B5" w14:textId="3F9C4830" w:rsidR="00365CED" w:rsidRPr="00823BDB" w:rsidRDefault="00E96DA6" w:rsidP="00365CED">
            <w:pPr>
              <w:pStyle w:val="ListParagraph"/>
              <w:numPr>
                <w:ilvl w:val="0"/>
                <w:numId w:val="16"/>
              </w:numPr>
              <w:spacing w:line="240" w:lineRule="auto"/>
              <w:ind w:left="360"/>
              <w:rPr>
                <w:rFonts w:cstheme="minorHAnsi"/>
              </w:rPr>
            </w:pPr>
            <w:r>
              <w:t xml:space="preserve">(iii)        </w:t>
            </w:r>
            <w:r w:rsidR="00365CED">
              <w:t>voldoet aan de prudentiële verwachtingen van de Nationale Bank van België op het gebied van beveiliging en continuïteit. </w:t>
            </w:r>
          </w:p>
          <w:p w14:paraId="64AB6278" w14:textId="77777777" w:rsidR="00365CED" w:rsidRPr="00823BDB" w:rsidRDefault="00365CED" w:rsidP="00F47CCC">
            <w:pPr>
              <w:numPr>
                <w:ilvl w:val="0"/>
                <w:numId w:val="15"/>
              </w:numPr>
              <w:spacing w:line="240" w:lineRule="auto"/>
              <w:ind w:left="360"/>
              <w:rPr>
                <w:rFonts w:cstheme="minorHAnsi"/>
                <w:highlight w:val="green"/>
              </w:rPr>
            </w:pPr>
            <w:r>
              <w:rPr>
                <w:highlight w:val="green"/>
              </w:rPr>
              <w:t>[indien de bewaring van de verzekerings- of herverzekeringsdocumenten aan een derde wordt toevertrouwd, wordt tussen de twee partijen een overeenkomst gesloten om de bewaring van de documenten en de bijbehorende rechten en plichten te regelen].</w:t>
            </w:r>
          </w:p>
          <w:p w14:paraId="1DED8CE2" w14:textId="77777777" w:rsidR="00365CED" w:rsidRPr="00955B5F" w:rsidRDefault="00365CED" w:rsidP="00B8037E">
            <w:pPr>
              <w:contextualSpacing/>
              <w:rPr>
                <w:rFonts w:cs="Arial"/>
                <w:bCs/>
                <w:iCs/>
                <w:lang w:val="nl-BE"/>
              </w:rPr>
            </w:pPr>
          </w:p>
          <w:p w14:paraId="348C825B" w14:textId="4CECD1D7" w:rsidR="00E96DA6" w:rsidRDefault="00E96DA6" w:rsidP="00E96DA6">
            <w:pPr>
              <w:autoSpaceDE w:val="0"/>
              <w:autoSpaceDN w:val="0"/>
              <w:adjustRightInd w:val="0"/>
              <w:spacing w:line="240" w:lineRule="auto"/>
              <w:jc w:val="left"/>
              <w:rPr>
                <w:rFonts w:ascii="Calibri" w:hAnsi="Calibri" w:cs="Calibri"/>
                <w:lang w:val="nl-BE" w:eastAsia="nl-BE"/>
              </w:rPr>
            </w:pPr>
            <w:r w:rsidRPr="00955B5F">
              <w:rPr>
                <w:rFonts w:cs="Arial"/>
                <w:bCs/>
                <w:iCs/>
                <w:lang w:val="nl-BE"/>
              </w:rPr>
              <w:t>Deze verklaring betreft de elektronisch</w:t>
            </w:r>
            <w:r w:rsidR="009A7B7D" w:rsidRPr="00955B5F">
              <w:rPr>
                <w:rFonts w:cs="Arial"/>
                <w:bCs/>
                <w:iCs/>
                <w:lang w:val="nl-BE"/>
              </w:rPr>
              <w:t>e</w:t>
            </w:r>
            <w:r w:rsidRPr="00955B5F">
              <w:rPr>
                <w:rFonts w:cs="Arial"/>
                <w:bCs/>
                <w:iCs/>
                <w:lang w:val="nl-BE"/>
              </w:rPr>
              <w:t xml:space="preserve"> bewaring </w:t>
            </w:r>
            <w:r w:rsidR="00205237">
              <w:rPr>
                <w:rFonts w:cs="Arial"/>
                <w:bCs/>
                <w:iCs/>
                <w:lang w:val="nl-BE"/>
              </w:rPr>
              <w:t xml:space="preserve">van </w:t>
            </w:r>
            <w:r w:rsidR="00DD4306">
              <w:rPr>
                <w:rFonts w:cs="Arial"/>
                <w:bCs/>
                <w:iCs/>
                <w:lang w:val="nl-BE"/>
              </w:rPr>
              <w:t xml:space="preserve">de documenten van </w:t>
            </w:r>
            <w:r w:rsidRPr="00955B5F">
              <w:rPr>
                <w:rFonts w:cs="Arial"/>
                <w:bCs/>
                <w:iCs/>
                <w:lang w:val="nl-BE"/>
              </w:rPr>
              <w:t>[</w:t>
            </w:r>
            <w:r w:rsidR="00DD4306">
              <w:rPr>
                <w:rFonts w:cs="Arial"/>
                <w:bCs/>
                <w:iCs/>
                <w:highlight w:val="green"/>
                <w:lang w:val="nl-BE"/>
              </w:rPr>
              <w:t>onderneming</w:t>
            </w:r>
            <w:r w:rsidRPr="00955B5F">
              <w:rPr>
                <w:rFonts w:cs="Arial"/>
                <w:bCs/>
                <w:iCs/>
                <w:lang w:val="nl-BE"/>
              </w:rPr>
              <w:t>]</w:t>
            </w:r>
            <w:r w:rsidR="00DD4306">
              <w:rPr>
                <w:rFonts w:cs="Arial"/>
                <w:bCs/>
                <w:iCs/>
                <w:lang w:val="nl-BE"/>
              </w:rPr>
              <w:t>,</w:t>
            </w:r>
            <w:r w:rsidRPr="00955B5F">
              <w:rPr>
                <w:rFonts w:cs="Arial"/>
                <w:bCs/>
                <w:iCs/>
                <w:lang w:val="nl-BE"/>
              </w:rPr>
              <w:t xml:space="preserve"> waarvoor een beschrijving</w:t>
            </w:r>
            <w:r w:rsidR="00955B5F">
              <w:rPr>
                <w:rFonts w:cs="Arial"/>
                <w:bCs/>
                <w:iCs/>
                <w:lang w:val="nl-BE"/>
              </w:rPr>
              <w:t xml:space="preserve"> van</w:t>
            </w:r>
            <w:r w:rsidRPr="00955B5F">
              <w:rPr>
                <w:rFonts w:cs="Arial"/>
                <w:bCs/>
                <w:iCs/>
                <w:lang w:val="nl-BE"/>
              </w:rPr>
              <w:t xml:space="preserve"> </w:t>
            </w:r>
            <w:r w:rsidRPr="009E5662">
              <w:rPr>
                <w:rFonts w:cs="Arial"/>
                <w:lang w:val="nl-BE" w:eastAsia="nl-BE"/>
              </w:rPr>
              <w:t xml:space="preserve">het voorgenomen bewaarsysteem </w:t>
            </w:r>
            <w:r w:rsidR="00955B5F">
              <w:rPr>
                <w:rFonts w:cs="Arial"/>
                <w:lang w:val="nl-BE" w:eastAsia="nl-BE"/>
              </w:rPr>
              <w:t>is opgenomen</w:t>
            </w:r>
            <w:r w:rsidR="00955B5F" w:rsidRPr="009E5662">
              <w:rPr>
                <w:rFonts w:cs="Arial"/>
                <w:lang w:val="nl-BE" w:eastAsia="nl-BE"/>
              </w:rPr>
              <w:t xml:space="preserve"> </w:t>
            </w:r>
            <w:r w:rsidRPr="009E5662">
              <w:rPr>
                <w:rFonts w:cs="Arial"/>
                <w:lang w:val="nl-BE" w:eastAsia="nl-BE"/>
              </w:rPr>
              <w:t xml:space="preserve">in </w:t>
            </w:r>
            <w:r w:rsidR="00955B5F">
              <w:t>het dossier (als bedoeld in artikel 2, § 2, van het Reglement van 12 mei 2020)</w:t>
            </w:r>
            <w:r w:rsidR="00955B5F">
              <w:rPr>
                <w:rFonts w:cs="Arial"/>
                <w:lang w:val="nl-BE" w:eastAsia="nl-BE"/>
              </w:rPr>
              <w:t xml:space="preserve"> </w:t>
            </w:r>
            <w:r w:rsidR="00955B5F">
              <w:t>dat op [</w:t>
            </w:r>
            <w:r w:rsidR="00955B5F" w:rsidRPr="00955B5F">
              <w:rPr>
                <w:rFonts w:cs="Arial"/>
                <w:bCs/>
                <w:iCs/>
                <w:highlight w:val="green"/>
                <w:lang w:val="nl-BE"/>
              </w:rPr>
              <w:t>datum in te vullen</w:t>
            </w:r>
            <w:r w:rsidR="00955B5F">
              <w:t>] aan de Nationale Bank van België werd bezorgd</w:t>
            </w:r>
            <w:r>
              <w:rPr>
                <w:rFonts w:cs="Arial"/>
                <w:lang w:val="nl-BE" w:eastAsia="nl-BE"/>
              </w:rPr>
              <w:t>.</w:t>
            </w:r>
          </w:p>
          <w:p w14:paraId="0D719AA7" w14:textId="77777777" w:rsidR="00E96DA6" w:rsidRDefault="00E96DA6" w:rsidP="00E96DA6">
            <w:pPr>
              <w:autoSpaceDE w:val="0"/>
              <w:autoSpaceDN w:val="0"/>
              <w:adjustRightInd w:val="0"/>
              <w:spacing w:line="240" w:lineRule="auto"/>
              <w:jc w:val="left"/>
              <w:rPr>
                <w:rFonts w:ascii="Calibri" w:hAnsi="Calibri" w:cs="Calibri"/>
                <w:lang w:val="nl-BE" w:eastAsia="nl-BE"/>
              </w:rPr>
            </w:pPr>
          </w:p>
          <w:p w14:paraId="7052758A" w14:textId="77777777" w:rsidR="00365CED" w:rsidRDefault="00E96DA6" w:rsidP="009B4BAA">
            <w:pPr>
              <w:autoSpaceDE w:val="0"/>
              <w:autoSpaceDN w:val="0"/>
              <w:adjustRightInd w:val="0"/>
              <w:spacing w:line="240" w:lineRule="auto"/>
              <w:jc w:val="left"/>
              <w:rPr>
                <w:rFonts w:cs="Arial"/>
                <w:bCs/>
                <w:iCs/>
                <w:lang w:val="nl-BE"/>
              </w:rPr>
            </w:pPr>
            <w:r w:rsidRPr="00955B5F">
              <w:rPr>
                <w:rFonts w:cs="Arial"/>
                <w:bCs/>
                <w:iCs/>
                <w:lang w:val="nl-BE"/>
              </w:rPr>
              <w:t>[</w:t>
            </w:r>
            <w:r w:rsidRPr="00955B5F">
              <w:rPr>
                <w:rFonts w:cs="Arial"/>
                <w:bCs/>
                <w:iCs/>
                <w:highlight w:val="yellow"/>
                <w:lang w:val="nl-BE"/>
              </w:rPr>
              <w:t>In te vullen indien de bewaring wordt uitbesteed :</w:t>
            </w:r>
            <w:r w:rsidRPr="00955B5F">
              <w:rPr>
                <w:rFonts w:cs="Arial"/>
                <w:bCs/>
                <w:iCs/>
                <w:lang w:val="nl-BE"/>
              </w:rPr>
              <w:t xml:space="preserve"> Het dossier « uitbesteding » is bezorgd aan de NBB op [</w:t>
            </w:r>
            <w:r w:rsidRPr="00955B5F">
              <w:rPr>
                <w:rFonts w:cs="Arial"/>
                <w:bCs/>
                <w:iCs/>
                <w:highlight w:val="green"/>
                <w:lang w:val="nl-BE"/>
              </w:rPr>
              <w:t>datum in te vullen</w:t>
            </w:r>
            <w:r w:rsidRPr="00955B5F">
              <w:rPr>
                <w:rFonts w:cs="Arial"/>
                <w:bCs/>
                <w:iCs/>
                <w:lang w:val="nl-BE"/>
              </w:rPr>
              <w:t>]].</w:t>
            </w:r>
          </w:p>
          <w:p w14:paraId="4E047922" w14:textId="77777777" w:rsidR="00955B5F" w:rsidRDefault="00955B5F" w:rsidP="009B4BAA">
            <w:pPr>
              <w:autoSpaceDE w:val="0"/>
              <w:autoSpaceDN w:val="0"/>
              <w:adjustRightInd w:val="0"/>
              <w:spacing w:line="240" w:lineRule="auto"/>
              <w:jc w:val="left"/>
              <w:rPr>
                <w:rFonts w:cs="Arial"/>
                <w:bCs/>
                <w:iCs/>
                <w:highlight w:val="yellow"/>
                <w:u w:val="single"/>
                <w:lang w:val="nl-BE"/>
              </w:rPr>
            </w:pPr>
          </w:p>
          <w:p w14:paraId="1CA7E6D2" w14:textId="66F96DDD" w:rsidR="00955B5F" w:rsidRPr="003D7D3E" w:rsidRDefault="00955B5F" w:rsidP="00955B5F">
            <w:pPr>
              <w:autoSpaceDE w:val="0"/>
              <w:autoSpaceDN w:val="0"/>
              <w:adjustRightInd w:val="0"/>
              <w:rPr>
                <w:rFonts w:cs="Arial"/>
              </w:rPr>
            </w:pPr>
            <w:r>
              <w:rPr>
                <w:rFonts w:cs="Arial"/>
              </w:rPr>
              <w:t xml:space="preserve">Tot slot verbind ik mij ertoe de Nationale Bank van België onverwijld in kennis te stellen van eventuele belangrijke wijzigingen in het bewaarsysteem ten opzichte van de informatie die in het </w:t>
            </w:r>
            <w:r w:rsidR="00E676C9">
              <w:rPr>
                <w:rFonts w:cs="Arial"/>
              </w:rPr>
              <w:t xml:space="preserve">bovengenoemde </w:t>
            </w:r>
            <w:r>
              <w:rPr>
                <w:rFonts w:cs="Arial"/>
              </w:rPr>
              <w:t>dossier is opgenomen.</w:t>
            </w:r>
          </w:p>
          <w:p w14:paraId="616CDC29" w14:textId="267412DD" w:rsidR="00955B5F" w:rsidRPr="00AB5049" w:rsidRDefault="00955B5F" w:rsidP="009B4BAA">
            <w:pPr>
              <w:autoSpaceDE w:val="0"/>
              <w:autoSpaceDN w:val="0"/>
              <w:adjustRightInd w:val="0"/>
              <w:spacing w:line="240" w:lineRule="auto"/>
              <w:jc w:val="left"/>
              <w:rPr>
                <w:rFonts w:cs="Arial"/>
                <w:bCs/>
                <w:iCs/>
                <w:highlight w:val="yellow"/>
                <w:u w:val="single"/>
              </w:rPr>
            </w:pPr>
          </w:p>
        </w:tc>
      </w:tr>
    </w:tbl>
    <w:p w14:paraId="68C1DB47" w14:textId="77777777" w:rsidR="00B056BD" w:rsidRPr="00955B5F" w:rsidRDefault="00B056BD" w:rsidP="00B056BD">
      <w:pPr>
        <w:rPr>
          <w:lang w:val="nl-BE"/>
        </w:rPr>
      </w:pPr>
    </w:p>
    <w:p w14:paraId="70062907" w14:textId="77777777" w:rsidR="00B056BD" w:rsidRPr="00823BDB" w:rsidRDefault="00B056BD" w:rsidP="00B056BD">
      <w:r>
        <w:lastRenderedPageBreak/>
        <w:t xml:space="preserve">Datum: </w:t>
      </w:r>
      <w:r>
        <w:rPr>
          <w:highlight w:val="green"/>
        </w:rPr>
        <w:t>[DD/MM/JJJJ]</w:t>
      </w:r>
    </w:p>
    <w:p w14:paraId="3760E382" w14:textId="5B432E6F" w:rsidR="00B056BD" w:rsidRDefault="00B056BD" w:rsidP="00B056BD">
      <w:pPr>
        <w:rPr>
          <w:lang w:val="nl-BE"/>
        </w:rPr>
      </w:pPr>
    </w:p>
    <w:p w14:paraId="3B5944BF" w14:textId="77777777" w:rsidR="00843C01" w:rsidRPr="00955B5F" w:rsidRDefault="00843C01" w:rsidP="00B056BD">
      <w:pPr>
        <w:rPr>
          <w:lang w:val="nl-BE"/>
        </w:rPr>
      </w:pPr>
    </w:p>
    <w:p w14:paraId="57FF0FB2" w14:textId="77777777" w:rsidR="00B056BD" w:rsidRPr="00823BDB" w:rsidRDefault="00B056BD" w:rsidP="00B056BD">
      <w:r>
        <w:t>___________________</w:t>
      </w:r>
    </w:p>
    <w:p w14:paraId="6F09FCB9" w14:textId="77777777" w:rsidR="00B056BD" w:rsidRPr="00823BDB" w:rsidRDefault="00B056BD" w:rsidP="00B056BD">
      <w:r>
        <w:rPr>
          <w:highlight w:val="green"/>
        </w:rPr>
        <w:t>[Naam en Voornaam]</w:t>
      </w:r>
    </w:p>
    <w:p w14:paraId="153097E2" w14:textId="1BEC6027" w:rsidR="00E7262C" w:rsidRPr="00823BDB" w:rsidRDefault="00365CED" w:rsidP="00B056BD">
      <w:r>
        <w:t>Voorzitter van het directiecomité van [</w:t>
      </w:r>
      <w:r>
        <w:rPr>
          <w:highlight w:val="green"/>
        </w:rPr>
        <w:t>onderneming</w:t>
      </w:r>
      <w:r>
        <w:t>]</w:t>
      </w:r>
    </w:p>
    <w:sectPr w:rsidR="00E7262C" w:rsidRPr="00823BDB" w:rsidSect="00843C01">
      <w:headerReference w:type="even" r:id="rId10"/>
      <w:headerReference w:type="first" r:id="rId11"/>
      <w:pgSz w:w="16840" w:h="11907" w:orient="landscape" w:code="9"/>
      <w:pgMar w:top="1135"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B981" w14:textId="77777777" w:rsidR="00B056BD" w:rsidRDefault="00B056BD">
      <w:r>
        <w:separator/>
      </w:r>
    </w:p>
  </w:endnote>
  <w:endnote w:type="continuationSeparator" w:id="0">
    <w:p w14:paraId="2601D7D9" w14:textId="77777777" w:rsidR="00B056BD" w:rsidRDefault="00B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346A" w14:textId="77777777" w:rsidR="00B056BD" w:rsidRDefault="00B056BD">
      <w:r>
        <w:separator/>
      </w:r>
    </w:p>
  </w:footnote>
  <w:footnote w:type="continuationSeparator" w:id="0">
    <w:p w14:paraId="71C0E13C" w14:textId="77777777" w:rsidR="00B056BD" w:rsidRDefault="00B0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8E22"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DCF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68EEF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BAD2A82"/>
    <w:multiLevelType w:val="multilevel"/>
    <w:tmpl w:val="112C06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5"/>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BD"/>
    <w:rsid w:val="00002AB1"/>
    <w:rsid w:val="00005848"/>
    <w:rsid w:val="0001064F"/>
    <w:rsid w:val="00016588"/>
    <w:rsid w:val="0002547B"/>
    <w:rsid w:val="00082B62"/>
    <w:rsid w:val="00092F24"/>
    <w:rsid w:val="000A43B4"/>
    <w:rsid w:val="000C2D0A"/>
    <w:rsid w:val="001726FE"/>
    <w:rsid w:val="001767E5"/>
    <w:rsid w:val="00190BA2"/>
    <w:rsid w:val="00205237"/>
    <w:rsid w:val="00217B38"/>
    <w:rsid w:val="0022049F"/>
    <w:rsid w:val="00243709"/>
    <w:rsid w:val="00247B44"/>
    <w:rsid w:val="002968E4"/>
    <w:rsid w:val="002D19CB"/>
    <w:rsid w:val="002E5CB4"/>
    <w:rsid w:val="002F65B9"/>
    <w:rsid w:val="00310D8D"/>
    <w:rsid w:val="00352DC7"/>
    <w:rsid w:val="00365CED"/>
    <w:rsid w:val="003B6994"/>
    <w:rsid w:val="003C268F"/>
    <w:rsid w:val="00477796"/>
    <w:rsid w:val="004A27FF"/>
    <w:rsid w:val="00536A40"/>
    <w:rsid w:val="00577B66"/>
    <w:rsid w:val="005C7148"/>
    <w:rsid w:val="006356E0"/>
    <w:rsid w:val="00637909"/>
    <w:rsid w:val="0064227C"/>
    <w:rsid w:val="00642C64"/>
    <w:rsid w:val="00661343"/>
    <w:rsid w:val="00662196"/>
    <w:rsid w:val="00665FF1"/>
    <w:rsid w:val="006720E3"/>
    <w:rsid w:val="00683E12"/>
    <w:rsid w:val="0068491F"/>
    <w:rsid w:val="00692D3A"/>
    <w:rsid w:val="006A50FA"/>
    <w:rsid w:val="006E020F"/>
    <w:rsid w:val="007060FF"/>
    <w:rsid w:val="0071233C"/>
    <w:rsid w:val="00734365"/>
    <w:rsid w:val="007360DD"/>
    <w:rsid w:val="00772B0D"/>
    <w:rsid w:val="00782E97"/>
    <w:rsid w:val="00796132"/>
    <w:rsid w:val="007B159B"/>
    <w:rsid w:val="007B7057"/>
    <w:rsid w:val="007F0CC7"/>
    <w:rsid w:val="00823BDB"/>
    <w:rsid w:val="0083501D"/>
    <w:rsid w:val="00840F95"/>
    <w:rsid w:val="00843C01"/>
    <w:rsid w:val="008448B4"/>
    <w:rsid w:val="008533D0"/>
    <w:rsid w:val="00871F80"/>
    <w:rsid w:val="00876A19"/>
    <w:rsid w:val="00892821"/>
    <w:rsid w:val="008A6313"/>
    <w:rsid w:val="008C53AF"/>
    <w:rsid w:val="0090787B"/>
    <w:rsid w:val="00910083"/>
    <w:rsid w:val="00913394"/>
    <w:rsid w:val="00955B5F"/>
    <w:rsid w:val="00960F42"/>
    <w:rsid w:val="0096502C"/>
    <w:rsid w:val="00993CCE"/>
    <w:rsid w:val="009A7B7D"/>
    <w:rsid w:val="009B4BAA"/>
    <w:rsid w:val="009D353A"/>
    <w:rsid w:val="009F23EB"/>
    <w:rsid w:val="00A126F9"/>
    <w:rsid w:val="00A80218"/>
    <w:rsid w:val="00A86AC8"/>
    <w:rsid w:val="00AA3C24"/>
    <w:rsid w:val="00AB5049"/>
    <w:rsid w:val="00AC79A6"/>
    <w:rsid w:val="00B056BD"/>
    <w:rsid w:val="00B37AA8"/>
    <w:rsid w:val="00B40075"/>
    <w:rsid w:val="00BC6750"/>
    <w:rsid w:val="00BE791D"/>
    <w:rsid w:val="00C377BC"/>
    <w:rsid w:val="00C769A5"/>
    <w:rsid w:val="00C85A1F"/>
    <w:rsid w:val="00CA177B"/>
    <w:rsid w:val="00CA36C5"/>
    <w:rsid w:val="00CA5A74"/>
    <w:rsid w:val="00CB4B76"/>
    <w:rsid w:val="00CD268E"/>
    <w:rsid w:val="00CE3044"/>
    <w:rsid w:val="00D84645"/>
    <w:rsid w:val="00DD4306"/>
    <w:rsid w:val="00DE2E9A"/>
    <w:rsid w:val="00E02090"/>
    <w:rsid w:val="00E676C9"/>
    <w:rsid w:val="00E7262C"/>
    <w:rsid w:val="00E96DA6"/>
    <w:rsid w:val="00EA01EB"/>
    <w:rsid w:val="00EA6773"/>
    <w:rsid w:val="00ED1B50"/>
    <w:rsid w:val="00F27D53"/>
    <w:rsid w:val="00F31EE4"/>
    <w:rsid w:val="00F47CCC"/>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F037"/>
  <w15:chartTrackingRefBased/>
  <w15:docId w15:val="{C809E95D-0A84-4B5F-ABBE-AF60B4A1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6BD"/>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B056BD"/>
    <w:pPr>
      <w:ind w:left="720"/>
      <w:contextualSpacing/>
    </w:pPr>
  </w:style>
  <w:style w:type="paragraph" w:styleId="NormalWeb">
    <w:name w:val="Normal (Web)"/>
    <w:basedOn w:val="Normal"/>
    <w:uiPriority w:val="99"/>
    <w:unhideWhenUsed/>
    <w:rsid w:val="00B056BD"/>
    <w:pPr>
      <w:spacing w:before="100" w:beforeAutospacing="1" w:after="100" w:afterAutospacing="1" w:line="240" w:lineRule="auto"/>
      <w:jc w:val="left"/>
    </w:pPr>
    <w:rPr>
      <w:rFonts w:ascii="Times New Roman" w:hAnsi="Times New Roman"/>
      <w:sz w:val="24"/>
      <w:szCs w:val="24"/>
      <w:lang w:eastAsia="fr-BE"/>
    </w:rPr>
  </w:style>
  <w:style w:type="paragraph" w:customStyle="1" w:styleId="Default">
    <w:name w:val="Default"/>
    <w:rsid w:val="00B056BD"/>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locked/>
    <w:rsid w:val="00B056BD"/>
    <w:rPr>
      <w:rFonts w:ascii="Arial" w:hAnsi="Arial"/>
      <w:lang w:val="nl-NL" w:eastAsia="en-US"/>
    </w:rPr>
  </w:style>
  <w:style w:type="table" w:customStyle="1" w:styleId="TableGrid2">
    <w:name w:val="Table Grid2"/>
    <w:basedOn w:val="TableNormal"/>
    <w:next w:val="TableGrid"/>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5C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E5CB4"/>
    <w:rPr>
      <w:rFonts w:ascii="Segoe UI" w:hAnsi="Segoe UI" w:cs="Segoe UI"/>
      <w:sz w:val="18"/>
      <w:szCs w:val="18"/>
      <w:lang w:val="nl-NL" w:eastAsia="en-US"/>
    </w:rPr>
  </w:style>
  <w:style w:type="character" w:styleId="CommentReference">
    <w:name w:val="annotation reference"/>
    <w:basedOn w:val="DefaultParagraphFont"/>
    <w:semiHidden/>
    <w:unhideWhenUsed/>
    <w:rsid w:val="00DD4306"/>
    <w:rPr>
      <w:sz w:val="16"/>
      <w:szCs w:val="16"/>
    </w:rPr>
  </w:style>
  <w:style w:type="paragraph" w:styleId="CommentText">
    <w:name w:val="annotation text"/>
    <w:basedOn w:val="Normal"/>
    <w:link w:val="CommentTextChar"/>
    <w:semiHidden/>
    <w:unhideWhenUsed/>
    <w:rsid w:val="00DD4306"/>
    <w:pPr>
      <w:spacing w:line="240" w:lineRule="auto"/>
    </w:pPr>
  </w:style>
  <w:style w:type="character" w:customStyle="1" w:styleId="CommentTextChar">
    <w:name w:val="Comment Text Char"/>
    <w:basedOn w:val="DefaultParagraphFont"/>
    <w:link w:val="CommentText"/>
    <w:semiHidden/>
    <w:rsid w:val="00DD4306"/>
    <w:rPr>
      <w:rFonts w:ascii="Arial" w:hAnsi="Arial"/>
      <w:lang w:eastAsia="en-US"/>
    </w:rPr>
  </w:style>
  <w:style w:type="paragraph" w:styleId="CommentSubject">
    <w:name w:val="annotation subject"/>
    <w:basedOn w:val="CommentText"/>
    <w:next w:val="CommentText"/>
    <w:link w:val="CommentSubjectChar"/>
    <w:semiHidden/>
    <w:unhideWhenUsed/>
    <w:rsid w:val="00DD4306"/>
    <w:rPr>
      <w:b/>
      <w:bCs/>
    </w:rPr>
  </w:style>
  <w:style w:type="character" w:customStyle="1" w:styleId="CommentSubjectChar">
    <w:name w:val="Comment Subject Char"/>
    <w:basedOn w:val="CommentTextChar"/>
    <w:link w:val="CommentSubject"/>
    <w:semiHidden/>
    <w:rsid w:val="00DD430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8" ma:contentTypeDescription="Create a new document." ma:contentTypeScope="" ma:versionID="15adc31c6454e55ba2e913735a78322c">
  <xsd:schema xmlns:xsd="http://www.w3.org/2001/XMLSchema" xmlns:xs="http://www.w3.org/2001/XMLSchema" xmlns:p="http://schemas.microsoft.com/office/2006/metadata/properties" xmlns:ns3="9d8deac5-fb3e-42b5-850d-8cad8f8fcad4" targetNamespace="http://schemas.microsoft.com/office/2006/metadata/properties" ma:root="true" ma:fieldsID="1869e85595615f0b130dcc886c3c220c"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B581F-85E8-4342-A5C5-579E56B443CA}">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9d8deac5-fb3e-42b5-850d-8cad8f8fcad4"/>
    <ds:schemaRef ds:uri="http://www.w3.org/XML/1998/namespace"/>
    <ds:schemaRef ds:uri="http://purl.org/dc/terms/"/>
  </ds:schemaRefs>
</ds:datastoreItem>
</file>

<file path=customXml/itemProps2.xml><?xml version="1.0" encoding="utf-8"?>
<ds:datastoreItem xmlns:ds="http://schemas.openxmlformats.org/officeDocument/2006/customXml" ds:itemID="{1BFC7497-C174-4E2E-8059-62F0E3B11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8C6ED-1CC1-48CF-BF15-FBAA5278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Arys Viviane</cp:lastModifiedBy>
  <cp:revision>2</cp:revision>
  <cp:lastPrinted>1900-12-31T22:00:00Z</cp:lastPrinted>
  <dcterms:created xsi:type="dcterms:W3CDTF">2020-10-06T07:25:00Z</dcterms:created>
  <dcterms:modified xsi:type="dcterms:W3CDTF">2020-10-06T07:25:00Z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