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929"/>
      </w:tblGrid>
      <w:tr w:rsidR="008C2478" w:rsidRPr="0067787A" w14:paraId="7A46653C" w14:textId="77777777" w:rsidTr="00FA458C">
        <w:tc>
          <w:tcPr>
            <w:tcW w:w="8929" w:type="dxa"/>
            <w:shd w:val="clear" w:color="auto" w:fill="auto"/>
          </w:tcPr>
          <w:p w14:paraId="26F75A0D" w14:textId="0E9E9F51" w:rsidR="008C2478" w:rsidRPr="00E614C1" w:rsidRDefault="00FA458C" w:rsidP="00FA458C">
            <w:pPr>
              <w:pStyle w:val="ListParagraph"/>
              <w:overflowPunct w:val="0"/>
              <w:autoSpaceDE w:val="0"/>
              <w:autoSpaceDN w:val="0"/>
              <w:adjustRightInd w:val="0"/>
              <w:spacing w:before="120" w:after="120" w:line="240" w:lineRule="atLeast"/>
              <w:jc w:val="center"/>
              <w:rPr>
                <w:b/>
                <w:sz w:val="24"/>
                <w:szCs w:val="24"/>
                <w:lang w:val="nl-BE"/>
              </w:rPr>
            </w:pPr>
            <w:bookmarkStart w:id="0" w:name="_GoBack"/>
            <w:bookmarkEnd w:id="0"/>
            <w:r w:rsidRPr="0067787A">
              <w:rPr>
                <w:b/>
                <w:sz w:val="24"/>
                <w:szCs w:val="24"/>
                <w:lang w:val="nl-BE"/>
              </w:rPr>
              <w:t>Omstandig verslag aangaande de werkzaamheden met betrekking tot [naam instelling] voor het boekjaar [</w:t>
            </w:r>
            <w:proofErr w:type="spellStart"/>
            <w:r w:rsidRPr="0067787A">
              <w:rPr>
                <w:b/>
                <w:sz w:val="24"/>
                <w:szCs w:val="24"/>
                <w:lang w:val="nl-BE"/>
              </w:rPr>
              <w:t>xxxx</w:t>
            </w:r>
            <w:proofErr w:type="spellEnd"/>
            <w:r w:rsidRPr="0067787A">
              <w:rPr>
                <w:b/>
                <w:sz w:val="24"/>
                <w:szCs w:val="24"/>
                <w:lang w:val="nl-BE"/>
              </w:rPr>
              <w:t>]</w:t>
            </w:r>
          </w:p>
        </w:tc>
      </w:tr>
      <w:tr w:rsidR="00FA458C" w:rsidRPr="0067787A" w14:paraId="3EA6EE03" w14:textId="77777777" w:rsidTr="00DD189F">
        <w:trPr>
          <w:trHeight w:val="1042"/>
        </w:trPr>
        <w:tc>
          <w:tcPr>
            <w:tcW w:w="8929" w:type="dxa"/>
            <w:shd w:val="clear" w:color="auto" w:fill="auto"/>
          </w:tcPr>
          <w:p w14:paraId="7BEE8800" w14:textId="0E5D9388" w:rsidR="00FA458C" w:rsidRPr="0067787A" w:rsidRDefault="00FA458C" w:rsidP="00FA458C">
            <w:pPr>
              <w:overflowPunct w:val="0"/>
              <w:autoSpaceDE w:val="0"/>
              <w:autoSpaceDN w:val="0"/>
              <w:adjustRightInd w:val="0"/>
              <w:spacing w:before="120" w:after="120" w:line="240" w:lineRule="atLeast"/>
              <w:jc w:val="center"/>
              <w:rPr>
                <w:sz w:val="24"/>
                <w:szCs w:val="24"/>
                <w:u w:val="single"/>
                <w:lang w:val="nl-BE"/>
              </w:rPr>
            </w:pPr>
            <w:r w:rsidRPr="0067787A">
              <w:rPr>
                <w:sz w:val="24"/>
                <w:szCs w:val="24"/>
                <w:u w:val="single"/>
                <w:lang w:val="nl-BE"/>
              </w:rPr>
              <w:t>Executive summary</w:t>
            </w:r>
            <w:r w:rsidR="00030E18" w:rsidRPr="0067787A">
              <w:rPr>
                <w:sz w:val="24"/>
                <w:szCs w:val="24"/>
                <w:lang w:val="nl-BE"/>
              </w:rPr>
              <w:t>:</w:t>
            </w:r>
          </w:p>
          <w:p w14:paraId="3F728E23" w14:textId="77777777" w:rsidR="00FA458C" w:rsidRPr="0067787A" w:rsidRDefault="00FA458C" w:rsidP="00FA458C">
            <w:pPr>
              <w:overflowPunct w:val="0"/>
              <w:autoSpaceDE w:val="0"/>
              <w:autoSpaceDN w:val="0"/>
              <w:adjustRightInd w:val="0"/>
              <w:spacing w:before="120" w:after="120" w:line="240" w:lineRule="atLeast"/>
              <w:jc w:val="left"/>
              <w:rPr>
                <w:b/>
                <w:sz w:val="24"/>
                <w:szCs w:val="24"/>
                <w:lang w:val="nl-BE"/>
              </w:rPr>
            </w:pPr>
          </w:p>
          <w:p w14:paraId="786E685F" w14:textId="08E4753E" w:rsidR="00FA458C" w:rsidRPr="0067787A" w:rsidRDefault="00FA458C" w:rsidP="00FA458C">
            <w:pPr>
              <w:overflowPunct w:val="0"/>
              <w:autoSpaceDE w:val="0"/>
              <w:autoSpaceDN w:val="0"/>
              <w:adjustRightInd w:val="0"/>
              <w:spacing w:before="120" w:after="120" w:line="240" w:lineRule="atLeast"/>
              <w:jc w:val="left"/>
              <w:rPr>
                <w:sz w:val="24"/>
                <w:szCs w:val="24"/>
                <w:lang w:val="nl-BE"/>
              </w:rPr>
            </w:pPr>
          </w:p>
        </w:tc>
      </w:tr>
      <w:tr w:rsidR="00F5456C" w:rsidRPr="0067787A" w14:paraId="20F7F966" w14:textId="77777777" w:rsidTr="00F5456C">
        <w:tc>
          <w:tcPr>
            <w:tcW w:w="8929" w:type="dxa"/>
            <w:shd w:val="clear" w:color="auto" w:fill="C6D9F1" w:themeFill="text2" w:themeFillTint="33"/>
          </w:tcPr>
          <w:p w14:paraId="51BED4D6" w14:textId="77777777" w:rsidR="00F5456C" w:rsidRPr="00E614C1" w:rsidRDefault="00F5456C" w:rsidP="00F5456C">
            <w:pPr>
              <w:pStyle w:val="ListParagraph"/>
              <w:numPr>
                <w:ilvl w:val="0"/>
                <w:numId w:val="13"/>
              </w:numPr>
              <w:overflowPunct w:val="0"/>
              <w:autoSpaceDE w:val="0"/>
              <w:autoSpaceDN w:val="0"/>
              <w:adjustRightInd w:val="0"/>
              <w:spacing w:before="120" w:after="120" w:line="240" w:lineRule="atLeast"/>
              <w:jc w:val="left"/>
              <w:rPr>
                <w:b/>
                <w:lang w:val="nl-BE"/>
              </w:rPr>
            </w:pPr>
            <w:r w:rsidRPr="00E614C1">
              <w:rPr>
                <w:b/>
                <w:lang w:val="nl-BE"/>
              </w:rPr>
              <w:t>Analyse van de follow-up van het auditplan en van de aanvullende gegevens die aan de toezichthouder zijn verstrekt</w:t>
            </w:r>
          </w:p>
        </w:tc>
      </w:tr>
      <w:tr w:rsidR="00922863" w:rsidRPr="0067787A" w14:paraId="7ACF1DAB" w14:textId="77777777" w:rsidTr="00F5456C">
        <w:tc>
          <w:tcPr>
            <w:tcW w:w="8929" w:type="dxa"/>
          </w:tcPr>
          <w:p w14:paraId="477F543A" w14:textId="77777777" w:rsidR="00922863" w:rsidRPr="00E614C1" w:rsidRDefault="00922863" w:rsidP="00922863">
            <w:pPr>
              <w:overflowPunct w:val="0"/>
              <w:autoSpaceDE w:val="0"/>
              <w:autoSpaceDN w:val="0"/>
              <w:adjustRightInd w:val="0"/>
              <w:spacing w:before="120" w:after="120" w:line="240" w:lineRule="atLeast"/>
              <w:jc w:val="left"/>
              <w:rPr>
                <w:lang w:val="nl-BE"/>
              </w:rPr>
            </w:pPr>
          </w:p>
        </w:tc>
      </w:tr>
      <w:tr w:rsidR="00F5456C" w:rsidRPr="0067787A" w14:paraId="5B93D98A" w14:textId="77777777" w:rsidTr="00F5456C">
        <w:tc>
          <w:tcPr>
            <w:tcW w:w="8929" w:type="dxa"/>
          </w:tcPr>
          <w:p w14:paraId="642787DB" w14:textId="77777777" w:rsidR="00F5456C" w:rsidRPr="00E614C1" w:rsidRDefault="00F5456C" w:rsidP="00F5456C">
            <w:pPr>
              <w:pStyle w:val="ListParagraph"/>
              <w:numPr>
                <w:ilvl w:val="0"/>
                <w:numId w:val="14"/>
              </w:numPr>
              <w:overflowPunct w:val="0"/>
              <w:autoSpaceDE w:val="0"/>
              <w:autoSpaceDN w:val="0"/>
              <w:adjustRightInd w:val="0"/>
              <w:spacing w:before="120" w:after="120" w:line="240" w:lineRule="atLeast"/>
              <w:jc w:val="left"/>
              <w:rPr>
                <w:b/>
                <w:i/>
                <w:lang w:val="nl-BE"/>
              </w:rPr>
            </w:pPr>
            <w:r w:rsidRPr="00E614C1">
              <w:rPr>
                <w:b/>
                <w:i/>
                <w:lang w:val="nl-BE"/>
              </w:rPr>
              <w:t>problemen bij de uitvoering van het auditplan en wijzigingen die erin zijn aangebracht</w:t>
            </w:r>
          </w:p>
        </w:tc>
      </w:tr>
      <w:tr w:rsidR="00F5456C" w:rsidRPr="0067787A" w14:paraId="65920FAE" w14:textId="77777777" w:rsidTr="00F5456C">
        <w:tc>
          <w:tcPr>
            <w:tcW w:w="8929" w:type="dxa"/>
          </w:tcPr>
          <w:p w14:paraId="520D5C12" w14:textId="77777777" w:rsidR="00F5456C" w:rsidRPr="00E614C1" w:rsidRDefault="00F5456C" w:rsidP="00F5456C">
            <w:pPr>
              <w:overflowPunct w:val="0"/>
              <w:autoSpaceDE w:val="0"/>
              <w:autoSpaceDN w:val="0"/>
              <w:adjustRightInd w:val="0"/>
              <w:spacing w:before="120" w:after="120" w:line="240" w:lineRule="atLeast"/>
              <w:jc w:val="left"/>
              <w:rPr>
                <w:lang w:val="nl-BE"/>
              </w:rPr>
            </w:pPr>
          </w:p>
        </w:tc>
      </w:tr>
      <w:tr w:rsidR="00F5456C" w:rsidRPr="0067787A" w14:paraId="06B9D209" w14:textId="77777777" w:rsidTr="00F5456C">
        <w:tc>
          <w:tcPr>
            <w:tcW w:w="8929" w:type="dxa"/>
          </w:tcPr>
          <w:p w14:paraId="2F706AB1" w14:textId="77777777" w:rsidR="00F5456C" w:rsidRPr="00E614C1" w:rsidRDefault="00F5456C" w:rsidP="00F5456C">
            <w:pPr>
              <w:pStyle w:val="ListParagraph"/>
              <w:numPr>
                <w:ilvl w:val="0"/>
                <w:numId w:val="14"/>
              </w:numPr>
              <w:overflowPunct w:val="0"/>
              <w:autoSpaceDE w:val="0"/>
              <w:autoSpaceDN w:val="0"/>
              <w:adjustRightInd w:val="0"/>
              <w:spacing w:before="120" w:after="120" w:line="240" w:lineRule="atLeast"/>
              <w:jc w:val="left"/>
              <w:rPr>
                <w:b/>
                <w:i/>
                <w:lang w:val="nl-BE"/>
              </w:rPr>
            </w:pPr>
            <w:r w:rsidRPr="00E614C1">
              <w:rPr>
                <w:b/>
                <w:i/>
                <w:lang w:val="nl-BE"/>
              </w:rPr>
              <w:t>overzicht van de belangrijke auditwerkzaamheden uitgevoerd naast de oorspronkelijk geplande werkzaamheden, en de motieven daarvoor</w:t>
            </w:r>
          </w:p>
        </w:tc>
      </w:tr>
      <w:tr w:rsidR="00F5456C" w:rsidRPr="0067787A" w14:paraId="2974C0A6" w14:textId="77777777" w:rsidTr="00F5456C">
        <w:tc>
          <w:tcPr>
            <w:tcW w:w="8929" w:type="dxa"/>
          </w:tcPr>
          <w:p w14:paraId="21BB4C8F" w14:textId="77777777" w:rsidR="00F5456C" w:rsidRPr="00E614C1" w:rsidRDefault="00F5456C" w:rsidP="00F5456C">
            <w:pPr>
              <w:overflowPunct w:val="0"/>
              <w:autoSpaceDE w:val="0"/>
              <w:autoSpaceDN w:val="0"/>
              <w:adjustRightInd w:val="0"/>
              <w:spacing w:before="120" w:after="120" w:line="240" w:lineRule="atLeast"/>
              <w:jc w:val="left"/>
              <w:rPr>
                <w:lang w:val="nl-BE"/>
              </w:rPr>
            </w:pPr>
          </w:p>
        </w:tc>
      </w:tr>
      <w:tr w:rsidR="00F5456C" w:rsidRPr="0067787A" w14:paraId="0D7D89C2" w14:textId="77777777" w:rsidTr="00F5456C">
        <w:tc>
          <w:tcPr>
            <w:tcW w:w="8929" w:type="dxa"/>
          </w:tcPr>
          <w:p w14:paraId="7F0F6AB4" w14:textId="3BA9AC68" w:rsidR="00F5456C" w:rsidRPr="00E614C1" w:rsidRDefault="00F5456C" w:rsidP="00F5456C">
            <w:pPr>
              <w:pStyle w:val="ListParagraph"/>
              <w:numPr>
                <w:ilvl w:val="0"/>
                <w:numId w:val="14"/>
              </w:numPr>
              <w:overflowPunct w:val="0"/>
              <w:autoSpaceDE w:val="0"/>
              <w:autoSpaceDN w:val="0"/>
              <w:adjustRightInd w:val="0"/>
              <w:spacing w:before="120" w:after="120" w:line="240" w:lineRule="atLeast"/>
              <w:jc w:val="left"/>
              <w:rPr>
                <w:lang w:val="nl-BE"/>
              </w:rPr>
            </w:pPr>
            <w:r w:rsidRPr="00E614C1">
              <w:rPr>
                <w:b/>
                <w:i/>
                <w:lang w:val="nl-BE"/>
              </w:rPr>
              <w:t>tekortkomingen vastgesteld bij de o</w:t>
            </w:r>
            <w:r w:rsidR="00FA458C" w:rsidRPr="00E614C1">
              <w:rPr>
                <w:b/>
                <w:i/>
                <w:lang w:val="nl-BE"/>
              </w:rPr>
              <w:t xml:space="preserve">nafhankelijke controlefuncties </w:t>
            </w:r>
            <w:r w:rsidRPr="00E614C1">
              <w:rPr>
                <w:b/>
                <w:i/>
                <w:lang w:val="nl-BE"/>
              </w:rPr>
              <w:t>met een belangrijke impact op het auditstandpun</w:t>
            </w:r>
            <w:r w:rsidR="00FA458C" w:rsidRPr="00E614C1">
              <w:rPr>
                <w:b/>
                <w:i/>
                <w:lang w:val="nl-BE"/>
              </w:rPr>
              <w:t>t</w:t>
            </w:r>
          </w:p>
        </w:tc>
      </w:tr>
      <w:tr w:rsidR="00F5456C" w:rsidRPr="0067787A" w14:paraId="29FDFC8E" w14:textId="77777777" w:rsidTr="00F5456C">
        <w:tc>
          <w:tcPr>
            <w:tcW w:w="8929" w:type="dxa"/>
          </w:tcPr>
          <w:p w14:paraId="241A8F73" w14:textId="77777777" w:rsidR="00F5456C" w:rsidRPr="00E614C1" w:rsidRDefault="00F5456C" w:rsidP="00F5456C">
            <w:pPr>
              <w:overflowPunct w:val="0"/>
              <w:autoSpaceDE w:val="0"/>
              <w:autoSpaceDN w:val="0"/>
              <w:adjustRightInd w:val="0"/>
              <w:spacing w:before="120" w:after="120" w:line="240" w:lineRule="atLeast"/>
              <w:jc w:val="left"/>
              <w:rPr>
                <w:lang w:val="nl-BE"/>
              </w:rPr>
            </w:pPr>
          </w:p>
        </w:tc>
      </w:tr>
      <w:tr w:rsidR="00F5456C" w:rsidRPr="0067787A" w14:paraId="043F5E89" w14:textId="77777777" w:rsidTr="00F5456C">
        <w:tc>
          <w:tcPr>
            <w:tcW w:w="8929" w:type="dxa"/>
          </w:tcPr>
          <w:p w14:paraId="0FCE9BE5" w14:textId="77777777" w:rsidR="00F5456C" w:rsidRPr="00E614C1" w:rsidRDefault="00F5456C" w:rsidP="00F5456C">
            <w:pPr>
              <w:pStyle w:val="ListParagraph"/>
              <w:numPr>
                <w:ilvl w:val="0"/>
                <w:numId w:val="14"/>
              </w:numPr>
              <w:overflowPunct w:val="0"/>
              <w:autoSpaceDE w:val="0"/>
              <w:autoSpaceDN w:val="0"/>
              <w:adjustRightInd w:val="0"/>
              <w:spacing w:before="120" w:after="120" w:line="240" w:lineRule="atLeast"/>
              <w:jc w:val="left"/>
              <w:rPr>
                <w:lang w:val="nl-BE"/>
              </w:rPr>
            </w:pPr>
            <w:r w:rsidRPr="00E614C1">
              <w:rPr>
                <w:b/>
                <w:i/>
                <w:lang w:val="nl-BE"/>
              </w:rPr>
              <w:t>overige issues</w:t>
            </w:r>
          </w:p>
        </w:tc>
      </w:tr>
      <w:tr w:rsidR="00F5456C" w:rsidRPr="0067787A" w14:paraId="25C97749" w14:textId="77777777" w:rsidTr="00F5456C">
        <w:tc>
          <w:tcPr>
            <w:tcW w:w="8929" w:type="dxa"/>
          </w:tcPr>
          <w:p w14:paraId="0E1A660B" w14:textId="77777777" w:rsidR="00F5456C" w:rsidRPr="00E614C1" w:rsidRDefault="00F5456C" w:rsidP="00F5456C">
            <w:pPr>
              <w:overflowPunct w:val="0"/>
              <w:autoSpaceDE w:val="0"/>
              <w:autoSpaceDN w:val="0"/>
              <w:adjustRightInd w:val="0"/>
              <w:spacing w:before="120" w:after="120" w:line="240" w:lineRule="atLeast"/>
              <w:jc w:val="left"/>
              <w:rPr>
                <w:lang w:val="nl-BE"/>
              </w:rPr>
            </w:pPr>
          </w:p>
        </w:tc>
      </w:tr>
      <w:tr w:rsidR="00F5456C" w:rsidRPr="0067787A" w14:paraId="26AB66CF" w14:textId="77777777" w:rsidTr="00922863">
        <w:tc>
          <w:tcPr>
            <w:tcW w:w="8929" w:type="dxa"/>
            <w:shd w:val="clear" w:color="auto" w:fill="C6D9F1" w:themeFill="text2" w:themeFillTint="33"/>
          </w:tcPr>
          <w:p w14:paraId="3CF1E357" w14:textId="13042885" w:rsidR="00F5456C" w:rsidRPr="00E614C1" w:rsidRDefault="00922863" w:rsidP="00922863">
            <w:pPr>
              <w:pStyle w:val="ListParagraph"/>
              <w:numPr>
                <w:ilvl w:val="0"/>
                <w:numId w:val="13"/>
              </w:numPr>
              <w:overflowPunct w:val="0"/>
              <w:autoSpaceDE w:val="0"/>
              <w:autoSpaceDN w:val="0"/>
              <w:adjustRightInd w:val="0"/>
              <w:spacing w:before="120" w:after="120" w:line="240" w:lineRule="atLeast"/>
              <w:jc w:val="left"/>
              <w:rPr>
                <w:b/>
                <w:lang w:val="nl-BE"/>
              </w:rPr>
            </w:pPr>
            <w:r w:rsidRPr="00E614C1">
              <w:rPr>
                <w:b/>
                <w:lang w:val="nl-BE"/>
              </w:rPr>
              <w:t>Alle aanbevelingen van de commissaris aan het directiecomité en de vastgestelde lacunes, voor zover die niet werden vermeld in de aanbevelingen van de commissaris aan het directiecomité</w:t>
            </w:r>
          </w:p>
        </w:tc>
      </w:tr>
      <w:tr w:rsidR="00F5456C" w:rsidRPr="0067787A" w14:paraId="7C94FA56" w14:textId="77777777" w:rsidTr="00F5456C">
        <w:tc>
          <w:tcPr>
            <w:tcW w:w="8929" w:type="dxa"/>
          </w:tcPr>
          <w:p w14:paraId="1893E3C0" w14:textId="77777777" w:rsidR="00F5456C" w:rsidRPr="00E614C1" w:rsidRDefault="00F5456C" w:rsidP="00F5456C">
            <w:pPr>
              <w:overflowPunct w:val="0"/>
              <w:autoSpaceDE w:val="0"/>
              <w:autoSpaceDN w:val="0"/>
              <w:adjustRightInd w:val="0"/>
              <w:spacing w:before="120" w:after="120" w:line="240" w:lineRule="atLeast"/>
              <w:jc w:val="left"/>
              <w:rPr>
                <w:lang w:val="nl-BE"/>
              </w:rPr>
            </w:pPr>
          </w:p>
        </w:tc>
      </w:tr>
      <w:tr w:rsidR="00F5456C" w:rsidRPr="0067787A" w14:paraId="2087D3BB" w14:textId="77777777" w:rsidTr="00922863">
        <w:tc>
          <w:tcPr>
            <w:tcW w:w="8929" w:type="dxa"/>
            <w:shd w:val="clear" w:color="auto" w:fill="C6D9F1" w:themeFill="text2" w:themeFillTint="33"/>
          </w:tcPr>
          <w:p w14:paraId="7A54C148" w14:textId="522F3261" w:rsidR="00F5456C" w:rsidRPr="00E614C1" w:rsidRDefault="00922863" w:rsidP="00922863">
            <w:pPr>
              <w:pStyle w:val="ListParagraph"/>
              <w:numPr>
                <w:ilvl w:val="0"/>
                <w:numId w:val="13"/>
              </w:numPr>
              <w:overflowPunct w:val="0"/>
              <w:autoSpaceDE w:val="0"/>
              <w:autoSpaceDN w:val="0"/>
              <w:adjustRightInd w:val="0"/>
              <w:spacing w:before="120" w:after="120" w:line="240" w:lineRule="atLeast"/>
              <w:jc w:val="left"/>
              <w:rPr>
                <w:b/>
                <w:lang w:val="nl-BE"/>
              </w:rPr>
            </w:pPr>
            <w:r w:rsidRPr="00E614C1">
              <w:rPr>
                <w:b/>
                <w:lang w:val="nl-BE"/>
              </w:rPr>
              <w:t>Het gevolg dat werd gegeven aan de aanbevelingen en de lacunes die werden vastgesteld bij de vorige controle van de periodieke staten (in voorkomend geval met vermelding van de aanbevelingen en lacunes waaraan de instelling geen gevolg heeft gegeven)</w:t>
            </w:r>
          </w:p>
        </w:tc>
      </w:tr>
      <w:tr w:rsidR="00922863" w:rsidRPr="0067787A" w14:paraId="6E140110" w14:textId="77777777" w:rsidTr="00F5456C">
        <w:tc>
          <w:tcPr>
            <w:tcW w:w="8929" w:type="dxa"/>
          </w:tcPr>
          <w:p w14:paraId="0B3AE947" w14:textId="77777777" w:rsidR="00922863" w:rsidRPr="00E614C1" w:rsidRDefault="00922863" w:rsidP="00F5456C">
            <w:pPr>
              <w:overflowPunct w:val="0"/>
              <w:autoSpaceDE w:val="0"/>
              <w:autoSpaceDN w:val="0"/>
              <w:adjustRightInd w:val="0"/>
              <w:spacing w:before="120" w:after="120" w:line="240" w:lineRule="atLeast"/>
              <w:jc w:val="left"/>
              <w:rPr>
                <w:lang w:val="nl-BE"/>
              </w:rPr>
            </w:pPr>
          </w:p>
        </w:tc>
      </w:tr>
      <w:tr w:rsidR="00922863" w:rsidRPr="0067787A" w14:paraId="26DA0934" w14:textId="77777777" w:rsidTr="00922863">
        <w:tc>
          <w:tcPr>
            <w:tcW w:w="8929" w:type="dxa"/>
            <w:shd w:val="clear" w:color="auto" w:fill="C6D9F1" w:themeFill="text2" w:themeFillTint="33"/>
          </w:tcPr>
          <w:p w14:paraId="6D87A8C9" w14:textId="41F00420" w:rsidR="00922863" w:rsidRDefault="00922863" w:rsidP="0067787A">
            <w:pPr>
              <w:pStyle w:val="ListParagraph"/>
              <w:numPr>
                <w:ilvl w:val="0"/>
                <w:numId w:val="13"/>
              </w:numPr>
              <w:overflowPunct w:val="0"/>
              <w:spacing w:before="120" w:after="120" w:line="240" w:lineRule="atLeast"/>
              <w:rPr>
                <w:b/>
                <w:lang w:val="nl-BE"/>
              </w:rPr>
            </w:pPr>
            <w:r w:rsidRPr="00E614C1">
              <w:rPr>
                <w:b/>
                <w:lang w:val="nl-BE"/>
              </w:rPr>
              <w:t xml:space="preserve">Een overzicht van de punten die volgens het professioneel oordeel van de commissaris </w:t>
            </w:r>
            <w:r w:rsidR="00E614C1" w:rsidRPr="00E614C1">
              <w:rPr>
                <w:b/>
                <w:lang w:val="nl-BE"/>
              </w:rPr>
              <w:t>voldoende belangrijk en relevant zijn om aan de toezichthouder te worden gerapporteerd voor toezichtdoeleinden</w:t>
            </w:r>
            <w:r w:rsidR="00A37596" w:rsidRPr="0067787A">
              <w:rPr>
                <w:b/>
                <w:lang w:val="nl-BE"/>
              </w:rPr>
              <w:t>:</w:t>
            </w:r>
          </w:p>
          <w:p w14:paraId="2C204FAF" w14:textId="77777777" w:rsidR="0067787A" w:rsidRPr="0067787A" w:rsidRDefault="0067787A" w:rsidP="0067787A">
            <w:pPr>
              <w:pStyle w:val="ListParagraph"/>
              <w:overflowPunct w:val="0"/>
              <w:spacing w:before="120" w:after="120" w:line="240" w:lineRule="atLeast"/>
              <w:rPr>
                <w:b/>
                <w:lang w:val="nl-BE"/>
              </w:rPr>
            </w:pPr>
          </w:p>
          <w:p w14:paraId="0014D7C5" w14:textId="2FDB2022" w:rsidR="00E614C1" w:rsidRPr="0067787A" w:rsidRDefault="00E614C1" w:rsidP="00E614C1">
            <w:pPr>
              <w:pStyle w:val="ListParagraph"/>
              <w:numPr>
                <w:ilvl w:val="0"/>
                <w:numId w:val="17"/>
              </w:numPr>
              <w:overflowPunct w:val="0"/>
              <w:autoSpaceDE w:val="0"/>
              <w:autoSpaceDN w:val="0"/>
              <w:adjustRightInd w:val="0"/>
              <w:spacing w:before="120" w:after="120" w:line="240" w:lineRule="atLeast"/>
              <w:ind w:left="1134"/>
              <w:rPr>
                <w:i/>
                <w:color w:val="FF0000"/>
                <w:lang w:val="nl-BE"/>
              </w:rPr>
            </w:pPr>
            <w:r w:rsidRPr="0067787A">
              <w:rPr>
                <w:i/>
                <w:color w:val="FF0000"/>
                <w:lang w:val="nl-BE"/>
              </w:rPr>
              <w:t xml:space="preserve">Gelieve per punt uw oordeel </w:t>
            </w:r>
            <w:r w:rsidRPr="0067787A">
              <w:rPr>
                <w:b/>
                <w:i/>
                <w:color w:val="FF0000"/>
                <w:lang w:val="nl-BE"/>
              </w:rPr>
              <w:t>toe te lichten en / of te verwijzen</w:t>
            </w:r>
            <w:r w:rsidRPr="0067787A">
              <w:rPr>
                <w:i/>
                <w:color w:val="FF0000"/>
                <w:lang w:val="nl-BE"/>
              </w:rPr>
              <w:t xml:space="preserve"> naar andere documenten, bv. verslagen van het auditcomité, mits precisering waar de relevante informatie zich bevindt (pagina, paragraaf, …)</w:t>
            </w:r>
            <w:r w:rsidR="0066668C">
              <w:rPr>
                <w:i/>
                <w:color w:val="FF0000"/>
                <w:lang w:val="nl-BE"/>
              </w:rPr>
              <w:t>.</w:t>
            </w:r>
          </w:p>
          <w:p w14:paraId="4AB0669E" w14:textId="5E070B4B" w:rsidR="00E614C1" w:rsidRDefault="00E614C1" w:rsidP="00E614C1">
            <w:pPr>
              <w:pStyle w:val="ListParagraph"/>
              <w:numPr>
                <w:ilvl w:val="0"/>
                <w:numId w:val="17"/>
              </w:numPr>
              <w:overflowPunct w:val="0"/>
              <w:autoSpaceDE w:val="0"/>
              <w:autoSpaceDN w:val="0"/>
              <w:adjustRightInd w:val="0"/>
              <w:spacing w:before="120" w:after="120" w:line="240" w:lineRule="atLeast"/>
              <w:ind w:left="1134"/>
              <w:rPr>
                <w:i/>
                <w:color w:val="FF0000"/>
                <w:lang w:val="nl-BE"/>
              </w:rPr>
            </w:pPr>
            <w:r w:rsidRPr="0067787A">
              <w:rPr>
                <w:i/>
                <w:color w:val="FF0000"/>
                <w:lang w:val="nl-BE"/>
              </w:rPr>
              <w:t xml:space="preserve">Gelieve </w:t>
            </w:r>
            <w:r w:rsidRPr="0067787A">
              <w:rPr>
                <w:b/>
                <w:i/>
                <w:color w:val="FF0000"/>
                <w:lang w:val="nl-BE"/>
              </w:rPr>
              <w:t>‘nihil’</w:t>
            </w:r>
            <w:r w:rsidRPr="0067787A">
              <w:rPr>
                <w:i/>
                <w:color w:val="FF0000"/>
                <w:lang w:val="nl-BE"/>
              </w:rPr>
              <w:t xml:space="preserve"> te vermelden bij de punten die volgens uw professioneel oordeel niet resulteren in belangrijke aandachtspunten voor de toezichthouder, ook al maken ze wel deel uit van uw toezichtwerkzaamheden.</w:t>
            </w:r>
          </w:p>
          <w:p w14:paraId="1079AC77" w14:textId="5E070B4B" w:rsidR="00E87810" w:rsidRPr="00E614C1" w:rsidRDefault="00E614C1" w:rsidP="00E614C1">
            <w:pPr>
              <w:pStyle w:val="ListParagraph"/>
              <w:numPr>
                <w:ilvl w:val="0"/>
                <w:numId w:val="17"/>
              </w:numPr>
              <w:overflowPunct w:val="0"/>
              <w:autoSpaceDE w:val="0"/>
              <w:autoSpaceDN w:val="0"/>
              <w:adjustRightInd w:val="0"/>
              <w:spacing w:before="120" w:after="120" w:line="240" w:lineRule="atLeast"/>
              <w:ind w:left="1134"/>
              <w:rPr>
                <w:i/>
                <w:color w:val="FF0000"/>
                <w:lang w:val="nl-BE"/>
              </w:rPr>
            </w:pPr>
            <w:r w:rsidRPr="00E614C1">
              <w:rPr>
                <w:i/>
                <w:color w:val="FF0000"/>
                <w:lang w:val="nl-BE"/>
              </w:rPr>
              <w:t xml:space="preserve">Gelieve </w:t>
            </w:r>
            <w:r w:rsidRPr="00E614C1">
              <w:rPr>
                <w:b/>
                <w:i/>
                <w:color w:val="FF0000"/>
                <w:lang w:val="nl-BE"/>
              </w:rPr>
              <w:t>‘n/a’</w:t>
            </w:r>
            <w:r w:rsidRPr="00E614C1">
              <w:rPr>
                <w:i/>
                <w:color w:val="FF0000"/>
                <w:lang w:val="nl-BE"/>
              </w:rPr>
              <w:t xml:space="preserve"> te vermelden bij de punten die geen deel uitmaken van uw toezichtwerkzaamheden.</w:t>
            </w:r>
          </w:p>
        </w:tc>
      </w:tr>
      <w:tr w:rsidR="00922863" w:rsidRPr="0067787A" w14:paraId="0F2E874E" w14:textId="77777777" w:rsidTr="00F5456C">
        <w:tc>
          <w:tcPr>
            <w:tcW w:w="8929" w:type="dxa"/>
          </w:tcPr>
          <w:p w14:paraId="3107B16E" w14:textId="7589184D" w:rsidR="00922863" w:rsidRPr="0067787A" w:rsidRDefault="00922863" w:rsidP="00A37596">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lastRenderedPageBreak/>
              <w:t>De impact van eventuele tekortkomingen in de interne controle op de controle van de periodieke staten.</w:t>
            </w:r>
          </w:p>
        </w:tc>
      </w:tr>
      <w:tr w:rsidR="00A37596" w:rsidRPr="0067787A" w14:paraId="248E1FA3" w14:textId="77777777" w:rsidTr="00F5456C">
        <w:tc>
          <w:tcPr>
            <w:tcW w:w="8929" w:type="dxa"/>
          </w:tcPr>
          <w:p w14:paraId="3F89CD19" w14:textId="77777777" w:rsidR="00A37596" w:rsidRPr="0067787A" w:rsidRDefault="00A37596" w:rsidP="00A37596">
            <w:pPr>
              <w:overflowPunct w:val="0"/>
              <w:autoSpaceDE w:val="0"/>
              <w:autoSpaceDN w:val="0"/>
              <w:adjustRightInd w:val="0"/>
              <w:spacing w:before="120" w:after="120" w:line="240" w:lineRule="atLeast"/>
              <w:jc w:val="left"/>
              <w:rPr>
                <w:lang w:val="nl-BE"/>
              </w:rPr>
            </w:pPr>
          </w:p>
        </w:tc>
      </w:tr>
      <w:tr w:rsidR="00922863" w:rsidRPr="0067787A" w14:paraId="10A4EAF6" w14:textId="77777777" w:rsidTr="00F5456C">
        <w:tc>
          <w:tcPr>
            <w:tcW w:w="8929" w:type="dxa"/>
          </w:tcPr>
          <w:p w14:paraId="0709739C" w14:textId="6289116F" w:rsidR="00922863" w:rsidRPr="0067787A" w:rsidRDefault="00922863" w:rsidP="00A37596">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Het door de commissaris in het kader van zijn</w:t>
            </w:r>
            <w:r w:rsidR="00030E18" w:rsidRPr="0067787A">
              <w:rPr>
                <w:b/>
                <w:i/>
                <w:lang w:val="nl-BE"/>
              </w:rPr>
              <w:t>/haar</w:t>
            </w:r>
            <w:r w:rsidRPr="0067787A">
              <w:rPr>
                <w:b/>
                <w:i/>
                <w:lang w:val="nl-BE"/>
              </w:rPr>
              <w:t xml:space="preserve"> werkzaamheden vastgestelde verloop van de specifieke of systeemrisico's (reglementaire of macro-economische ontwikkelingen die een impact hebben op de instelling) waarmee de instelling geconfronteerd wordt, en die een invloed hebben gehad of kunnen hebben op haar periodieke staten en haar continuïteit. </w:t>
            </w:r>
          </w:p>
        </w:tc>
      </w:tr>
      <w:tr w:rsidR="00A37596" w:rsidRPr="0067787A" w14:paraId="03F76EDA" w14:textId="77777777" w:rsidTr="00F5456C">
        <w:tc>
          <w:tcPr>
            <w:tcW w:w="8929" w:type="dxa"/>
          </w:tcPr>
          <w:p w14:paraId="1B5416B2" w14:textId="77777777" w:rsidR="00A37596" w:rsidRPr="0067787A" w:rsidRDefault="00A37596" w:rsidP="00922863">
            <w:pPr>
              <w:overflowPunct w:val="0"/>
              <w:autoSpaceDE w:val="0"/>
              <w:autoSpaceDN w:val="0"/>
              <w:adjustRightInd w:val="0"/>
              <w:spacing w:before="120" w:after="120" w:line="240" w:lineRule="atLeast"/>
              <w:jc w:val="left"/>
              <w:rPr>
                <w:lang w:val="nl-BE"/>
              </w:rPr>
            </w:pPr>
          </w:p>
        </w:tc>
      </w:tr>
      <w:tr w:rsidR="00922863" w:rsidRPr="0067787A" w14:paraId="4072F2A4" w14:textId="77777777" w:rsidTr="00F5456C">
        <w:tc>
          <w:tcPr>
            <w:tcW w:w="8929" w:type="dxa"/>
          </w:tcPr>
          <w:p w14:paraId="21D69731" w14:textId="74DC3BA0" w:rsidR="00922863" w:rsidRPr="0067787A" w:rsidRDefault="00922863" w:rsidP="00A37596">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De belangrijke ontwikkelingen die zich in de loop van het boekjaar hebben voorgedaan op het vlak van de solvabiliteit, de liquiditeit, de financiële positie, de resultaten en de posten buiten de balanstelling van de instelling, en, in voorkomend geval, de lopende geschillen, voor zover ze niet reeds elders aan bod komen. Dit houdt ook in dat een overzicht wordt gegeven van de ontwikkeling van de instelling in het licht van de verschillende risico's waaraan ze is blootgesteld (kredietrisico, marktrisico, renterisico, ...), zoals die gerapporteerd wordt in de periodieke staten.</w:t>
            </w:r>
          </w:p>
        </w:tc>
      </w:tr>
      <w:tr w:rsidR="00A37596" w:rsidRPr="0067787A" w14:paraId="52B40F85" w14:textId="77777777" w:rsidTr="00F5456C">
        <w:tc>
          <w:tcPr>
            <w:tcW w:w="8929" w:type="dxa"/>
          </w:tcPr>
          <w:p w14:paraId="13C048C3" w14:textId="77777777" w:rsidR="00A37596" w:rsidRPr="0067787A" w:rsidRDefault="00A37596" w:rsidP="00922863">
            <w:pPr>
              <w:overflowPunct w:val="0"/>
              <w:autoSpaceDE w:val="0"/>
              <w:autoSpaceDN w:val="0"/>
              <w:adjustRightInd w:val="0"/>
              <w:spacing w:before="120" w:after="120" w:line="240" w:lineRule="atLeast"/>
              <w:jc w:val="left"/>
              <w:rPr>
                <w:lang w:val="nl-BE"/>
              </w:rPr>
            </w:pPr>
          </w:p>
        </w:tc>
      </w:tr>
      <w:tr w:rsidR="00922863" w:rsidRPr="0067787A" w14:paraId="09690595" w14:textId="77777777" w:rsidTr="00F5456C">
        <w:tc>
          <w:tcPr>
            <w:tcW w:w="8929" w:type="dxa"/>
          </w:tcPr>
          <w:p w14:paraId="14D34E21" w14:textId="3FE8570C" w:rsidR="00922863" w:rsidRPr="0067787A" w:rsidRDefault="00922863" w:rsidP="00A37596">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De belangrijke wijzigingen die zich hebben voorgedaan in de activiteiten van de instelling en die een impact hebben gehad of kunnen hebben op haar periodieke staten.</w:t>
            </w:r>
          </w:p>
        </w:tc>
      </w:tr>
      <w:tr w:rsidR="00A37596" w:rsidRPr="0067787A" w14:paraId="5B3FDC34" w14:textId="77777777" w:rsidTr="00F5456C">
        <w:tc>
          <w:tcPr>
            <w:tcW w:w="8929" w:type="dxa"/>
          </w:tcPr>
          <w:p w14:paraId="640CD478" w14:textId="77777777" w:rsidR="00A37596" w:rsidRPr="0067787A" w:rsidRDefault="00A37596" w:rsidP="00922863">
            <w:pPr>
              <w:overflowPunct w:val="0"/>
              <w:autoSpaceDE w:val="0"/>
              <w:autoSpaceDN w:val="0"/>
              <w:adjustRightInd w:val="0"/>
              <w:spacing w:before="120" w:after="120" w:line="240" w:lineRule="atLeast"/>
              <w:jc w:val="left"/>
              <w:rPr>
                <w:lang w:val="nl-BE"/>
              </w:rPr>
            </w:pPr>
          </w:p>
        </w:tc>
      </w:tr>
      <w:tr w:rsidR="00A37596" w:rsidRPr="0067787A" w14:paraId="12EF58C7" w14:textId="77777777" w:rsidTr="00F5456C">
        <w:tc>
          <w:tcPr>
            <w:tcW w:w="8929" w:type="dxa"/>
          </w:tcPr>
          <w:p w14:paraId="4D24AC35" w14:textId="42A89782" w:rsidR="00A37596" w:rsidRPr="0067787A" w:rsidRDefault="00A37596" w:rsidP="00A37596">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 xml:space="preserve">Het gebruik en de uitvoering van interne modellen voor de opstelling van financiële of </w:t>
            </w:r>
            <w:proofErr w:type="spellStart"/>
            <w:r w:rsidRPr="0067787A">
              <w:rPr>
                <w:b/>
                <w:i/>
                <w:lang w:val="nl-BE"/>
              </w:rPr>
              <w:t>prudentiële</w:t>
            </w:r>
            <w:proofErr w:type="spellEnd"/>
            <w:r w:rsidRPr="0067787A">
              <w:rPr>
                <w:b/>
                <w:i/>
                <w:lang w:val="nl-BE"/>
              </w:rPr>
              <w:t xml:space="preserve"> informatie.</w:t>
            </w:r>
          </w:p>
        </w:tc>
      </w:tr>
      <w:tr w:rsidR="00A37596" w:rsidRPr="0067787A" w14:paraId="64CFCA45" w14:textId="77777777" w:rsidTr="00F5456C">
        <w:tc>
          <w:tcPr>
            <w:tcW w:w="8929" w:type="dxa"/>
          </w:tcPr>
          <w:p w14:paraId="737B85FA" w14:textId="77777777" w:rsidR="00A37596" w:rsidRPr="0067787A" w:rsidRDefault="00A37596" w:rsidP="00A37596">
            <w:pPr>
              <w:overflowPunct w:val="0"/>
              <w:autoSpaceDE w:val="0"/>
              <w:autoSpaceDN w:val="0"/>
              <w:adjustRightInd w:val="0"/>
              <w:spacing w:before="120" w:after="120" w:line="240" w:lineRule="atLeast"/>
              <w:jc w:val="left"/>
              <w:rPr>
                <w:lang w:val="nl-BE"/>
              </w:rPr>
            </w:pPr>
          </w:p>
        </w:tc>
      </w:tr>
      <w:tr w:rsidR="00A37596" w:rsidRPr="0067787A" w14:paraId="67864EEC" w14:textId="77777777" w:rsidTr="00F5456C">
        <w:tc>
          <w:tcPr>
            <w:tcW w:w="8929" w:type="dxa"/>
          </w:tcPr>
          <w:p w14:paraId="0701B4EB" w14:textId="58C93250" w:rsidR="00A37596" w:rsidRPr="0067787A" w:rsidRDefault="00A37596" w:rsidP="00A37596">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 xml:space="preserve">De </w:t>
            </w:r>
            <w:proofErr w:type="spellStart"/>
            <w:r w:rsidRPr="0067787A">
              <w:rPr>
                <w:b/>
                <w:i/>
                <w:lang w:val="nl-BE"/>
              </w:rPr>
              <w:t>toereikendheid</w:t>
            </w:r>
            <w:proofErr w:type="spellEnd"/>
            <w:r w:rsidRPr="0067787A">
              <w:rPr>
                <w:b/>
                <w:i/>
                <w:lang w:val="nl-BE"/>
              </w:rPr>
              <w:t>, de kwaliteit en de relevantie van de gegevens, hypothesen en methodes die gebruikt worden in het kader van de belangrijkste waarderingen die als basis dienen voor de opstelling van de periodieke staten.</w:t>
            </w:r>
          </w:p>
        </w:tc>
      </w:tr>
      <w:tr w:rsidR="00A37596" w:rsidRPr="0067787A" w14:paraId="18AAA3B2" w14:textId="77777777" w:rsidTr="00F5456C">
        <w:tc>
          <w:tcPr>
            <w:tcW w:w="8929" w:type="dxa"/>
          </w:tcPr>
          <w:p w14:paraId="2A62502D" w14:textId="77777777" w:rsidR="00A37596" w:rsidRPr="0067787A" w:rsidRDefault="00A37596" w:rsidP="00A37596">
            <w:pPr>
              <w:overflowPunct w:val="0"/>
              <w:autoSpaceDE w:val="0"/>
              <w:autoSpaceDN w:val="0"/>
              <w:adjustRightInd w:val="0"/>
              <w:spacing w:before="120" w:after="120" w:line="240" w:lineRule="atLeast"/>
              <w:jc w:val="left"/>
              <w:rPr>
                <w:lang w:val="nl-BE"/>
              </w:rPr>
            </w:pPr>
          </w:p>
        </w:tc>
      </w:tr>
      <w:tr w:rsidR="00A37596" w:rsidRPr="0067787A" w14:paraId="491E306E" w14:textId="77777777" w:rsidTr="00F5456C">
        <w:tc>
          <w:tcPr>
            <w:tcW w:w="8929" w:type="dxa"/>
          </w:tcPr>
          <w:p w14:paraId="268EA35F" w14:textId="399C09F8" w:rsidR="00A37596" w:rsidRPr="0067787A" w:rsidRDefault="00A37596" w:rsidP="00A37596">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 xml:space="preserve">De ernstige problemen die de instelling ondervindt bij de waardering van de activa, de passiva, de posten buiten de balanstelling, de boekhoudkundige verwerking van de resultaten, de vaststelling van het reglementair eigen vermogen en de berekening van de gegevens met betrekking tot de specifieke </w:t>
            </w:r>
            <w:proofErr w:type="spellStart"/>
            <w:r w:rsidRPr="0067787A">
              <w:rPr>
                <w:b/>
                <w:i/>
                <w:lang w:val="nl-BE"/>
              </w:rPr>
              <w:t>prudentiële</w:t>
            </w:r>
            <w:proofErr w:type="spellEnd"/>
            <w:r w:rsidRPr="0067787A">
              <w:rPr>
                <w:b/>
                <w:i/>
                <w:lang w:val="nl-BE"/>
              </w:rPr>
              <w:t xml:space="preserve"> risico's die zij loopt. Er dient bijzondere aandacht te worden besteed aan de waarderingen waarvoor een hoge mate van oordeelkundigheid was vereist (onder verwijzing naar de standaard ISA 540).</w:t>
            </w:r>
          </w:p>
        </w:tc>
      </w:tr>
      <w:tr w:rsidR="00A37596" w:rsidRPr="0067787A" w14:paraId="3E95385F" w14:textId="77777777" w:rsidTr="00F5456C">
        <w:tc>
          <w:tcPr>
            <w:tcW w:w="8929" w:type="dxa"/>
          </w:tcPr>
          <w:p w14:paraId="454D391F" w14:textId="77777777" w:rsidR="00A37596" w:rsidRPr="0067787A" w:rsidRDefault="00A37596" w:rsidP="00A37596">
            <w:pPr>
              <w:overflowPunct w:val="0"/>
              <w:autoSpaceDE w:val="0"/>
              <w:autoSpaceDN w:val="0"/>
              <w:adjustRightInd w:val="0"/>
              <w:spacing w:before="120" w:after="120" w:line="240" w:lineRule="atLeast"/>
              <w:jc w:val="left"/>
              <w:rPr>
                <w:lang w:val="nl-BE"/>
              </w:rPr>
            </w:pPr>
          </w:p>
        </w:tc>
      </w:tr>
      <w:tr w:rsidR="00A37596" w:rsidRPr="0067787A" w14:paraId="4FB510BE" w14:textId="77777777" w:rsidTr="00F5456C">
        <w:tc>
          <w:tcPr>
            <w:tcW w:w="8929" w:type="dxa"/>
          </w:tcPr>
          <w:p w14:paraId="2634B94A" w14:textId="32373FF1" w:rsidR="00A37596" w:rsidRPr="0067787A" w:rsidRDefault="00A37596" w:rsidP="00A37596">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De omvang en de kwaliteit van de waarderingswerkzaamheden die aan externe deskundigen zijn toevertrouwd en de maatregelen die de commissaris in dit verband heeft genomen.</w:t>
            </w:r>
          </w:p>
        </w:tc>
      </w:tr>
      <w:tr w:rsidR="00A37596" w:rsidRPr="0067787A" w14:paraId="05376BD2" w14:textId="77777777" w:rsidTr="00F5456C">
        <w:tc>
          <w:tcPr>
            <w:tcW w:w="8929" w:type="dxa"/>
          </w:tcPr>
          <w:p w14:paraId="0F853B0F" w14:textId="77777777" w:rsidR="00A37596" w:rsidRPr="0067787A" w:rsidRDefault="00A37596" w:rsidP="00A37596">
            <w:pPr>
              <w:overflowPunct w:val="0"/>
              <w:autoSpaceDE w:val="0"/>
              <w:autoSpaceDN w:val="0"/>
              <w:adjustRightInd w:val="0"/>
              <w:spacing w:before="120" w:after="120" w:line="240" w:lineRule="atLeast"/>
              <w:jc w:val="left"/>
              <w:rPr>
                <w:lang w:val="nl-BE"/>
              </w:rPr>
            </w:pPr>
          </w:p>
        </w:tc>
      </w:tr>
      <w:tr w:rsidR="00922863" w:rsidRPr="0067787A" w14:paraId="1232C784" w14:textId="77777777" w:rsidTr="00F5456C">
        <w:tc>
          <w:tcPr>
            <w:tcW w:w="8929" w:type="dxa"/>
          </w:tcPr>
          <w:p w14:paraId="249634CD" w14:textId="77777777" w:rsidR="00A37596" w:rsidRPr="0067787A" w:rsidRDefault="00A37596" w:rsidP="00A37596">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 xml:space="preserve">De impact van een eventuele ‘management bias’ bij de voornoemde waarderingen, met name: </w:t>
            </w:r>
          </w:p>
          <w:p w14:paraId="164DD3FB" w14:textId="76A622C6" w:rsidR="00A37596" w:rsidRPr="0067787A" w:rsidRDefault="00030E18" w:rsidP="00A37596">
            <w:pPr>
              <w:pStyle w:val="ListParagraph"/>
              <w:numPr>
                <w:ilvl w:val="0"/>
                <w:numId w:val="15"/>
              </w:numPr>
              <w:overflowPunct w:val="0"/>
              <w:autoSpaceDE w:val="0"/>
              <w:autoSpaceDN w:val="0"/>
              <w:adjustRightInd w:val="0"/>
              <w:spacing w:before="120" w:after="120" w:line="240" w:lineRule="atLeast"/>
              <w:ind w:left="1276" w:hanging="283"/>
              <w:jc w:val="left"/>
              <w:rPr>
                <w:b/>
                <w:i/>
                <w:lang w:val="nl-BE"/>
              </w:rPr>
            </w:pPr>
            <w:r w:rsidRPr="0067787A">
              <w:rPr>
                <w:b/>
                <w:i/>
                <w:lang w:val="nl-BE"/>
              </w:rPr>
              <w:t xml:space="preserve">wanneer een </w:t>
            </w:r>
            <w:r w:rsidR="00A37596" w:rsidRPr="0067787A">
              <w:rPr>
                <w:b/>
                <w:i/>
                <w:lang w:val="nl-BE"/>
              </w:rPr>
              <w:t xml:space="preserve">instelling voortdurend waarderingen gebruikt die op zichzelf </w:t>
            </w:r>
            <w:r w:rsidR="00A37596" w:rsidRPr="0067787A">
              <w:rPr>
                <w:b/>
                <w:i/>
                <w:lang w:val="nl-BE"/>
              </w:rPr>
              <w:lastRenderedPageBreak/>
              <w:t>beschouwd aanvaardbaar zijn maar waaruit een patroon van optimisme of pessimisme naar voren komt, of andere aanwijzingen voor vooringenomenheid van het management, of</w:t>
            </w:r>
          </w:p>
          <w:p w14:paraId="4CEBEEBE" w14:textId="39B5C5B0" w:rsidR="00922863" w:rsidRPr="0067787A" w:rsidRDefault="00030E18" w:rsidP="00A37596">
            <w:pPr>
              <w:pStyle w:val="ListParagraph"/>
              <w:numPr>
                <w:ilvl w:val="0"/>
                <w:numId w:val="15"/>
              </w:numPr>
              <w:overflowPunct w:val="0"/>
              <w:autoSpaceDE w:val="0"/>
              <w:autoSpaceDN w:val="0"/>
              <w:adjustRightInd w:val="0"/>
              <w:spacing w:before="120" w:after="120" w:line="240" w:lineRule="atLeast"/>
              <w:ind w:left="1276" w:hanging="283"/>
              <w:jc w:val="left"/>
              <w:rPr>
                <w:b/>
                <w:i/>
                <w:lang w:val="nl-BE"/>
              </w:rPr>
            </w:pPr>
            <w:r w:rsidRPr="0067787A">
              <w:rPr>
                <w:b/>
                <w:i/>
                <w:lang w:val="nl-BE"/>
              </w:rPr>
              <w:t xml:space="preserve">wanneer een </w:t>
            </w:r>
            <w:r w:rsidR="00A37596" w:rsidRPr="0067787A">
              <w:rPr>
                <w:b/>
                <w:i/>
                <w:lang w:val="nl-BE"/>
              </w:rPr>
              <w:t>instelling transacties verricht voor het bereiken van een bepaald boekhoudkundig of fiscaal resultaat, en dat doet op een zodanige wijze dat de boekhoudkundige of fiscale verwerking weliswaar technisch aanvaardbaar is maar de essentie van de transactie daardoor wordt verhuld.</w:t>
            </w:r>
          </w:p>
        </w:tc>
      </w:tr>
      <w:tr w:rsidR="00A37596" w:rsidRPr="0067787A" w14:paraId="3A73A7FF" w14:textId="77777777" w:rsidTr="00F5456C">
        <w:tc>
          <w:tcPr>
            <w:tcW w:w="8929" w:type="dxa"/>
          </w:tcPr>
          <w:p w14:paraId="5EBE0286" w14:textId="77777777" w:rsidR="00A37596" w:rsidRPr="0067787A" w:rsidRDefault="00A37596" w:rsidP="00A37596">
            <w:pPr>
              <w:tabs>
                <w:tab w:val="left" w:pos="284"/>
              </w:tabs>
              <w:overflowPunct w:val="0"/>
              <w:autoSpaceDE w:val="0"/>
              <w:autoSpaceDN w:val="0"/>
              <w:adjustRightInd w:val="0"/>
              <w:spacing w:before="120" w:after="120" w:line="240" w:lineRule="atLeast"/>
              <w:jc w:val="left"/>
              <w:rPr>
                <w:lang w:val="nl-BE"/>
              </w:rPr>
            </w:pPr>
          </w:p>
        </w:tc>
      </w:tr>
      <w:tr w:rsidR="00A37596" w:rsidRPr="0067787A" w14:paraId="0AEEF95D" w14:textId="77777777" w:rsidTr="00F5456C">
        <w:tc>
          <w:tcPr>
            <w:tcW w:w="8929" w:type="dxa"/>
          </w:tcPr>
          <w:p w14:paraId="411CDA49" w14:textId="5CEFDBFE" w:rsidR="00A37596" w:rsidRPr="0067787A" w:rsidRDefault="00A37596" w:rsidP="00A37596">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Het reputatierisico of het risico op niet-naleving door de instelling van de wetten, reglementen en instructies van de toezichthouder.</w:t>
            </w:r>
          </w:p>
        </w:tc>
      </w:tr>
      <w:tr w:rsidR="00A37596" w:rsidRPr="0067787A" w14:paraId="60A03CC7" w14:textId="77777777" w:rsidTr="00F5456C">
        <w:tc>
          <w:tcPr>
            <w:tcW w:w="8929" w:type="dxa"/>
          </w:tcPr>
          <w:p w14:paraId="6E5C2910" w14:textId="77777777" w:rsidR="00A37596" w:rsidRPr="0067787A" w:rsidRDefault="00A37596" w:rsidP="00A37596">
            <w:pPr>
              <w:overflowPunct w:val="0"/>
              <w:autoSpaceDE w:val="0"/>
              <w:autoSpaceDN w:val="0"/>
              <w:adjustRightInd w:val="0"/>
              <w:spacing w:before="120" w:after="120" w:line="240" w:lineRule="atLeast"/>
              <w:jc w:val="left"/>
              <w:rPr>
                <w:lang w:val="nl-BE"/>
              </w:rPr>
            </w:pPr>
          </w:p>
        </w:tc>
      </w:tr>
      <w:tr w:rsidR="00A37596" w:rsidRPr="0067787A" w14:paraId="356C117C" w14:textId="77777777" w:rsidTr="00F5456C">
        <w:tc>
          <w:tcPr>
            <w:tcW w:w="8929" w:type="dxa"/>
          </w:tcPr>
          <w:p w14:paraId="0CE12C45" w14:textId="5564C478" w:rsidR="00A37596" w:rsidRPr="0067787A" w:rsidRDefault="00A37596" w:rsidP="008C2478">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 xml:space="preserve">Voor zover ze hierboven niet aan bod zijn gekomen: de aandachtspunten </w:t>
            </w:r>
            <w:r w:rsidR="008C2478" w:rsidRPr="0067787A">
              <w:rPr>
                <w:b/>
                <w:i/>
                <w:lang w:val="nl-BE"/>
              </w:rPr>
              <w:t>waarvan sprake in circulaire NBB_2017_20.</w:t>
            </w:r>
          </w:p>
        </w:tc>
      </w:tr>
      <w:tr w:rsidR="00A37596" w:rsidRPr="0067787A" w14:paraId="440348BC" w14:textId="77777777" w:rsidTr="00F5456C">
        <w:tc>
          <w:tcPr>
            <w:tcW w:w="8929" w:type="dxa"/>
          </w:tcPr>
          <w:p w14:paraId="423D4816" w14:textId="77777777" w:rsidR="00A37596" w:rsidRPr="0067787A" w:rsidRDefault="00A37596" w:rsidP="00A37596">
            <w:pPr>
              <w:overflowPunct w:val="0"/>
              <w:autoSpaceDE w:val="0"/>
              <w:autoSpaceDN w:val="0"/>
              <w:adjustRightInd w:val="0"/>
              <w:spacing w:before="120" w:after="120" w:line="240" w:lineRule="atLeast"/>
              <w:jc w:val="left"/>
              <w:rPr>
                <w:lang w:val="nl-BE"/>
              </w:rPr>
            </w:pPr>
          </w:p>
        </w:tc>
      </w:tr>
      <w:tr w:rsidR="00030E18" w:rsidRPr="0067787A" w14:paraId="3BC0D704" w14:textId="77777777" w:rsidTr="00F5456C">
        <w:tc>
          <w:tcPr>
            <w:tcW w:w="8929" w:type="dxa"/>
          </w:tcPr>
          <w:p w14:paraId="233823C4" w14:textId="59C41B54" w:rsidR="00030E18" w:rsidRPr="0067787A" w:rsidRDefault="00030E18" w:rsidP="00030E18">
            <w:pPr>
              <w:pStyle w:val="ListParagraph"/>
              <w:numPr>
                <w:ilvl w:val="0"/>
                <w:numId w:val="14"/>
              </w:numPr>
              <w:overflowPunct w:val="0"/>
              <w:autoSpaceDE w:val="0"/>
              <w:autoSpaceDN w:val="0"/>
              <w:adjustRightInd w:val="0"/>
              <w:spacing w:before="120" w:after="120" w:line="240" w:lineRule="atLeast"/>
              <w:jc w:val="left"/>
              <w:rPr>
                <w:b/>
                <w:i/>
                <w:lang w:val="nl-BE"/>
              </w:rPr>
            </w:pPr>
            <w:r w:rsidRPr="0067787A">
              <w:rPr>
                <w:b/>
                <w:i/>
                <w:lang w:val="nl-BE"/>
              </w:rPr>
              <w:t xml:space="preserve">Overige aspecten die de commissaris op basis van zijn/haar professionele </w:t>
            </w:r>
            <w:r w:rsidR="007B0260" w:rsidRPr="0067787A">
              <w:rPr>
                <w:b/>
                <w:i/>
                <w:lang w:val="nl-BE"/>
              </w:rPr>
              <w:t>oordeelkundigheid</w:t>
            </w:r>
            <w:r w:rsidRPr="0067787A">
              <w:rPr>
                <w:b/>
                <w:i/>
                <w:lang w:val="nl-BE"/>
              </w:rPr>
              <w:t xml:space="preserve"> voldoende belangrijk en relevant acht om aan de toezichthouder te worden gerapporteerd voor toezich</w:t>
            </w:r>
            <w:r w:rsidR="0067787A">
              <w:rPr>
                <w:b/>
                <w:i/>
                <w:lang w:val="nl-BE"/>
              </w:rPr>
              <w:t>t</w:t>
            </w:r>
            <w:r w:rsidRPr="0067787A">
              <w:rPr>
                <w:b/>
                <w:i/>
                <w:lang w:val="nl-BE"/>
              </w:rPr>
              <w:t>doeleinden</w:t>
            </w:r>
          </w:p>
        </w:tc>
      </w:tr>
      <w:tr w:rsidR="00030E18" w:rsidRPr="0067787A" w14:paraId="64B89817" w14:textId="77777777" w:rsidTr="00F5456C">
        <w:tc>
          <w:tcPr>
            <w:tcW w:w="8929" w:type="dxa"/>
          </w:tcPr>
          <w:p w14:paraId="44575083" w14:textId="77777777" w:rsidR="00030E18" w:rsidRPr="0067787A" w:rsidRDefault="00030E18" w:rsidP="00A37596">
            <w:pPr>
              <w:overflowPunct w:val="0"/>
              <w:autoSpaceDE w:val="0"/>
              <w:autoSpaceDN w:val="0"/>
              <w:adjustRightInd w:val="0"/>
              <w:spacing w:before="120" w:after="120" w:line="240" w:lineRule="atLeast"/>
              <w:jc w:val="left"/>
              <w:rPr>
                <w:lang w:val="nl-BE"/>
              </w:rPr>
            </w:pPr>
          </w:p>
        </w:tc>
      </w:tr>
      <w:tr w:rsidR="00922863" w:rsidRPr="0067787A" w14:paraId="0557B30D" w14:textId="77777777" w:rsidTr="00A37596">
        <w:tc>
          <w:tcPr>
            <w:tcW w:w="8929" w:type="dxa"/>
            <w:shd w:val="clear" w:color="auto" w:fill="C6D9F1" w:themeFill="text2" w:themeFillTint="33"/>
          </w:tcPr>
          <w:p w14:paraId="0DE7814A" w14:textId="219328E5" w:rsidR="00922863" w:rsidRPr="0067787A" w:rsidRDefault="00A37596" w:rsidP="00E614C1">
            <w:pPr>
              <w:pStyle w:val="ListParagraph"/>
              <w:numPr>
                <w:ilvl w:val="0"/>
                <w:numId w:val="13"/>
              </w:numPr>
              <w:overflowPunct w:val="0"/>
              <w:autoSpaceDE w:val="0"/>
              <w:autoSpaceDN w:val="0"/>
              <w:adjustRightInd w:val="0"/>
              <w:spacing w:before="120" w:after="120" w:line="240" w:lineRule="atLeast"/>
              <w:jc w:val="left"/>
              <w:rPr>
                <w:b/>
                <w:lang w:val="nl-BE"/>
              </w:rPr>
            </w:pPr>
            <w:r w:rsidRPr="0067787A">
              <w:rPr>
                <w:b/>
                <w:lang w:val="nl-BE"/>
              </w:rPr>
              <w:t>Indien ze niet zijn opgenomen in de voornoemde verslagen, dient de commissaris de zogenaamde “kernpunten van de controle” als bedoeld in de Internationale controlestandaard ISA 701 eveneens mee te delen aan de toezichthouder.</w:t>
            </w:r>
          </w:p>
        </w:tc>
      </w:tr>
      <w:tr w:rsidR="00922863" w:rsidRPr="0067787A" w14:paraId="2EF84008" w14:textId="77777777" w:rsidTr="00F5456C">
        <w:tc>
          <w:tcPr>
            <w:tcW w:w="8929" w:type="dxa"/>
          </w:tcPr>
          <w:p w14:paraId="1AC2670E" w14:textId="77777777" w:rsidR="00922863" w:rsidRPr="0067787A" w:rsidRDefault="00922863" w:rsidP="00922863">
            <w:pPr>
              <w:overflowPunct w:val="0"/>
              <w:autoSpaceDE w:val="0"/>
              <w:autoSpaceDN w:val="0"/>
              <w:adjustRightInd w:val="0"/>
              <w:spacing w:before="120" w:after="120" w:line="240" w:lineRule="atLeast"/>
              <w:jc w:val="left"/>
              <w:rPr>
                <w:lang w:val="nl-BE"/>
              </w:rPr>
            </w:pPr>
          </w:p>
        </w:tc>
      </w:tr>
    </w:tbl>
    <w:p w14:paraId="15D2680E" w14:textId="77777777" w:rsidR="00F5456C" w:rsidRPr="0067787A" w:rsidRDefault="00F5456C" w:rsidP="00F5456C">
      <w:pPr>
        <w:overflowPunct w:val="0"/>
        <w:autoSpaceDE w:val="0"/>
        <w:autoSpaceDN w:val="0"/>
        <w:adjustRightInd w:val="0"/>
        <w:spacing w:before="120" w:after="120" w:line="240" w:lineRule="atLeast"/>
        <w:jc w:val="left"/>
        <w:rPr>
          <w:lang w:val="nl-BE"/>
        </w:rPr>
      </w:pPr>
    </w:p>
    <w:p w14:paraId="782922F2" w14:textId="5678C0BB" w:rsidR="00ED1B50" w:rsidRPr="0067787A" w:rsidRDefault="00ED1B50" w:rsidP="00F5456C">
      <w:pPr>
        <w:rPr>
          <w:lang w:val="nl-BE"/>
        </w:rPr>
      </w:pPr>
    </w:p>
    <w:p w14:paraId="7186B187" w14:textId="3E3F8B7E" w:rsidR="00FA458C" w:rsidRPr="0067787A" w:rsidRDefault="00FA458C" w:rsidP="00F5456C">
      <w:pPr>
        <w:rPr>
          <w:lang w:val="nl-BE"/>
        </w:rPr>
      </w:pPr>
      <w:r w:rsidRPr="0067787A">
        <w:rPr>
          <w:lang w:val="nl-BE"/>
        </w:rPr>
        <w:t>[Plaats en datum]</w:t>
      </w:r>
    </w:p>
    <w:p w14:paraId="26D72D21" w14:textId="27EB01FD" w:rsidR="00FA458C" w:rsidRPr="0067787A" w:rsidRDefault="00FA458C" w:rsidP="00F5456C">
      <w:pPr>
        <w:rPr>
          <w:lang w:val="nl-BE"/>
        </w:rPr>
      </w:pPr>
    </w:p>
    <w:p w14:paraId="7DB806D2" w14:textId="17EAA42C" w:rsidR="00FA458C" w:rsidRPr="0067787A" w:rsidRDefault="00FA458C" w:rsidP="00F5456C">
      <w:pPr>
        <w:rPr>
          <w:lang w:val="nl-BE"/>
        </w:rPr>
      </w:pPr>
    </w:p>
    <w:p w14:paraId="1FA8E575" w14:textId="2D777932" w:rsidR="00FA458C" w:rsidRPr="0067787A" w:rsidRDefault="00FA458C" w:rsidP="00F5456C">
      <w:pPr>
        <w:rPr>
          <w:lang w:val="nl-BE"/>
        </w:rPr>
      </w:pPr>
    </w:p>
    <w:p w14:paraId="5B7135C6" w14:textId="3B145261" w:rsidR="00FA458C" w:rsidRPr="0067787A" w:rsidRDefault="00FA458C" w:rsidP="00F5456C">
      <w:pPr>
        <w:rPr>
          <w:lang w:val="nl-BE"/>
        </w:rPr>
      </w:pPr>
    </w:p>
    <w:p w14:paraId="15A92B96" w14:textId="15F9C388" w:rsidR="00FA458C" w:rsidRPr="0067787A" w:rsidRDefault="00FA458C" w:rsidP="00F5456C">
      <w:pPr>
        <w:rPr>
          <w:lang w:val="nl-BE"/>
        </w:rPr>
      </w:pPr>
    </w:p>
    <w:p w14:paraId="29CEE810" w14:textId="01A97560" w:rsidR="00FA458C" w:rsidRPr="0067787A" w:rsidRDefault="00FA458C" w:rsidP="00F5456C">
      <w:pPr>
        <w:rPr>
          <w:lang w:val="nl-BE"/>
        </w:rPr>
      </w:pPr>
    </w:p>
    <w:p w14:paraId="5D0882E5" w14:textId="77777777" w:rsidR="00FA458C" w:rsidRPr="0067787A" w:rsidRDefault="00FA458C" w:rsidP="00F5456C">
      <w:pPr>
        <w:rPr>
          <w:lang w:val="nl-BE"/>
        </w:rPr>
      </w:pPr>
    </w:p>
    <w:p w14:paraId="371E858E" w14:textId="03144128" w:rsidR="00FA458C" w:rsidRPr="0067787A" w:rsidRDefault="00FA458C" w:rsidP="00F5456C">
      <w:pPr>
        <w:rPr>
          <w:lang w:val="nl-BE"/>
        </w:rPr>
      </w:pPr>
      <w:r w:rsidRPr="0067787A">
        <w:rPr>
          <w:lang w:val="nl-BE"/>
        </w:rPr>
        <w:t>[Handtekening commissaris]</w:t>
      </w:r>
    </w:p>
    <w:p w14:paraId="0FAAC721" w14:textId="25A5F5F0" w:rsidR="00FA458C" w:rsidRPr="0067787A" w:rsidRDefault="00FA458C" w:rsidP="00F5456C">
      <w:pPr>
        <w:rPr>
          <w:lang w:val="nl-BE"/>
        </w:rPr>
      </w:pPr>
    </w:p>
    <w:p w14:paraId="6AD8AD76" w14:textId="06A00296" w:rsidR="00FA458C" w:rsidRPr="0067787A" w:rsidRDefault="00FA458C" w:rsidP="00F5456C">
      <w:pPr>
        <w:rPr>
          <w:lang w:val="nl-BE"/>
        </w:rPr>
      </w:pPr>
      <w:r w:rsidRPr="0067787A">
        <w:rPr>
          <w:lang w:val="nl-BE"/>
        </w:rPr>
        <w:t>__________________________________________</w:t>
      </w:r>
    </w:p>
    <w:sectPr w:rsidR="00FA458C" w:rsidRPr="0067787A" w:rsidSect="00CA177B">
      <w:headerReference w:type="even" r:id="rId10"/>
      <w:headerReference w:type="default" r:id="rId11"/>
      <w:footerReference w:type="default" r:id="rId12"/>
      <w:headerReference w:type="first" r:id="rId13"/>
      <w:pgSz w:w="11907" w:h="16840" w:code="9"/>
      <w:pgMar w:top="1134" w:right="1559" w:bottom="113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A31C" w14:textId="77777777" w:rsidR="00F5456C" w:rsidRDefault="00F5456C">
      <w:r>
        <w:separator/>
      </w:r>
    </w:p>
  </w:endnote>
  <w:endnote w:type="continuationSeparator" w:id="0">
    <w:p w14:paraId="0008DE48" w14:textId="77777777" w:rsidR="00F5456C" w:rsidRDefault="00F5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405" w14:textId="72333933" w:rsidR="00796132" w:rsidRDefault="00FA458C">
    <w:pPr>
      <w:pStyle w:val="Footer"/>
      <w:jc w:val="right"/>
      <w:rPr>
        <w:noProof/>
      </w:rPr>
    </w:pPr>
    <w:r>
      <w:rPr>
        <w:noProof/>
      </w:rPr>
      <w:t>Omstandig verslag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296B" w14:textId="77777777" w:rsidR="00F5456C" w:rsidRDefault="00F5456C">
      <w:r>
        <w:separator/>
      </w:r>
    </w:p>
  </w:footnote>
  <w:footnote w:type="continuationSeparator" w:id="0">
    <w:p w14:paraId="2E3280CB" w14:textId="77777777" w:rsidR="00F5456C" w:rsidRDefault="00F5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7891"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2398" w14:textId="77777777" w:rsidR="00796132" w:rsidRDefault="003B6994">
    <w:pPr>
      <w:pStyle w:val="Header"/>
      <w:tabs>
        <w:tab w:val="clear" w:pos="4394"/>
        <w:tab w:val="center" w:pos="4395"/>
      </w:tabs>
      <w:jc w:val="right"/>
    </w:pPr>
    <w:r>
      <w:fldChar w:fldCharType="begin"/>
    </w:r>
    <w:r>
      <w:instrText>PAGE</w:instrText>
    </w:r>
    <w:r>
      <w:fldChar w:fldCharType="separate"/>
    </w:r>
    <w:r>
      <w:rPr>
        <w:noProof/>
      </w:rPr>
      <w:t>1</w:t>
    </w:r>
    <w:r>
      <w:rPr>
        <w:noProof/>
      </w:rPr>
      <w:fldChar w:fldCharType="end"/>
    </w:r>
    <w:r w:rsidR="0079613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175"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7545"/>
    <w:multiLevelType w:val="hybridMultilevel"/>
    <w:tmpl w:val="D86A00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7F87212"/>
    <w:multiLevelType w:val="hybridMultilevel"/>
    <w:tmpl w:val="EC10EA5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3">
      <w:start w:val="1"/>
      <w:numFmt w:val="upp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B4CDD"/>
    <w:multiLevelType w:val="hybridMultilevel"/>
    <w:tmpl w:val="DB1C4FD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0C4594"/>
    <w:multiLevelType w:val="hybridMultilevel"/>
    <w:tmpl w:val="EFE83B48"/>
    <w:lvl w:ilvl="0" w:tplc="08090019">
      <w:start w:val="1"/>
      <w:numFmt w:val="lowerLetter"/>
      <w:lvlText w:val="%1."/>
      <w:lvlJc w:val="left"/>
      <w:pPr>
        <w:ind w:left="1004" w:hanging="360"/>
      </w:pPr>
      <w:rPr>
        <w:rFonts w:hint="default"/>
      </w:rPr>
    </w:lvl>
    <w:lvl w:ilvl="1" w:tplc="08090019">
      <w:start w:val="1"/>
      <w:numFmt w:val="lowerLetter"/>
      <w:lvlText w:val="%2."/>
      <w:lvlJc w:val="left"/>
      <w:pPr>
        <w:ind w:left="1724" w:hanging="360"/>
      </w:pPr>
      <w:rPr>
        <w:rFonts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781024D"/>
    <w:multiLevelType w:val="hybridMultilevel"/>
    <w:tmpl w:val="E23A457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4A7FBE"/>
    <w:multiLevelType w:val="hybridMultilevel"/>
    <w:tmpl w:val="1FAC548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20C3FD8"/>
    <w:multiLevelType w:val="hybridMultilevel"/>
    <w:tmpl w:val="0CB25D4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5"/>
  </w:num>
  <w:num w:numId="14">
    <w:abstractNumId w:val="10"/>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6C"/>
    <w:rsid w:val="00002AB1"/>
    <w:rsid w:val="00005848"/>
    <w:rsid w:val="0001064F"/>
    <w:rsid w:val="00016588"/>
    <w:rsid w:val="0002547B"/>
    <w:rsid w:val="00030E18"/>
    <w:rsid w:val="00077885"/>
    <w:rsid w:val="00082B62"/>
    <w:rsid w:val="00092F24"/>
    <w:rsid w:val="000A43B4"/>
    <w:rsid w:val="000C2D0A"/>
    <w:rsid w:val="001726FE"/>
    <w:rsid w:val="001767E5"/>
    <w:rsid w:val="00190BA2"/>
    <w:rsid w:val="00217B38"/>
    <w:rsid w:val="0022049F"/>
    <w:rsid w:val="00243709"/>
    <w:rsid w:val="00247B44"/>
    <w:rsid w:val="002968E4"/>
    <w:rsid w:val="002D19CB"/>
    <w:rsid w:val="002F65B9"/>
    <w:rsid w:val="00310D8D"/>
    <w:rsid w:val="00352DC7"/>
    <w:rsid w:val="003B6994"/>
    <w:rsid w:val="003C268F"/>
    <w:rsid w:val="00454DD2"/>
    <w:rsid w:val="00477796"/>
    <w:rsid w:val="004B2F16"/>
    <w:rsid w:val="00577B66"/>
    <w:rsid w:val="005C7148"/>
    <w:rsid w:val="006356E0"/>
    <w:rsid w:val="00637909"/>
    <w:rsid w:val="00661343"/>
    <w:rsid w:val="00662196"/>
    <w:rsid w:val="00665FF1"/>
    <w:rsid w:val="0066668C"/>
    <w:rsid w:val="006720E3"/>
    <w:rsid w:val="0067787A"/>
    <w:rsid w:val="00683E12"/>
    <w:rsid w:val="0068491F"/>
    <w:rsid w:val="00692D3A"/>
    <w:rsid w:val="006A50FA"/>
    <w:rsid w:val="006E020F"/>
    <w:rsid w:val="007060FF"/>
    <w:rsid w:val="0071233C"/>
    <w:rsid w:val="007360DD"/>
    <w:rsid w:val="00772B0D"/>
    <w:rsid w:val="00782E97"/>
    <w:rsid w:val="00796132"/>
    <w:rsid w:val="007B0260"/>
    <w:rsid w:val="007B7057"/>
    <w:rsid w:val="007F0CC7"/>
    <w:rsid w:val="0083501D"/>
    <w:rsid w:val="00840F95"/>
    <w:rsid w:val="008448B4"/>
    <w:rsid w:val="008533D0"/>
    <w:rsid w:val="00871F80"/>
    <w:rsid w:val="00876471"/>
    <w:rsid w:val="00876A19"/>
    <w:rsid w:val="00892821"/>
    <w:rsid w:val="008A6313"/>
    <w:rsid w:val="008C2478"/>
    <w:rsid w:val="008C53AF"/>
    <w:rsid w:val="0090787B"/>
    <w:rsid w:val="00913394"/>
    <w:rsid w:val="00922863"/>
    <w:rsid w:val="00960F42"/>
    <w:rsid w:val="0096502C"/>
    <w:rsid w:val="00993CCE"/>
    <w:rsid w:val="009F23EB"/>
    <w:rsid w:val="00A126F9"/>
    <w:rsid w:val="00A37596"/>
    <w:rsid w:val="00A46B4C"/>
    <w:rsid w:val="00A80218"/>
    <w:rsid w:val="00A84057"/>
    <w:rsid w:val="00A86AC8"/>
    <w:rsid w:val="00AA3C24"/>
    <w:rsid w:val="00AC79A6"/>
    <w:rsid w:val="00AF4892"/>
    <w:rsid w:val="00B37AA8"/>
    <w:rsid w:val="00B40075"/>
    <w:rsid w:val="00BC6750"/>
    <w:rsid w:val="00BE791D"/>
    <w:rsid w:val="00C377BC"/>
    <w:rsid w:val="00C769A5"/>
    <w:rsid w:val="00CA177B"/>
    <w:rsid w:val="00CA5A74"/>
    <w:rsid w:val="00CB4B76"/>
    <w:rsid w:val="00CD268E"/>
    <w:rsid w:val="00D40E4D"/>
    <w:rsid w:val="00D84645"/>
    <w:rsid w:val="00DD189F"/>
    <w:rsid w:val="00DE2E9A"/>
    <w:rsid w:val="00E02090"/>
    <w:rsid w:val="00E614C1"/>
    <w:rsid w:val="00E87810"/>
    <w:rsid w:val="00EA01EB"/>
    <w:rsid w:val="00EA6773"/>
    <w:rsid w:val="00ED1B50"/>
    <w:rsid w:val="00F27D53"/>
    <w:rsid w:val="00F5456C"/>
    <w:rsid w:val="00F7258B"/>
    <w:rsid w:val="00FA458C"/>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2F4EF"/>
  <w15:chartTrackingRefBased/>
  <w15:docId w15:val="{741C1CD9-CC86-4C89-ADAC-75845FA3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F5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56C"/>
    <w:pPr>
      <w:ind w:left="720"/>
      <w:contextualSpacing/>
    </w:pPr>
  </w:style>
  <w:style w:type="paragraph" w:styleId="BalloonText">
    <w:name w:val="Balloon Text"/>
    <w:basedOn w:val="Normal"/>
    <w:link w:val="BalloonTextChar"/>
    <w:rsid w:val="00E878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8781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615C85728B14BB2446E4B43A5FF37" ma:contentTypeVersion="0" ma:contentTypeDescription="Create a new document." ma:contentTypeScope="" ma:versionID="6f519e384c9e35dae977818adebcdd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B489F-D13A-43C7-877E-478B625BD85D}">
  <ds:schemaRefs>
    <ds:schemaRef ds:uri="http://schemas.microsoft.com/sharepoint/v3/contenttype/forms"/>
  </ds:schemaRefs>
</ds:datastoreItem>
</file>

<file path=customXml/itemProps2.xml><?xml version="1.0" encoding="utf-8"?>
<ds:datastoreItem xmlns:ds="http://schemas.openxmlformats.org/officeDocument/2006/customXml" ds:itemID="{48398A83-749E-4211-A7E7-57A09296B0CF}">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73AABF94-4C3A-4BA0-8B40-5E30D1C48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4575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NBB_2019_08_Kurt Van Raemdonck dd 3 april 2019_Bijlage 1.docx</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NBB_2019_08_Kurt Van Raemdonck dd 3 april 2019_Bijlage 1.docx</dc:title>
  <dc:subject/>
  <dc:creator>Van Raemdonck Kurt</dc:creator>
  <cp:keywords/>
  <dc:description/>
  <cp:lastModifiedBy>Arys Viviane</cp:lastModifiedBy>
  <cp:revision>2</cp:revision>
  <cp:lastPrinted>2019-04-03T06:51:00Z</cp:lastPrinted>
  <dcterms:created xsi:type="dcterms:W3CDTF">2019-04-04T09:05:00Z</dcterms:created>
  <dcterms:modified xsi:type="dcterms:W3CDTF">2019-04-04T09:05:00Z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0x010100E7C615C85728B14BB2446E4B43A5FF37</vt:lpwstr>
  </property>
</Properties>
</file>