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F51D15" w:rsidRPr="00473EC5" w14:paraId="0CE453A5" w14:textId="77777777" w:rsidTr="004D2D96">
        <w:trPr>
          <w:cantSplit/>
          <w:trHeight w:hRule="exact" w:val="1077"/>
        </w:trPr>
        <w:tc>
          <w:tcPr>
            <w:tcW w:w="6067" w:type="dxa"/>
            <w:vAlign w:val="center"/>
          </w:tcPr>
          <w:p w14:paraId="0CE4539F" w14:textId="77777777" w:rsidR="00F51D15" w:rsidRPr="00473EC5" w:rsidRDefault="00F51D15" w:rsidP="00046B3B">
            <w:pPr>
              <w:pStyle w:val="AdresseAdres"/>
              <w:spacing w:before="300"/>
              <w:jc w:val="both"/>
              <w:rPr>
                <w:lang w:val="nl-BE"/>
              </w:rPr>
            </w:pPr>
            <w:r w:rsidRPr="00473EC5">
              <w:rPr>
                <w:lang w:val="nl-BE"/>
              </w:rPr>
              <w:t>de Berlaimontlaan 14 – BE-1000 Brussel</w:t>
            </w:r>
          </w:p>
          <w:p w14:paraId="0CE453A0" w14:textId="77777777" w:rsidR="00F51D15" w:rsidRPr="00473EC5" w:rsidRDefault="00F51D15" w:rsidP="00046B3B">
            <w:pPr>
              <w:pStyle w:val="AdresseAdres"/>
              <w:jc w:val="both"/>
              <w:rPr>
                <w:lang w:val="nl-BE"/>
              </w:rPr>
            </w:pPr>
            <w:r w:rsidRPr="00473EC5">
              <w:rPr>
                <w:lang w:val="nl-BE"/>
              </w:rPr>
              <w:t xml:space="preserve">tel. +32 2 221 </w:t>
            </w:r>
            <w:r w:rsidR="002E5C5E" w:rsidRPr="00473EC5">
              <w:rPr>
                <w:lang w:val="nl-BE"/>
              </w:rPr>
              <w:t>37</w:t>
            </w:r>
            <w:r w:rsidRPr="00473EC5">
              <w:rPr>
                <w:lang w:val="nl-BE"/>
              </w:rPr>
              <w:t xml:space="preserve"> </w:t>
            </w:r>
            <w:r w:rsidR="002E5C5E" w:rsidRPr="00473EC5">
              <w:rPr>
                <w:lang w:val="nl-BE"/>
              </w:rPr>
              <w:t>40</w:t>
            </w:r>
            <w:r w:rsidRPr="00473EC5">
              <w:rPr>
                <w:lang w:val="nl-BE"/>
              </w:rPr>
              <w:t xml:space="preserve"> – fax + 32 2 221 </w:t>
            </w:r>
            <w:r w:rsidR="002E5C5E" w:rsidRPr="00473EC5">
              <w:rPr>
                <w:lang w:val="nl-BE"/>
              </w:rPr>
              <w:t>31</w:t>
            </w:r>
            <w:r w:rsidRPr="00473EC5">
              <w:rPr>
                <w:lang w:val="nl-BE"/>
              </w:rPr>
              <w:t xml:space="preserve"> </w:t>
            </w:r>
            <w:r w:rsidR="002E5C5E" w:rsidRPr="00473EC5">
              <w:rPr>
                <w:lang w:val="nl-BE"/>
              </w:rPr>
              <w:t>04</w:t>
            </w:r>
          </w:p>
          <w:p w14:paraId="0CE453A1" w14:textId="77777777" w:rsidR="00F51D15" w:rsidRPr="00473EC5" w:rsidRDefault="00F51D15" w:rsidP="00046B3B">
            <w:pPr>
              <w:pStyle w:val="AdresseAdres"/>
              <w:jc w:val="both"/>
              <w:rPr>
                <w:lang w:val="nl-BE"/>
              </w:rPr>
            </w:pPr>
            <w:r w:rsidRPr="00473EC5">
              <w:rPr>
                <w:lang w:val="nl-BE"/>
              </w:rPr>
              <w:t>ondernemingsnummer: 0203.201.340</w:t>
            </w:r>
          </w:p>
          <w:p w14:paraId="0CE453A2" w14:textId="77777777" w:rsidR="00F51D15" w:rsidRPr="00473EC5" w:rsidRDefault="00F51D15" w:rsidP="00046B3B">
            <w:pPr>
              <w:pStyle w:val="AdresseAdres"/>
              <w:jc w:val="both"/>
              <w:rPr>
                <w:lang w:val="nl-BE"/>
              </w:rPr>
            </w:pPr>
            <w:r w:rsidRPr="00473EC5">
              <w:rPr>
                <w:lang w:val="nl-BE"/>
              </w:rPr>
              <w:t>RPR Brussel</w:t>
            </w:r>
          </w:p>
          <w:p w14:paraId="0CE453A3" w14:textId="77777777" w:rsidR="00F51D15" w:rsidRPr="00473EC5" w:rsidRDefault="00F51D15" w:rsidP="00046B3B">
            <w:pPr>
              <w:pStyle w:val="AdresseAdres"/>
              <w:jc w:val="both"/>
              <w:rPr>
                <w:lang w:val="nl-BE"/>
              </w:rPr>
            </w:pPr>
            <w:r w:rsidRPr="00473EC5">
              <w:rPr>
                <w:lang w:val="nl-BE"/>
              </w:rPr>
              <w:t>www.nbb.be</w:t>
            </w:r>
          </w:p>
        </w:tc>
        <w:tc>
          <w:tcPr>
            <w:tcW w:w="3856" w:type="dxa"/>
            <w:gridSpan w:val="2"/>
            <w:shd w:val="clear" w:color="auto" w:fill="auto"/>
            <w:vAlign w:val="center"/>
          </w:tcPr>
          <w:p w14:paraId="0CE453A4" w14:textId="77777777" w:rsidR="00F51D15" w:rsidRPr="00473EC5" w:rsidRDefault="00F51D15" w:rsidP="00046B3B">
            <w:pPr>
              <w:spacing w:line="260" w:lineRule="atLeast"/>
              <w:jc w:val="both"/>
              <w:rPr>
                <w:sz w:val="16"/>
                <w:szCs w:val="16"/>
                <w:lang w:val="nl-BE"/>
              </w:rPr>
            </w:pPr>
            <w:r w:rsidRPr="00473EC5">
              <w:rPr>
                <w:noProof/>
                <w:sz w:val="16"/>
                <w:szCs w:val="16"/>
                <w:lang w:val="nl-BE"/>
              </w:rPr>
              <w:drawing>
                <wp:inline distT="0" distB="0" distL="0" distR="0" wp14:anchorId="0CE45471" wp14:editId="0CE45472">
                  <wp:extent cx="2343150" cy="581025"/>
                  <wp:effectExtent l="19050" t="0" r="0" b="0"/>
                  <wp:docPr id="6"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F51D15" w:rsidRPr="00473EC5" w14:paraId="0CE453A8" w14:textId="77777777" w:rsidTr="004D2D96">
        <w:trPr>
          <w:cantSplit/>
          <w:trHeight w:hRule="exact" w:val="850"/>
        </w:trPr>
        <w:tc>
          <w:tcPr>
            <w:tcW w:w="6067" w:type="dxa"/>
            <w:shd w:val="clear" w:color="auto" w:fill="auto"/>
          </w:tcPr>
          <w:p w14:paraId="0CE453A6" w14:textId="77777777" w:rsidR="00F51D15" w:rsidRPr="00473EC5" w:rsidRDefault="00F51D15" w:rsidP="00046B3B">
            <w:pPr>
              <w:pStyle w:val="AdresseAdres"/>
              <w:tabs>
                <w:tab w:val="center" w:pos="4678"/>
                <w:tab w:val="right" w:pos="9356"/>
              </w:tabs>
              <w:spacing w:line="260" w:lineRule="atLeast"/>
              <w:jc w:val="both"/>
              <w:rPr>
                <w:sz w:val="16"/>
                <w:lang w:val="nl-BE"/>
              </w:rPr>
            </w:pPr>
          </w:p>
        </w:tc>
        <w:tc>
          <w:tcPr>
            <w:tcW w:w="3856" w:type="dxa"/>
            <w:gridSpan w:val="2"/>
            <w:shd w:val="clear" w:color="auto" w:fill="auto"/>
            <w:vAlign w:val="bottom"/>
          </w:tcPr>
          <w:p w14:paraId="0CE453A7" w14:textId="77777777" w:rsidR="00F51D15" w:rsidRPr="00473EC5" w:rsidRDefault="00F51D15" w:rsidP="00046B3B">
            <w:pPr>
              <w:pStyle w:val="TitreTitel"/>
              <w:keepLines/>
              <w:tabs>
                <w:tab w:val="left" w:pos="284"/>
                <w:tab w:val="right" w:leader="dot" w:pos="9639"/>
              </w:tabs>
              <w:spacing w:after="170"/>
              <w:ind w:left="397" w:right="567" w:hanging="397"/>
              <w:jc w:val="both"/>
              <w:rPr>
                <w:lang w:val="nl-BE"/>
              </w:rPr>
            </w:pPr>
            <w:r w:rsidRPr="00473EC5">
              <w:rPr>
                <w:lang w:val="nl-BE"/>
              </w:rPr>
              <w:t>Circulaire</w:t>
            </w:r>
          </w:p>
        </w:tc>
      </w:tr>
      <w:tr w:rsidR="00F51D15" w:rsidRPr="00473EC5" w14:paraId="0CE453AB" w14:textId="77777777" w:rsidTr="004D2D96">
        <w:trPr>
          <w:cantSplit/>
          <w:trHeight w:hRule="exact" w:val="794"/>
        </w:trPr>
        <w:tc>
          <w:tcPr>
            <w:tcW w:w="6067" w:type="dxa"/>
            <w:vMerge w:val="restart"/>
            <w:shd w:val="clear" w:color="auto" w:fill="auto"/>
          </w:tcPr>
          <w:p w14:paraId="0CE453A9" w14:textId="77777777" w:rsidR="00F51D15" w:rsidRPr="00473EC5" w:rsidRDefault="00F51D15" w:rsidP="00046B3B">
            <w:pPr>
              <w:pStyle w:val="AdresseAdres"/>
              <w:jc w:val="both"/>
              <w:rPr>
                <w:lang w:val="nl-BE"/>
              </w:rPr>
            </w:pPr>
          </w:p>
        </w:tc>
        <w:tc>
          <w:tcPr>
            <w:tcW w:w="3856" w:type="dxa"/>
            <w:gridSpan w:val="2"/>
          </w:tcPr>
          <w:p w14:paraId="0CE453AA" w14:textId="41FA22C2" w:rsidR="00F51D15" w:rsidRPr="00473EC5" w:rsidRDefault="008B6C14" w:rsidP="00046B3B">
            <w:pPr>
              <w:spacing w:line="260" w:lineRule="atLeast"/>
              <w:jc w:val="both"/>
              <w:rPr>
                <w:lang w:val="nl-BE"/>
              </w:rPr>
            </w:pPr>
            <w:r>
              <w:rPr>
                <w:lang w:val="nl-BE"/>
              </w:rPr>
              <w:t>Brussel, 15 februari 2019</w:t>
            </w:r>
          </w:p>
        </w:tc>
      </w:tr>
      <w:tr w:rsidR="00F51D15" w:rsidRPr="00473EC5" w14:paraId="0CE453AF" w14:textId="77777777" w:rsidTr="004D2D96">
        <w:trPr>
          <w:cantSplit/>
          <w:trHeight w:hRule="exact" w:val="198"/>
        </w:trPr>
        <w:tc>
          <w:tcPr>
            <w:tcW w:w="6067" w:type="dxa"/>
            <w:vMerge/>
          </w:tcPr>
          <w:p w14:paraId="0CE453AC" w14:textId="77777777" w:rsidR="00F51D15" w:rsidRPr="00473EC5" w:rsidRDefault="00F51D15" w:rsidP="00046B3B">
            <w:pPr>
              <w:spacing w:line="260" w:lineRule="atLeast"/>
              <w:jc w:val="both"/>
              <w:rPr>
                <w:lang w:val="nl-BE"/>
              </w:rPr>
            </w:pPr>
          </w:p>
        </w:tc>
        <w:tc>
          <w:tcPr>
            <w:tcW w:w="1644" w:type="dxa"/>
            <w:vAlign w:val="center"/>
          </w:tcPr>
          <w:p w14:paraId="0CE453AD" w14:textId="77777777" w:rsidR="00F51D15" w:rsidRPr="00473EC5" w:rsidRDefault="00F51D15" w:rsidP="00046B3B">
            <w:pPr>
              <w:pStyle w:val="BoiteVakje"/>
              <w:jc w:val="both"/>
              <w:rPr>
                <w:lang w:val="nl-BE"/>
              </w:rPr>
            </w:pPr>
          </w:p>
        </w:tc>
        <w:tc>
          <w:tcPr>
            <w:tcW w:w="2212" w:type="dxa"/>
            <w:vAlign w:val="center"/>
          </w:tcPr>
          <w:p w14:paraId="0CE453AE" w14:textId="77777777" w:rsidR="00F51D15" w:rsidRPr="00473EC5" w:rsidRDefault="00F51D15" w:rsidP="00046B3B">
            <w:pPr>
              <w:pStyle w:val="BoiteVakje"/>
              <w:jc w:val="both"/>
              <w:rPr>
                <w:sz w:val="16"/>
                <w:szCs w:val="16"/>
                <w:lang w:val="nl-BE"/>
              </w:rPr>
            </w:pPr>
          </w:p>
        </w:tc>
      </w:tr>
      <w:tr w:rsidR="00F51D15" w:rsidRPr="00473EC5" w14:paraId="0CE453B3" w14:textId="77777777" w:rsidTr="004D2D96">
        <w:trPr>
          <w:cantSplit/>
          <w:trHeight w:hRule="exact" w:val="198"/>
        </w:trPr>
        <w:tc>
          <w:tcPr>
            <w:tcW w:w="6067" w:type="dxa"/>
            <w:vMerge/>
          </w:tcPr>
          <w:p w14:paraId="0CE453B0" w14:textId="77777777" w:rsidR="00F51D15" w:rsidRPr="00473EC5" w:rsidRDefault="00F51D15" w:rsidP="00046B3B">
            <w:pPr>
              <w:tabs>
                <w:tab w:val="left" w:pos="1276"/>
                <w:tab w:val="left" w:pos="2268"/>
              </w:tabs>
              <w:spacing w:line="260" w:lineRule="atLeast"/>
              <w:jc w:val="both"/>
              <w:rPr>
                <w:lang w:val="nl-BE"/>
              </w:rPr>
            </w:pPr>
          </w:p>
        </w:tc>
        <w:tc>
          <w:tcPr>
            <w:tcW w:w="1644" w:type="dxa"/>
            <w:vAlign w:val="center"/>
          </w:tcPr>
          <w:p w14:paraId="0CE453B1" w14:textId="77777777" w:rsidR="00F51D15" w:rsidRPr="00473EC5" w:rsidRDefault="00F51D15" w:rsidP="00046B3B">
            <w:pPr>
              <w:pStyle w:val="BoiteVakje"/>
              <w:jc w:val="both"/>
              <w:rPr>
                <w:lang w:val="nl-BE"/>
              </w:rPr>
            </w:pPr>
            <w:r w:rsidRPr="00473EC5">
              <w:rPr>
                <w:lang w:val="nl-BE"/>
              </w:rPr>
              <w:t xml:space="preserve">Kenmerk: </w:t>
            </w:r>
            <w:r w:rsidRPr="00473EC5">
              <w:rPr>
                <w:vanish/>
                <w:color w:val="FF0000"/>
                <w:lang w:val="nl-BE"/>
              </w:rPr>
              <w:t>---------------&gt;</w:t>
            </w:r>
          </w:p>
        </w:tc>
        <w:tc>
          <w:tcPr>
            <w:tcW w:w="2212" w:type="dxa"/>
            <w:vAlign w:val="center"/>
          </w:tcPr>
          <w:p w14:paraId="0CE453B2" w14:textId="041868DF" w:rsidR="00F51D15" w:rsidRPr="00473EC5" w:rsidRDefault="00F51D15" w:rsidP="00046B3B">
            <w:pPr>
              <w:pStyle w:val="BoitetexteVakjetekst"/>
              <w:jc w:val="both"/>
              <w:rPr>
                <w:lang w:val="nl-BE"/>
              </w:rPr>
            </w:pPr>
            <w:r w:rsidRPr="00473EC5">
              <w:rPr>
                <w:lang w:val="nl-BE"/>
              </w:rPr>
              <w:t>NBB_201</w:t>
            </w:r>
            <w:r w:rsidR="0067153F" w:rsidRPr="00473EC5">
              <w:rPr>
                <w:lang w:val="nl-BE"/>
              </w:rPr>
              <w:t>9</w:t>
            </w:r>
            <w:r w:rsidRPr="00473EC5">
              <w:rPr>
                <w:lang w:val="nl-BE"/>
              </w:rPr>
              <w:t>_</w:t>
            </w:r>
            <w:r w:rsidR="002E5C5E" w:rsidRPr="00473EC5">
              <w:rPr>
                <w:lang w:val="nl-BE"/>
              </w:rPr>
              <w:t>0</w:t>
            </w:r>
            <w:r w:rsidR="002F0E36" w:rsidRPr="00473EC5">
              <w:rPr>
                <w:lang w:val="nl-BE"/>
              </w:rPr>
              <w:t>3</w:t>
            </w:r>
          </w:p>
        </w:tc>
      </w:tr>
      <w:tr w:rsidR="00F51D15" w:rsidRPr="00473EC5" w14:paraId="0CE453B6" w14:textId="77777777" w:rsidTr="004D2D96">
        <w:trPr>
          <w:cantSplit/>
          <w:trHeight w:hRule="exact" w:val="198"/>
        </w:trPr>
        <w:tc>
          <w:tcPr>
            <w:tcW w:w="6067" w:type="dxa"/>
            <w:vMerge/>
          </w:tcPr>
          <w:p w14:paraId="0CE453B4" w14:textId="77777777" w:rsidR="00F51D15" w:rsidRPr="00473EC5" w:rsidRDefault="00F51D15" w:rsidP="00046B3B">
            <w:pPr>
              <w:spacing w:line="260" w:lineRule="atLeast"/>
              <w:jc w:val="both"/>
              <w:rPr>
                <w:lang w:val="nl-BE"/>
              </w:rPr>
            </w:pPr>
          </w:p>
        </w:tc>
        <w:tc>
          <w:tcPr>
            <w:tcW w:w="3856" w:type="dxa"/>
            <w:gridSpan w:val="2"/>
            <w:vAlign w:val="center"/>
          </w:tcPr>
          <w:p w14:paraId="0CE453B5" w14:textId="77777777" w:rsidR="00F51D15" w:rsidRPr="00473EC5" w:rsidRDefault="00F51D15" w:rsidP="00046B3B">
            <w:pPr>
              <w:pStyle w:val="BoiteVakje"/>
              <w:jc w:val="both"/>
              <w:rPr>
                <w:sz w:val="16"/>
                <w:szCs w:val="16"/>
                <w:lang w:val="nl-BE"/>
              </w:rPr>
            </w:pPr>
          </w:p>
        </w:tc>
      </w:tr>
      <w:tr w:rsidR="00F51D15" w:rsidRPr="00473EC5" w14:paraId="0CE453B9" w14:textId="77777777" w:rsidTr="004D2D96">
        <w:trPr>
          <w:cantSplit/>
          <w:trHeight w:hRule="exact" w:val="198"/>
        </w:trPr>
        <w:tc>
          <w:tcPr>
            <w:tcW w:w="6067" w:type="dxa"/>
            <w:vMerge w:val="restart"/>
          </w:tcPr>
          <w:p w14:paraId="0CE453B7" w14:textId="77777777" w:rsidR="00F51D15" w:rsidRPr="00473EC5" w:rsidRDefault="00F51D15" w:rsidP="00046B3B">
            <w:pPr>
              <w:pStyle w:val="AdresseAdres"/>
              <w:jc w:val="both"/>
              <w:rPr>
                <w:lang w:val="nl-BE"/>
              </w:rPr>
            </w:pPr>
          </w:p>
        </w:tc>
        <w:tc>
          <w:tcPr>
            <w:tcW w:w="3856" w:type="dxa"/>
            <w:gridSpan w:val="2"/>
            <w:vAlign w:val="center"/>
          </w:tcPr>
          <w:p w14:paraId="0CE453B8" w14:textId="2B62194D" w:rsidR="00F51D15" w:rsidRPr="00473EC5" w:rsidRDefault="00F51D15" w:rsidP="00046B3B">
            <w:pPr>
              <w:pStyle w:val="BoiteVakje"/>
              <w:jc w:val="both"/>
              <w:rPr>
                <w:lang w:val="nl-BE"/>
              </w:rPr>
            </w:pPr>
            <w:r w:rsidRPr="00473EC5">
              <w:rPr>
                <w:lang w:val="nl-BE"/>
              </w:rPr>
              <w:t>Uw correspondent</w:t>
            </w:r>
            <w:bookmarkStart w:id="0" w:name="_GoBack"/>
            <w:bookmarkEnd w:id="0"/>
            <w:r w:rsidRPr="00473EC5">
              <w:rPr>
                <w:lang w:val="nl-BE"/>
              </w:rPr>
              <w:t xml:space="preserve">: </w:t>
            </w:r>
            <w:r w:rsidRPr="00473EC5">
              <w:rPr>
                <w:rFonts w:cs="Arial"/>
                <w:vanish/>
                <w:color w:val="FF0000"/>
                <w:lang w:val="nl-BE"/>
              </w:rPr>
              <w:t>mettez les noms ci-dessous</w:t>
            </w:r>
          </w:p>
        </w:tc>
      </w:tr>
      <w:tr w:rsidR="00F51D15" w:rsidRPr="00473EC5" w14:paraId="0CE453BC" w14:textId="77777777" w:rsidTr="004D2D96">
        <w:trPr>
          <w:cantSplit/>
          <w:trHeight w:hRule="exact" w:val="57"/>
        </w:trPr>
        <w:tc>
          <w:tcPr>
            <w:tcW w:w="6067" w:type="dxa"/>
            <w:vMerge/>
          </w:tcPr>
          <w:p w14:paraId="0CE453BA" w14:textId="77777777" w:rsidR="00F51D15" w:rsidRPr="00473EC5" w:rsidRDefault="00F51D15" w:rsidP="00046B3B">
            <w:pPr>
              <w:spacing w:line="260" w:lineRule="atLeast"/>
              <w:jc w:val="both"/>
              <w:rPr>
                <w:lang w:val="nl-BE"/>
              </w:rPr>
            </w:pPr>
          </w:p>
        </w:tc>
        <w:tc>
          <w:tcPr>
            <w:tcW w:w="3856" w:type="dxa"/>
            <w:gridSpan w:val="2"/>
            <w:vAlign w:val="center"/>
          </w:tcPr>
          <w:p w14:paraId="0CE453BB" w14:textId="77777777" w:rsidR="00F51D15" w:rsidRPr="00473EC5" w:rsidRDefault="00F51D15" w:rsidP="00046B3B">
            <w:pPr>
              <w:pStyle w:val="BoiteVakje"/>
              <w:jc w:val="both"/>
              <w:rPr>
                <w:lang w:val="nl-BE"/>
              </w:rPr>
            </w:pPr>
          </w:p>
        </w:tc>
      </w:tr>
      <w:tr w:rsidR="0067153F" w:rsidRPr="00473EC5" w14:paraId="0CE453BF" w14:textId="77777777" w:rsidTr="004D2D96">
        <w:trPr>
          <w:cantSplit/>
          <w:trHeight w:val="198"/>
        </w:trPr>
        <w:tc>
          <w:tcPr>
            <w:tcW w:w="6067" w:type="dxa"/>
            <w:vMerge/>
          </w:tcPr>
          <w:p w14:paraId="0CE453BD" w14:textId="77777777" w:rsidR="0067153F" w:rsidRPr="00473EC5" w:rsidRDefault="0067153F" w:rsidP="0067153F">
            <w:pPr>
              <w:spacing w:line="260" w:lineRule="atLeast"/>
              <w:jc w:val="both"/>
              <w:rPr>
                <w:lang w:val="nl-BE"/>
              </w:rPr>
            </w:pPr>
          </w:p>
        </w:tc>
        <w:tc>
          <w:tcPr>
            <w:tcW w:w="3856" w:type="dxa"/>
            <w:gridSpan w:val="2"/>
            <w:vAlign w:val="center"/>
          </w:tcPr>
          <w:p w14:paraId="0CE453BE" w14:textId="64B78932" w:rsidR="0067153F" w:rsidRPr="00473EC5" w:rsidRDefault="0067153F" w:rsidP="0067153F">
            <w:pPr>
              <w:pStyle w:val="BoiteVakje"/>
              <w:jc w:val="both"/>
              <w:rPr>
                <w:lang w:val="nl-BE"/>
              </w:rPr>
            </w:pPr>
            <w:r w:rsidRPr="00473EC5">
              <w:rPr>
                <w:lang w:val="nl-BE" w:bidi="fr-FR"/>
              </w:rPr>
              <w:t>Stéphane Folie</w:t>
            </w:r>
          </w:p>
        </w:tc>
      </w:tr>
      <w:tr w:rsidR="0067153F" w:rsidRPr="00473EC5" w14:paraId="0CE453C2" w14:textId="77777777" w:rsidTr="004D2D96">
        <w:trPr>
          <w:cantSplit/>
          <w:trHeight w:val="198"/>
        </w:trPr>
        <w:tc>
          <w:tcPr>
            <w:tcW w:w="6067" w:type="dxa"/>
            <w:vMerge/>
          </w:tcPr>
          <w:p w14:paraId="0CE453C0" w14:textId="77777777" w:rsidR="0067153F" w:rsidRPr="00473EC5" w:rsidRDefault="0067153F" w:rsidP="0067153F">
            <w:pPr>
              <w:spacing w:line="260" w:lineRule="atLeast"/>
              <w:jc w:val="both"/>
              <w:rPr>
                <w:lang w:val="nl-BE"/>
              </w:rPr>
            </w:pPr>
          </w:p>
        </w:tc>
        <w:tc>
          <w:tcPr>
            <w:tcW w:w="3856" w:type="dxa"/>
            <w:gridSpan w:val="2"/>
            <w:vAlign w:val="center"/>
          </w:tcPr>
          <w:p w14:paraId="0CE453C1" w14:textId="70173CC5" w:rsidR="0067153F" w:rsidRPr="00473EC5" w:rsidRDefault="0067153F" w:rsidP="0067153F">
            <w:pPr>
              <w:pStyle w:val="BoiteVakje"/>
              <w:jc w:val="both"/>
              <w:rPr>
                <w:lang w:val="nl-BE"/>
              </w:rPr>
            </w:pPr>
            <w:r w:rsidRPr="00473EC5">
              <w:rPr>
                <w:lang w:val="nl-BE" w:bidi="fr-FR"/>
              </w:rPr>
              <w:t>stephane.folie@nbb.be</w:t>
            </w:r>
          </w:p>
        </w:tc>
      </w:tr>
      <w:tr w:rsidR="0067153F" w:rsidRPr="00473EC5" w14:paraId="0CE453C5" w14:textId="77777777" w:rsidTr="004D2D96">
        <w:trPr>
          <w:cantSplit/>
          <w:trHeight w:val="198"/>
        </w:trPr>
        <w:tc>
          <w:tcPr>
            <w:tcW w:w="6067" w:type="dxa"/>
            <w:vMerge/>
          </w:tcPr>
          <w:p w14:paraId="0CE453C3" w14:textId="77777777" w:rsidR="0067153F" w:rsidRPr="00473EC5" w:rsidRDefault="0067153F" w:rsidP="0067153F">
            <w:pPr>
              <w:pStyle w:val="SujetOnderwerp"/>
              <w:jc w:val="both"/>
              <w:rPr>
                <w:b w:val="0"/>
                <w:sz w:val="16"/>
                <w:lang w:val="nl-BE"/>
              </w:rPr>
            </w:pPr>
          </w:p>
        </w:tc>
        <w:tc>
          <w:tcPr>
            <w:tcW w:w="3856" w:type="dxa"/>
            <w:gridSpan w:val="2"/>
            <w:vAlign w:val="center"/>
          </w:tcPr>
          <w:p w14:paraId="0CE453C4" w14:textId="46834A33" w:rsidR="0067153F" w:rsidRPr="00473EC5" w:rsidRDefault="0067153F" w:rsidP="0067153F">
            <w:pPr>
              <w:pStyle w:val="BoiteVakje"/>
              <w:jc w:val="both"/>
              <w:rPr>
                <w:b/>
                <w:lang w:val="nl-BE"/>
              </w:rPr>
            </w:pPr>
          </w:p>
        </w:tc>
      </w:tr>
      <w:tr w:rsidR="00F51D15" w:rsidRPr="00473EC5" w14:paraId="0CE453C8" w14:textId="77777777" w:rsidTr="004D2D96">
        <w:trPr>
          <w:cantSplit/>
          <w:trHeight w:hRule="exact" w:val="57"/>
        </w:trPr>
        <w:tc>
          <w:tcPr>
            <w:tcW w:w="6067" w:type="dxa"/>
            <w:vMerge/>
          </w:tcPr>
          <w:p w14:paraId="0CE453C6" w14:textId="77777777" w:rsidR="00F51D15" w:rsidRPr="00473EC5" w:rsidRDefault="00F51D15" w:rsidP="00046B3B">
            <w:pPr>
              <w:pStyle w:val="SujetOnderwerp"/>
              <w:jc w:val="both"/>
              <w:rPr>
                <w:b w:val="0"/>
                <w:sz w:val="16"/>
                <w:lang w:val="nl-BE"/>
              </w:rPr>
            </w:pPr>
          </w:p>
        </w:tc>
        <w:tc>
          <w:tcPr>
            <w:tcW w:w="3856" w:type="dxa"/>
            <w:gridSpan w:val="2"/>
            <w:vAlign w:val="center"/>
          </w:tcPr>
          <w:p w14:paraId="0CE453C7" w14:textId="77777777" w:rsidR="00F51D15" w:rsidRPr="00473EC5" w:rsidRDefault="00F51D15" w:rsidP="00046B3B">
            <w:pPr>
              <w:pStyle w:val="BoiteVakje"/>
              <w:jc w:val="both"/>
              <w:rPr>
                <w:b/>
                <w:lang w:val="nl-BE"/>
              </w:rPr>
            </w:pPr>
          </w:p>
        </w:tc>
      </w:tr>
      <w:tr w:rsidR="00F51D15" w:rsidRPr="00473EC5" w14:paraId="0CE453CB" w14:textId="77777777" w:rsidTr="004D2D96">
        <w:trPr>
          <w:cantSplit/>
          <w:trHeight w:hRule="exact" w:val="198"/>
        </w:trPr>
        <w:tc>
          <w:tcPr>
            <w:tcW w:w="6067" w:type="dxa"/>
            <w:vMerge/>
            <w:vAlign w:val="center"/>
          </w:tcPr>
          <w:p w14:paraId="0CE453C9" w14:textId="77777777" w:rsidR="00F51D15" w:rsidRPr="00473EC5" w:rsidRDefault="00F51D15" w:rsidP="00046B3B">
            <w:pPr>
              <w:pStyle w:val="SujetOnderwerp"/>
              <w:jc w:val="both"/>
              <w:rPr>
                <w:b w:val="0"/>
                <w:sz w:val="16"/>
                <w:lang w:val="nl-BE"/>
              </w:rPr>
            </w:pPr>
          </w:p>
        </w:tc>
        <w:tc>
          <w:tcPr>
            <w:tcW w:w="3856" w:type="dxa"/>
            <w:gridSpan w:val="2"/>
            <w:vAlign w:val="center"/>
          </w:tcPr>
          <w:p w14:paraId="0CE453CA" w14:textId="35C27173" w:rsidR="00F51D15" w:rsidRPr="00473EC5" w:rsidRDefault="00F51D15" w:rsidP="00046B3B">
            <w:pPr>
              <w:pStyle w:val="BoiteVakje"/>
              <w:jc w:val="both"/>
              <w:rPr>
                <w:b/>
                <w:lang w:val="nl-BE"/>
              </w:rPr>
            </w:pPr>
          </w:p>
        </w:tc>
      </w:tr>
      <w:tr w:rsidR="00F51D15" w:rsidRPr="00473EC5" w14:paraId="0CE453CE" w14:textId="77777777" w:rsidTr="004D2D96">
        <w:trPr>
          <w:cantSplit/>
          <w:trHeight w:hRule="exact" w:val="198"/>
        </w:trPr>
        <w:tc>
          <w:tcPr>
            <w:tcW w:w="6067" w:type="dxa"/>
            <w:vMerge/>
            <w:vAlign w:val="center"/>
          </w:tcPr>
          <w:p w14:paraId="0CE453CC" w14:textId="77777777" w:rsidR="00F51D15" w:rsidRPr="00473EC5" w:rsidRDefault="00F51D15" w:rsidP="00046B3B">
            <w:pPr>
              <w:pStyle w:val="SujetOnderwerp"/>
              <w:jc w:val="both"/>
              <w:rPr>
                <w:b w:val="0"/>
                <w:sz w:val="16"/>
                <w:lang w:val="nl-BE"/>
              </w:rPr>
            </w:pPr>
          </w:p>
        </w:tc>
        <w:tc>
          <w:tcPr>
            <w:tcW w:w="3856" w:type="dxa"/>
            <w:gridSpan w:val="2"/>
            <w:vAlign w:val="center"/>
          </w:tcPr>
          <w:p w14:paraId="0CE453CD" w14:textId="7F872A55" w:rsidR="00F51D15" w:rsidRPr="00473EC5" w:rsidRDefault="00F51D15" w:rsidP="00075E0F">
            <w:pPr>
              <w:pStyle w:val="BoiteVakje"/>
              <w:jc w:val="both"/>
              <w:rPr>
                <w:b/>
                <w:lang w:val="nl-BE"/>
              </w:rPr>
            </w:pPr>
          </w:p>
        </w:tc>
      </w:tr>
      <w:tr w:rsidR="00F51D15" w:rsidRPr="00473EC5" w14:paraId="0CE453D1" w14:textId="77777777" w:rsidTr="004D2D96">
        <w:trPr>
          <w:cantSplit/>
          <w:trHeight w:hRule="exact" w:val="198"/>
        </w:trPr>
        <w:tc>
          <w:tcPr>
            <w:tcW w:w="6067" w:type="dxa"/>
            <w:vMerge/>
            <w:vAlign w:val="center"/>
          </w:tcPr>
          <w:p w14:paraId="0CE453CF" w14:textId="77777777" w:rsidR="00F51D15" w:rsidRPr="00473EC5" w:rsidRDefault="00F51D15" w:rsidP="00046B3B">
            <w:pPr>
              <w:pStyle w:val="SujetOnderwerp"/>
              <w:jc w:val="both"/>
              <w:rPr>
                <w:b w:val="0"/>
                <w:sz w:val="16"/>
                <w:lang w:val="nl-BE"/>
              </w:rPr>
            </w:pPr>
          </w:p>
        </w:tc>
        <w:tc>
          <w:tcPr>
            <w:tcW w:w="3856" w:type="dxa"/>
            <w:gridSpan w:val="2"/>
            <w:vAlign w:val="center"/>
          </w:tcPr>
          <w:p w14:paraId="0CE453D0" w14:textId="03B3FBBF" w:rsidR="00F51D15" w:rsidRPr="00473EC5" w:rsidRDefault="00F51D15" w:rsidP="00046B3B">
            <w:pPr>
              <w:pStyle w:val="BoiteVakje"/>
              <w:jc w:val="both"/>
              <w:rPr>
                <w:b/>
                <w:lang w:val="nl-BE"/>
              </w:rPr>
            </w:pPr>
          </w:p>
        </w:tc>
      </w:tr>
      <w:tr w:rsidR="00F51D15" w:rsidRPr="00473EC5" w14:paraId="0CE453D3" w14:textId="77777777" w:rsidTr="004D2D96">
        <w:trPr>
          <w:cantSplit/>
          <w:trHeight w:hRule="exact" w:val="1191"/>
        </w:trPr>
        <w:tc>
          <w:tcPr>
            <w:tcW w:w="9923" w:type="dxa"/>
            <w:gridSpan w:val="3"/>
            <w:tcMar>
              <w:top w:w="113" w:type="dxa"/>
            </w:tcMar>
            <w:vAlign w:val="bottom"/>
          </w:tcPr>
          <w:p w14:paraId="0CE453D2" w14:textId="77777777" w:rsidR="00F51D15" w:rsidRPr="00473EC5" w:rsidRDefault="00F51D15" w:rsidP="00046B3B">
            <w:pPr>
              <w:pStyle w:val="SujetOnderwerp"/>
              <w:jc w:val="both"/>
              <w:rPr>
                <w:lang w:val="nl-BE"/>
              </w:rPr>
            </w:pPr>
            <w:r w:rsidRPr="00473EC5">
              <w:rPr>
                <w:lang w:val="nl-BE"/>
              </w:rPr>
              <w:t>Periodieke vragenlijst met betrekking tot de bestrijding van het witwassen van geld en de financiering van terrorisme</w:t>
            </w:r>
          </w:p>
        </w:tc>
      </w:tr>
      <w:tr w:rsidR="00F51D15" w:rsidRPr="00473EC5" w14:paraId="0CE453D5" w14:textId="77777777" w:rsidTr="004D2D96">
        <w:trPr>
          <w:cantSplit/>
          <w:trHeight w:hRule="exact" w:val="397"/>
        </w:trPr>
        <w:tc>
          <w:tcPr>
            <w:tcW w:w="9923" w:type="dxa"/>
            <w:gridSpan w:val="3"/>
            <w:vAlign w:val="center"/>
          </w:tcPr>
          <w:p w14:paraId="0CE453D4" w14:textId="77777777" w:rsidR="00F51D15" w:rsidRPr="00473EC5" w:rsidRDefault="00F51D15" w:rsidP="00046B3B">
            <w:pPr>
              <w:spacing w:line="260" w:lineRule="atLeast"/>
              <w:jc w:val="both"/>
              <w:rPr>
                <w:lang w:val="nl-BE"/>
              </w:rPr>
            </w:pPr>
          </w:p>
        </w:tc>
      </w:tr>
    </w:tbl>
    <w:p w14:paraId="0CE453D6" w14:textId="77777777" w:rsidR="00F51D15" w:rsidRPr="00473EC5" w:rsidRDefault="00F51D15" w:rsidP="00046B3B">
      <w:pPr>
        <w:pStyle w:val="Sous-titreOndertitel"/>
        <w:jc w:val="both"/>
        <w:rPr>
          <w:lang w:val="nl-BE"/>
        </w:rPr>
      </w:pPr>
      <w:r w:rsidRPr="00473EC5">
        <w:rPr>
          <w:lang w:val="nl-BE"/>
        </w:rPr>
        <w:t>Toepassingsveld</w:t>
      </w:r>
    </w:p>
    <w:p w14:paraId="0CE453D7" w14:textId="77777777" w:rsidR="00F51D15" w:rsidRPr="00473EC5" w:rsidRDefault="00F51D15" w:rsidP="00046B3B">
      <w:pPr>
        <w:jc w:val="both"/>
        <w:rPr>
          <w:i/>
          <w:sz w:val="22"/>
          <w:lang w:val="nl-BE"/>
        </w:rPr>
      </w:pPr>
      <w:r w:rsidRPr="00473EC5">
        <w:rPr>
          <w:i/>
          <w:sz w:val="22"/>
          <w:lang w:val="nl-BE"/>
        </w:rPr>
        <w:t>-</w:t>
      </w:r>
      <w:r w:rsidRPr="00473EC5">
        <w:rPr>
          <w:i/>
          <w:sz w:val="22"/>
          <w:lang w:val="nl-BE"/>
        </w:rPr>
        <w:tab/>
        <w:t>alle kredietinstellingen, met inbegrip van de Europese en niet-Europese bijkantoren;</w:t>
      </w:r>
    </w:p>
    <w:p w14:paraId="0CE453D8" w14:textId="77777777" w:rsidR="00F51D15" w:rsidRPr="00473EC5" w:rsidRDefault="00F51D15" w:rsidP="00046B3B">
      <w:pPr>
        <w:jc w:val="both"/>
        <w:rPr>
          <w:i/>
          <w:sz w:val="22"/>
          <w:lang w:val="nl-BE"/>
        </w:rPr>
      </w:pPr>
      <w:r w:rsidRPr="00473EC5">
        <w:rPr>
          <w:i/>
          <w:sz w:val="22"/>
          <w:lang w:val="nl-BE"/>
        </w:rPr>
        <w:t>-</w:t>
      </w:r>
      <w:r w:rsidRPr="00473EC5">
        <w:rPr>
          <w:i/>
          <w:sz w:val="22"/>
          <w:lang w:val="nl-BE"/>
        </w:rPr>
        <w:tab/>
        <w:t>alle beursvennootschappen, met inbegrip van de Europese en niet-Europese bijkantoren;</w:t>
      </w:r>
    </w:p>
    <w:p w14:paraId="0CE453D9" w14:textId="77777777" w:rsidR="00F51D15" w:rsidRPr="00473EC5" w:rsidRDefault="00F51D15" w:rsidP="00046B3B">
      <w:pPr>
        <w:ind w:left="284" w:hanging="284"/>
        <w:jc w:val="both"/>
        <w:rPr>
          <w:i/>
          <w:sz w:val="22"/>
          <w:lang w:val="nl-BE"/>
        </w:rPr>
      </w:pPr>
      <w:r w:rsidRPr="00473EC5">
        <w:rPr>
          <w:i/>
          <w:sz w:val="22"/>
          <w:lang w:val="nl-BE"/>
        </w:rPr>
        <w:t>-</w:t>
      </w:r>
      <w:r w:rsidRPr="00473EC5">
        <w:rPr>
          <w:i/>
          <w:sz w:val="22"/>
          <w:lang w:val="nl-BE"/>
        </w:rPr>
        <w:tab/>
        <w:t xml:space="preserve">alle verzekeringsondernemingen die beschikken over de </w:t>
      </w:r>
      <w:r w:rsidR="000F0909" w:rsidRPr="00473EC5">
        <w:rPr>
          <w:i/>
          <w:sz w:val="22"/>
          <w:lang w:val="nl-BE"/>
        </w:rPr>
        <w:t xml:space="preserve">vergunning </w:t>
      </w:r>
      <w:r w:rsidRPr="00473EC5">
        <w:rPr>
          <w:i/>
          <w:sz w:val="22"/>
          <w:lang w:val="nl-BE"/>
        </w:rPr>
        <w:t>om levensverzekeringsactiviteiten uit te oefenen, met inbegrip</w:t>
      </w:r>
      <w:r w:rsidR="00A64247" w:rsidRPr="00473EC5">
        <w:rPr>
          <w:i/>
          <w:sz w:val="22"/>
          <w:lang w:val="nl-BE"/>
        </w:rPr>
        <w:t xml:space="preserve"> </w:t>
      </w:r>
      <w:r w:rsidRPr="00473EC5">
        <w:rPr>
          <w:i/>
          <w:sz w:val="22"/>
          <w:lang w:val="nl-BE"/>
        </w:rPr>
        <w:t>van de Europese en niet-Europese bijkantoren;</w:t>
      </w:r>
    </w:p>
    <w:p w14:paraId="0CE453DA" w14:textId="77777777" w:rsidR="00F51D15" w:rsidRPr="00473EC5" w:rsidRDefault="00F51D15" w:rsidP="00046B3B">
      <w:pPr>
        <w:pStyle w:val="IntroductionInleiding"/>
        <w:spacing w:after="0"/>
        <w:ind w:left="284" w:hanging="284"/>
        <w:jc w:val="both"/>
      </w:pPr>
      <w:r w:rsidRPr="00473EC5">
        <w:t>-</w:t>
      </w:r>
      <w:r w:rsidRPr="00473EC5">
        <w:tab/>
        <w:t>alle betalingsinstellingen en instellingen voor elektronisch geld, met inbegrip van de Europese en niet-Europese bijkantoren;</w:t>
      </w:r>
    </w:p>
    <w:p w14:paraId="0CE453DB" w14:textId="77777777" w:rsidR="00F51D15" w:rsidRPr="00473EC5" w:rsidRDefault="00F51D15" w:rsidP="00046B3B">
      <w:pPr>
        <w:pStyle w:val="IntroductionInleiding"/>
        <w:spacing w:after="0"/>
        <w:ind w:left="284" w:hanging="284"/>
        <w:jc w:val="both"/>
      </w:pPr>
      <w:r w:rsidRPr="00473EC5">
        <w:t>-</w:t>
      </w:r>
      <w:r w:rsidRPr="00473EC5">
        <w:tab/>
        <w:t>alle betalingsinstellingen en instellingen voor elektronisch geld aan dewelke in andere lidstaten van de Europese Economische Ruimte een vergunning is verleend</w:t>
      </w:r>
      <w:r w:rsidR="0058619A" w:rsidRPr="00473EC5">
        <w:t xml:space="preserve"> en die in België gevestigd zijn (via één of meer agenten en/of distributeurs)</w:t>
      </w:r>
      <w:r w:rsidRPr="00473EC5">
        <w:t xml:space="preserve">; </w:t>
      </w:r>
    </w:p>
    <w:p w14:paraId="0CE453DC" w14:textId="77777777" w:rsidR="00F51D15" w:rsidRPr="00473EC5" w:rsidRDefault="00F51D15" w:rsidP="00046B3B">
      <w:pPr>
        <w:pStyle w:val="IntroductionInleiding"/>
        <w:ind w:left="284" w:hanging="284"/>
        <w:jc w:val="both"/>
      </w:pPr>
      <w:r w:rsidRPr="00473EC5">
        <w:t>-</w:t>
      </w:r>
      <w:r w:rsidRPr="00473EC5">
        <w:tab/>
        <w:t>alle vereffeningsinstellingen</w:t>
      </w:r>
      <w:r w:rsidR="005036E5" w:rsidRPr="00473EC5">
        <w:t>, met inbegrip van de Europese en niet-Europese bijkantoren</w:t>
      </w:r>
      <w:r w:rsidRPr="00473EC5">
        <w:t>.</w:t>
      </w:r>
    </w:p>
    <w:p w14:paraId="0CE453DD" w14:textId="77777777" w:rsidR="00F51D15" w:rsidRPr="00473EC5" w:rsidRDefault="00F51D15" w:rsidP="00046B3B">
      <w:pPr>
        <w:pStyle w:val="Sous-titreOndertitel"/>
        <w:jc w:val="both"/>
        <w:rPr>
          <w:lang w:val="nl-BE"/>
        </w:rPr>
      </w:pPr>
      <w:r w:rsidRPr="00473EC5">
        <w:rPr>
          <w:lang w:val="nl-BE"/>
        </w:rPr>
        <w:t>Samenvatting/Doelstelling</w:t>
      </w:r>
    </w:p>
    <w:p w14:paraId="0CE453DE" w14:textId="77777777" w:rsidR="00F51D15" w:rsidRPr="00473EC5" w:rsidRDefault="00F51D15" w:rsidP="00046B3B">
      <w:pPr>
        <w:pStyle w:val="IntroductionInleiding"/>
        <w:jc w:val="both"/>
      </w:pPr>
      <w:r w:rsidRPr="00473EC5">
        <w:t>Met deze circulaire beoogt de Nationale Bank van België van de financiële instellingen gestandaardiseerde informatie te bekomen die haar in staat moet stellen haar risicogeoriënteerde benadering te versterken in de uitoefening van haar wettelijke toezichtsbevoegdheden inzake de bestrijding van het witwassen van geld en de financiering van het terrorisme.</w:t>
      </w:r>
    </w:p>
    <w:p w14:paraId="0CE453DF" w14:textId="77777777" w:rsidR="00F51D15" w:rsidRPr="00473EC5" w:rsidRDefault="00F51D15" w:rsidP="00046B3B">
      <w:pPr>
        <w:pStyle w:val="Sous-titreOndertitel"/>
        <w:jc w:val="both"/>
        <w:rPr>
          <w:lang w:val="nl-BE"/>
        </w:rPr>
      </w:pPr>
      <w:r w:rsidRPr="00473EC5">
        <w:rPr>
          <w:lang w:val="nl-BE"/>
        </w:rPr>
        <w:t>Structuur</w:t>
      </w:r>
    </w:p>
    <w:p w14:paraId="0CE453E1" w14:textId="77777777" w:rsidR="00F51D15" w:rsidRPr="00473EC5" w:rsidRDefault="00F51D15" w:rsidP="00046B3B">
      <w:pPr>
        <w:pStyle w:val="IntroductionInleiding"/>
        <w:numPr>
          <w:ilvl w:val="0"/>
          <w:numId w:val="1"/>
        </w:numPr>
        <w:spacing w:after="0" w:line="240" w:lineRule="auto"/>
        <w:ind w:left="714" w:hanging="357"/>
        <w:jc w:val="both"/>
      </w:pPr>
      <w:r w:rsidRPr="00473EC5">
        <w:t>Inleiding</w:t>
      </w:r>
    </w:p>
    <w:p w14:paraId="0CE453E2" w14:textId="77777777" w:rsidR="008D2FC0" w:rsidRPr="00473EC5" w:rsidRDefault="008D2FC0" w:rsidP="00046B3B">
      <w:pPr>
        <w:pStyle w:val="ListParagraph"/>
        <w:numPr>
          <w:ilvl w:val="0"/>
          <w:numId w:val="1"/>
        </w:numPr>
        <w:jc w:val="both"/>
        <w:rPr>
          <w:i/>
          <w:sz w:val="22"/>
          <w:lang w:val="nl-BE"/>
        </w:rPr>
      </w:pPr>
      <w:r w:rsidRPr="00473EC5">
        <w:rPr>
          <w:i/>
          <w:sz w:val="22"/>
          <w:lang w:val="nl-BE"/>
        </w:rPr>
        <w:t>Evolutie van de periodieke vragenlijst sinds 2013</w:t>
      </w:r>
    </w:p>
    <w:p w14:paraId="0CE453E3" w14:textId="77777777" w:rsidR="008D2FC0" w:rsidRPr="00473EC5" w:rsidRDefault="008D2FC0" w:rsidP="00046B3B">
      <w:pPr>
        <w:pStyle w:val="ListParagraph"/>
        <w:numPr>
          <w:ilvl w:val="0"/>
          <w:numId w:val="1"/>
        </w:numPr>
        <w:jc w:val="both"/>
        <w:rPr>
          <w:i/>
          <w:sz w:val="22"/>
          <w:lang w:val="nl-BE"/>
        </w:rPr>
      </w:pPr>
      <w:r w:rsidRPr="00473EC5">
        <w:rPr>
          <w:i/>
          <w:sz w:val="22"/>
          <w:lang w:val="nl-BE"/>
        </w:rPr>
        <w:t>Indiening van de antwoorden op de periodieke vragenlijst via OneGate</w:t>
      </w:r>
    </w:p>
    <w:p w14:paraId="0CE453E4" w14:textId="77777777" w:rsidR="00F51D15" w:rsidRPr="00473EC5" w:rsidRDefault="008D2FC0" w:rsidP="00046B3B">
      <w:pPr>
        <w:pStyle w:val="ListParagraph"/>
        <w:numPr>
          <w:ilvl w:val="0"/>
          <w:numId w:val="1"/>
        </w:numPr>
        <w:jc w:val="both"/>
        <w:rPr>
          <w:i/>
          <w:sz w:val="22"/>
          <w:lang w:val="nl-BE"/>
        </w:rPr>
      </w:pPr>
      <w:r w:rsidRPr="00473EC5">
        <w:rPr>
          <w:i/>
          <w:sz w:val="22"/>
          <w:lang w:val="nl-BE"/>
        </w:rPr>
        <w:t>Timing</w:t>
      </w:r>
    </w:p>
    <w:p w14:paraId="0CE453E5" w14:textId="77777777" w:rsidR="00F51D15" w:rsidRPr="00473EC5" w:rsidRDefault="00F51D15" w:rsidP="00046B3B">
      <w:pPr>
        <w:pStyle w:val="IntroductionInleiding"/>
        <w:numPr>
          <w:ilvl w:val="0"/>
          <w:numId w:val="1"/>
        </w:numPr>
        <w:spacing w:after="0" w:line="240" w:lineRule="auto"/>
        <w:ind w:left="714" w:hanging="357"/>
        <w:jc w:val="both"/>
      </w:pPr>
      <w:r w:rsidRPr="00473EC5">
        <w:t>Praktisch</w:t>
      </w:r>
    </w:p>
    <w:p w14:paraId="0CE453E6" w14:textId="77777777" w:rsidR="00F51D15" w:rsidRPr="00473EC5" w:rsidRDefault="00F51D15" w:rsidP="00046B3B">
      <w:pPr>
        <w:pStyle w:val="IntroductionInleiding"/>
        <w:numPr>
          <w:ilvl w:val="0"/>
          <w:numId w:val="1"/>
        </w:numPr>
        <w:spacing w:after="0" w:line="240" w:lineRule="auto"/>
        <w:ind w:left="714" w:hanging="357"/>
        <w:jc w:val="both"/>
      </w:pPr>
      <w:r w:rsidRPr="00473EC5">
        <w:t>Methodologie voor het beantwoorden van de vragenlijst</w:t>
      </w:r>
    </w:p>
    <w:p w14:paraId="0CE453E7" w14:textId="377BD900" w:rsidR="002F0E36" w:rsidRPr="00473EC5" w:rsidRDefault="002F0E36">
      <w:pPr>
        <w:tabs>
          <w:tab w:val="clear" w:pos="284"/>
        </w:tabs>
        <w:spacing w:after="200" w:line="276" w:lineRule="auto"/>
        <w:rPr>
          <w:lang w:val="nl-BE"/>
        </w:rPr>
      </w:pPr>
      <w:r w:rsidRPr="00473EC5">
        <w:rPr>
          <w:lang w:val="nl-BE"/>
        </w:rPr>
        <w:br w:type="page"/>
      </w:r>
    </w:p>
    <w:p w14:paraId="0CE453EB" w14:textId="77777777" w:rsidR="00F51D15" w:rsidRPr="00473EC5" w:rsidRDefault="00F51D15" w:rsidP="00046B3B">
      <w:pPr>
        <w:jc w:val="both"/>
        <w:rPr>
          <w:lang w:val="nl-BE"/>
        </w:rPr>
      </w:pPr>
      <w:r w:rsidRPr="00473EC5">
        <w:rPr>
          <w:lang w:val="nl-BE"/>
        </w:rPr>
        <w:lastRenderedPageBreak/>
        <w:t xml:space="preserve">Geachte mevrouw </w:t>
      </w:r>
    </w:p>
    <w:p w14:paraId="0CE453EC" w14:textId="77777777" w:rsidR="00F51D15" w:rsidRPr="00473EC5" w:rsidRDefault="00F51D15" w:rsidP="00046B3B">
      <w:pPr>
        <w:jc w:val="both"/>
        <w:rPr>
          <w:lang w:val="nl-BE"/>
        </w:rPr>
      </w:pPr>
      <w:r w:rsidRPr="00473EC5">
        <w:rPr>
          <w:lang w:val="nl-BE"/>
        </w:rPr>
        <w:t>Geachte heer</w:t>
      </w:r>
    </w:p>
    <w:p w14:paraId="0CE453EE" w14:textId="2ACD7D85" w:rsidR="00F51D15" w:rsidRPr="00473EC5" w:rsidRDefault="00F51D15" w:rsidP="002F0E36">
      <w:pPr>
        <w:spacing w:before="240"/>
        <w:jc w:val="both"/>
        <w:rPr>
          <w:lang w:val="nl-BE"/>
        </w:rPr>
      </w:pPr>
      <w:r w:rsidRPr="00473EC5">
        <w:rPr>
          <w:lang w:val="nl-BE"/>
        </w:rPr>
        <w:t>Met deze circulaire maken wij u de vragenlijst over waarmee de Nationale Bank van België (hierna ‘de Bank’) gestandaardiseerde informatie wenst te bekomen over, enerzijds, de inherente risico’s met betrekking tot het witwassen van geld en de financiering van terrorisme (hierna W</w:t>
      </w:r>
      <w:r w:rsidR="0067153F" w:rsidRPr="00473EC5">
        <w:rPr>
          <w:lang w:val="nl-BE"/>
        </w:rPr>
        <w:t>G</w:t>
      </w:r>
      <w:r w:rsidRPr="00473EC5">
        <w:rPr>
          <w:lang w:val="nl-BE"/>
        </w:rPr>
        <w:t xml:space="preserve">/FT) die uw instelling bedreigen, en anderzijds, de kwaliteit van de risicobeheersende maatregelen die door uw instelling werden genomen. De Bank verwacht dat uw financiële instelling de ingevulde rapportering terug aan haar overmaakt in overeenstemming met de hierna volgende modaliteiten. </w:t>
      </w:r>
    </w:p>
    <w:p w14:paraId="0CE453F1" w14:textId="77777777" w:rsidR="00F51D15" w:rsidRPr="00473EC5" w:rsidRDefault="00F51D15" w:rsidP="002F0E36">
      <w:pPr>
        <w:pStyle w:val="ListParagraph"/>
        <w:numPr>
          <w:ilvl w:val="0"/>
          <w:numId w:val="2"/>
        </w:numPr>
        <w:spacing w:before="360"/>
        <w:ind w:left="714" w:hanging="357"/>
        <w:jc w:val="both"/>
        <w:rPr>
          <w:u w:val="single"/>
          <w:lang w:val="nl-BE"/>
        </w:rPr>
      </w:pPr>
      <w:r w:rsidRPr="00473EC5">
        <w:rPr>
          <w:u w:val="single"/>
          <w:lang w:val="nl-BE"/>
        </w:rPr>
        <w:t>Inleiding</w:t>
      </w:r>
    </w:p>
    <w:p w14:paraId="0CE453F3" w14:textId="7A82A364" w:rsidR="00882CE1" w:rsidRPr="00473EC5" w:rsidRDefault="00F51D15" w:rsidP="002F0E36">
      <w:pPr>
        <w:spacing w:before="240"/>
        <w:jc w:val="both"/>
        <w:rPr>
          <w:lang w:val="nl-BE"/>
        </w:rPr>
      </w:pPr>
      <w:r w:rsidRPr="00473EC5">
        <w:rPr>
          <w:lang w:val="nl-BE"/>
        </w:rPr>
        <w:t xml:space="preserve">De “internationale normen ter bestrijding van het witwassen van geld en de financiering van terrorisme en proliferatie” (ook wel de FATF-aanbevelingen genoemd), die in februari 2012 werden goedgekeurd, </w:t>
      </w:r>
      <w:r w:rsidR="00882CE1" w:rsidRPr="00473EC5">
        <w:rPr>
          <w:lang w:val="nl-BE"/>
        </w:rPr>
        <w:t>benadrukken in sterke mate dat de strijd tegen het witwassen van geld en de financiering van het terrorisme moet worden gevoerd op basis van een risicoge</w:t>
      </w:r>
      <w:r w:rsidR="00390136">
        <w:rPr>
          <w:lang w:val="nl-BE"/>
        </w:rPr>
        <w:t>o</w:t>
      </w:r>
      <w:r w:rsidR="00882CE1" w:rsidRPr="00473EC5">
        <w:rPr>
          <w:lang w:val="nl-BE"/>
        </w:rPr>
        <w:t>ri</w:t>
      </w:r>
      <w:r w:rsidR="00390136">
        <w:rPr>
          <w:lang w:val="nl-BE"/>
        </w:rPr>
        <w:t>ë</w:t>
      </w:r>
      <w:r w:rsidR="00882CE1" w:rsidRPr="00473EC5">
        <w:rPr>
          <w:lang w:val="nl-BE"/>
        </w:rPr>
        <w:t xml:space="preserve">nteerde benadering. Niet alleen de financiële instellingen zelf dienen dergelijke risicogeoriënteerde organisatie op het vlak van </w:t>
      </w:r>
      <w:r w:rsidR="0067153F" w:rsidRPr="00473EC5">
        <w:rPr>
          <w:lang w:val="nl-BE"/>
        </w:rPr>
        <w:t>WG</w:t>
      </w:r>
      <w:r w:rsidR="00882CE1" w:rsidRPr="00473EC5">
        <w:rPr>
          <w:lang w:val="nl-BE"/>
        </w:rPr>
        <w:t xml:space="preserve">/FT </w:t>
      </w:r>
      <w:r w:rsidR="00046B3B" w:rsidRPr="00473EC5">
        <w:rPr>
          <w:lang w:val="nl-BE"/>
        </w:rPr>
        <w:t>op te zetten</w:t>
      </w:r>
      <w:r w:rsidR="00882CE1" w:rsidRPr="00473EC5">
        <w:rPr>
          <w:lang w:val="nl-BE"/>
        </w:rPr>
        <w:t>, ook voor d</w:t>
      </w:r>
      <w:r w:rsidR="00046B3B" w:rsidRPr="00473EC5">
        <w:rPr>
          <w:lang w:val="nl-BE"/>
        </w:rPr>
        <w:t>e toezichthouders geldt dat zij</w:t>
      </w:r>
      <w:r w:rsidR="00882CE1" w:rsidRPr="00473EC5">
        <w:rPr>
          <w:lang w:val="nl-BE"/>
        </w:rPr>
        <w:t xml:space="preserve"> over een W</w:t>
      </w:r>
      <w:r w:rsidR="0067153F" w:rsidRPr="00473EC5">
        <w:rPr>
          <w:lang w:val="nl-BE"/>
        </w:rPr>
        <w:t>G</w:t>
      </w:r>
      <w:r w:rsidR="00882CE1" w:rsidRPr="00473EC5">
        <w:rPr>
          <w:lang w:val="nl-BE"/>
        </w:rPr>
        <w:t>/FT-toezichtsmodel dienen te beschikken dat hen toelaat hun toezichtsbevoegdheden uit te oefenen in functie van de risico’s aan dewelke de financiële instellingen die onder hun toezicht staan, zijn blootgesteld.</w:t>
      </w:r>
    </w:p>
    <w:p w14:paraId="0CE453F5" w14:textId="19D1D9FF" w:rsidR="00F51D15" w:rsidRPr="00473EC5" w:rsidRDefault="00F51D15" w:rsidP="002F0E36">
      <w:pPr>
        <w:spacing w:before="240"/>
        <w:jc w:val="both"/>
        <w:rPr>
          <w:lang w:val="nl-BE"/>
        </w:rPr>
      </w:pPr>
      <w:r w:rsidRPr="00473EC5">
        <w:rPr>
          <w:lang w:val="nl-BE"/>
        </w:rPr>
        <w:t xml:space="preserve">De verplichting </w:t>
      </w:r>
      <w:r w:rsidR="00882CE1" w:rsidRPr="00473EC5">
        <w:rPr>
          <w:lang w:val="nl-BE"/>
        </w:rPr>
        <w:t xml:space="preserve">voor toezichthouders om het toezicht op een risicogeoriënteerde wijze te organiseren is uitdrukkelijk </w:t>
      </w:r>
      <w:r w:rsidR="00175408" w:rsidRPr="00473EC5">
        <w:rPr>
          <w:lang w:val="nl-BE"/>
        </w:rPr>
        <w:t>opgenomen</w:t>
      </w:r>
      <w:r w:rsidR="00882CE1" w:rsidRPr="00473EC5">
        <w:rPr>
          <w:lang w:val="nl-BE"/>
        </w:rPr>
        <w:t xml:space="preserve"> in de Europese W</w:t>
      </w:r>
      <w:r w:rsidR="0067153F" w:rsidRPr="00473EC5">
        <w:rPr>
          <w:lang w:val="nl-BE"/>
        </w:rPr>
        <w:t>G</w:t>
      </w:r>
      <w:r w:rsidR="00882CE1" w:rsidRPr="00473EC5">
        <w:rPr>
          <w:lang w:val="nl-BE"/>
        </w:rPr>
        <w:t>/FT-regelgeving</w:t>
      </w:r>
      <w:r w:rsidR="00882CE1" w:rsidRPr="00473EC5">
        <w:rPr>
          <w:rStyle w:val="FootnoteReference"/>
          <w:lang w:val="nl-BE"/>
        </w:rPr>
        <w:footnoteReference w:id="1"/>
      </w:r>
      <w:r w:rsidR="00882CE1" w:rsidRPr="00473EC5">
        <w:rPr>
          <w:lang w:val="nl-BE"/>
        </w:rPr>
        <w:t xml:space="preserve"> en vinden we ook terug in artikel 87 van de wet van 18 september 2017 tot voorkoming van het witwassen van geld en de financiering van terrorisme en tot beperking van het gebruik van contanten</w:t>
      </w:r>
      <w:r w:rsidR="006126C7" w:rsidRPr="00473EC5">
        <w:rPr>
          <w:lang w:val="nl-BE"/>
        </w:rPr>
        <w:t>.</w:t>
      </w:r>
    </w:p>
    <w:p w14:paraId="0CE453F7" w14:textId="7D42E868" w:rsidR="00F51D15" w:rsidRPr="00473EC5" w:rsidRDefault="00245D5C" w:rsidP="002F0E36">
      <w:pPr>
        <w:spacing w:before="240"/>
        <w:jc w:val="both"/>
        <w:rPr>
          <w:lang w:val="nl-BE"/>
        </w:rPr>
      </w:pPr>
      <w:r w:rsidRPr="00473EC5">
        <w:rPr>
          <w:lang w:val="nl-BE"/>
        </w:rPr>
        <w:t>Daarnaast hebben de</w:t>
      </w:r>
      <w:r w:rsidR="00F51D15" w:rsidRPr="00473EC5">
        <w:rPr>
          <w:lang w:val="nl-BE"/>
        </w:rPr>
        <w:t xml:space="preserve"> gezamenlijke Europese Toezichthouders</w:t>
      </w:r>
      <w:r w:rsidR="00F51D15" w:rsidRPr="00473EC5">
        <w:rPr>
          <w:rStyle w:val="FootnoteReference"/>
          <w:lang w:val="nl-BE"/>
        </w:rPr>
        <w:footnoteReference w:id="2"/>
      </w:r>
      <w:r w:rsidR="00F51D15" w:rsidRPr="00473EC5">
        <w:rPr>
          <w:lang w:val="nl-BE"/>
        </w:rPr>
        <w:t xml:space="preserve"> (hierna ‘de ESA’s’ genoemd) op 16</w:t>
      </w:r>
      <w:r w:rsidR="00DC3E2F" w:rsidRPr="00473EC5">
        <w:rPr>
          <w:lang w:val="nl-BE"/>
        </w:rPr>
        <w:t> </w:t>
      </w:r>
      <w:r w:rsidR="00F51D15" w:rsidRPr="00473EC5">
        <w:rPr>
          <w:lang w:val="nl-BE"/>
        </w:rPr>
        <w:t>november 2016 richtsnoeren gepubliceerd met betrekking tot een op het risicogeoriënteerd W</w:t>
      </w:r>
      <w:r w:rsidR="0067153F" w:rsidRPr="00473EC5">
        <w:rPr>
          <w:lang w:val="nl-BE"/>
        </w:rPr>
        <w:t>G</w:t>
      </w:r>
      <w:r w:rsidR="00F51D15" w:rsidRPr="00473EC5">
        <w:rPr>
          <w:lang w:val="nl-BE"/>
        </w:rPr>
        <w:t>/FT-toezicht op financiële instellingen. Deze richtsnoeren bevatten concrete aanbevelingen voor de uitbouw van een op het risicogeoriënteerd toezichtsmodel door de nationale W</w:t>
      </w:r>
      <w:r w:rsidR="0067153F" w:rsidRPr="00473EC5">
        <w:rPr>
          <w:lang w:val="nl-BE"/>
        </w:rPr>
        <w:t>G</w:t>
      </w:r>
      <w:r w:rsidR="00F51D15" w:rsidRPr="00473EC5">
        <w:rPr>
          <w:lang w:val="nl-BE"/>
        </w:rPr>
        <w:t>/FT-toezichthouders</w:t>
      </w:r>
      <w:r w:rsidRPr="00473EC5">
        <w:rPr>
          <w:lang w:val="nl-BE"/>
        </w:rPr>
        <w:t xml:space="preserve"> van financiële instelling</w:t>
      </w:r>
      <w:r w:rsidR="00046B3B" w:rsidRPr="00473EC5">
        <w:rPr>
          <w:lang w:val="nl-BE"/>
        </w:rPr>
        <w:t>en</w:t>
      </w:r>
      <w:r w:rsidR="00F51D15" w:rsidRPr="00473EC5">
        <w:rPr>
          <w:lang w:val="nl-BE"/>
        </w:rPr>
        <w:t>. Deze aanbevelingen hebben meer bepaald betrekking op:</w:t>
      </w:r>
    </w:p>
    <w:p w14:paraId="0CE453F9" w14:textId="4A156C86" w:rsidR="00F51D15" w:rsidRPr="00473EC5" w:rsidRDefault="00F51D15" w:rsidP="002F0E36">
      <w:pPr>
        <w:pStyle w:val="ListParagraph"/>
        <w:numPr>
          <w:ilvl w:val="0"/>
          <w:numId w:val="3"/>
        </w:numPr>
        <w:spacing w:before="120"/>
        <w:ind w:left="1077" w:hanging="357"/>
        <w:contextualSpacing w:val="0"/>
        <w:jc w:val="both"/>
        <w:rPr>
          <w:lang w:val="nl-BE"/>
        </w:rPr>
      </w:pPr>
      <w:r w:rsidRPr="00473EC5">
        <w:rPr>
          <w:lang w:val="nl-BE"/>
        </w:rPr>
        <w:t>Stap 1: de identificatie van de verschillende W</w:t>
      </w:r>
      <w:r w:rsidR="0067153F" w:rsidRPr="00473EC5">
        <w:rPr>
          <w:lang w:val="nl-BE"/>
        </w:rPr>
        <w:t>G</w:t>
      </w:r>
      <w:r w:rsidRPr="00473EC5">
        <w:rPr>
          <w:lang w:val="nl-BE"/>
        </w:rPr>
        <w:t>/FT-risicofactoren;</w:t>
      </w:r>
    </w:p>
    <w:p w14:paraId="0CE453FA" w14:textId="77777777" w:rsidR="00F51D15" w:rsidRPr="00473EC5" w:rsidRDefault="00F51D15" w:rsidP="002F0E36">
      <w:pPr>
        <w:pStyle w:val="ListParagraph"/>
        <w:numPr>
          <w:ilvl w:val="0"/>
          <w:numId w:val="3"/>
        </w:numPr>
        <w:spacing w:before="120"/>
        <w:ind w:left="1077" w:hanging="357"/>
        <w:contextualSpacing w:val="0"/>
        <w:jc w:val="both"/>
        <w:rPr>
          <w:lang w:val="nl-BE"/>
        </w:rPr>
      </w:pPr>
      <w:r w:rsidRPr="00473EC5">
        <w:rPr>
          <w:lang w:val="nl-BE"/>
        </w:rPr>
        <w:t>Stap 2: het uitvoeren van een risicobeoordeling voor elk van de financiële instellingen onder toezicht;</w:t>
      </w:r>
    </w:p>
    <w:p w14:paraId="0CE453FB" w14:textId="77777777" w:rsidR="00F51D15" w:rsidRPr="00473EC5" w:rsidRDefault="00F51D15" w:rsidP="002F0E36">
      <w:pPr>
        <w:pStyle w:val="ListParagraph"/>
        <w:numPr>
          <w:ilvl w:val="0"/>
          <w:numId w:val="3"/>
        </w:numPr>
        <w:spacing w:before="120"/>
        <w:ind w:left="1077" w:hanging="357"/>
        <w:contextualSpacing w:val="0"/>
        <w:jc w:val="both"/>
        <w:rPr>
          <w:lang w:val="nl-BE"/>
        </w:rPr>
      </w:pPr>
      <w:r w:rsidRPr="00473EC5">
        <w:rPr>
          <w:lang w:val="nl-BE"/>
        </w:rPr>
        <w:t>Stap 3: het uitoefenen van het toezicht zelf; en</w:t>
      </w:r>
    </w:p>
    <w:p w14:paraId="0CE453FC" w14:textId="77777777" w:rsidR="00F51D15" w:rsidRPr="00473EC5" w:rsidRDefault="00F51D15" w:rsidP="002F0E36">
      <w:pPr>
        <w:pStyle w:val="ListParagraph"/>
        <w:numPr>
          <w:ilvl w:val="0"/>
          <w:numId w:val="3"/>
        </w:numPr>
        <w:spacing w:before="120"/>
        <w:ind w:left="1077" w:hanging="357"/>
        <w:contextualSpacing w:val="0"/>
        <w:jc w:val="both"/>
        <w:rPr>
          <w:lang w:val="nl-BE"/>
        </w:rPr>
      </w:pPr>
      <w:r w:rsidRPr="00473EC5">
        <w:rPr>
          <w:lang w:val="nl-BE"/>
        </w:rPr>
        <w:t xml:space="preserve">Stap 4: het evalueren, bijsturen en opvolgen van het risicogeoriënteerd toezichtsmodel. </w:t>
      </w:r>
    </w:p>
    <w:p w14:paraId="0CE453FE" w14:textId="674CB541" w:rsidR="00F51D15" w:rsidRPr="00473EC5" w:rsidRDefault="00F51D15" w:rsidP="002F0E36">
      <w:pPr>
        <w:spacing w:before="240"/>
        <w:jc w:val="both"/>
        <w:rPr>
          <w:lang w:val="nl-BE"/>
        </w:rPr>
      </w:pPr>
      <w:r w:rsidRPr="00473EC5">
        <w:rPr>
          <w:lang w:val="nl-BE"/>
        </w:rPr>
        <w:t>Teneinde de Bank toe te laten om een risicobeoordeling uit te voeren voor elk van de verschillende financiële instellingen die onder haar toezicht staan (stap 2 van de ESA-richtsnoeren), zodat zij op basis hiervan de prioriteiten voor het toezicht kan bepalen, moet zij kunnen beschikken over, enerzijds, informatie die betrekking heeft op de inherente W</w:t>
      </w:r>
      <w:r w:rsidR="0067153F" w:rsidRPr="00473EC5">
        <w:rPr>
          <w:lang w:val="nl-BE"/>
        </w:rPr>
        <w:t>G</w:t>
      </w:r>
      <w:r w:rsidRPr="00473EC5">
        <w:rPr>
          <w:lang w:val="nl-BE"/>
        </w:rPr>
        <w:t>/FT-risico’s aan dewelke de instellingen zijn blootgesteld, en anderzijds, over informatie betreffende de kwaliteit van de door de financiële instellingen genomen risicobeheersende maatregelen. Op basis van beide beoordelingen kan vervolgens het residueel W</w:t>
      </w:r>
      <w:r w:rsidR="0067153F" w:rsidRPr="00473EC5">
        <w:rPr>
          <w:lang w:val="nl-BE"/>
        </w:rPr>
        <w:t>G</w:t>
      </w:r>
      <w:r w:rsidRPr="00473EC5">
        <w:rPr>
          <w:lang w:val="nl-BE"/>
        </w:rPr>
        <w:t xml:space="preserve">/FT-risico voor </w:t>
      </w:r>
      <w:r w:rsidR="00245D5C" w:rsidRPr="00473EC5">
        <w:rPr>
          <w:lang w:val="nl-BE"/>
        </w:rPr>
        <w:t>elke instelling worden bepaald</w:t>
      </w:r>
      <w:r w:rsidR="00214F45" w:rsidRPr="00473EC5">
        <w:rPr>
          <w:lang w:val="nl-BE"/>
        </w:rPr>
        <w:t xml:space="preserve"> evenals de toezichtsprioriteiten.</w:t>
      </w:r>
    </w:p>
    <w:p w14:paraId="0CE45400" w14:textId="77777777" w:rsidR="00F51D15" w:rsidRPr="00473EC5" w:rsidRDefault="00214F45" w:rsidP="002F0E36">
      <w:pPr>
        <w:spacing w:before="240"/>
        <w:jc w:val="both"/>
        <w:rPr>
          <w:lang w:val="nl-BE"/>
        </w:rPr>
      </w:pPr>
      <w:r w:rsidRPr="00473EC5">
        <w:rPr>
          <w:lang w:val="nl-BE"/>
        </w:rPr>
        <w:t xml:space="preserve">De periodieke vragenlijst die het voorwerp is van onderhavige circulaire heeft dan ook als doelstelling </w:t>
      </w:r>
      <w:r w:rsidR="00046B3B" w:rsidRPr="00473EC5">
        <w:rPr>
          <w:lang w:val="nl-BE"/>
        </w:rPr>
        <w:t>de hierboven bedoelde informatie</w:t>
      </w:r>
      <w:r w:rsidRPr="00473EC5">
        <w:rPr>
          <w:lang w:val="nl-BE"/>
        </w:rPr>
        <w:t xml:space="preserve"> te verzamelen </w:t>
      </w:r>
      <w:r w:rsidR="00046B3B" w:rsidRPr="00473EC5">
        <w:rPr>
          <w:lang w:val="nl-BE"/>
        </w:rPr>
        <w:t>bij elk van de onder toezicht staande instelling</w:t>
      </w:r>
      <w:r w:rsidR="00B92B0D" w:rsidRPr="00473EC5">
        <w:rPr>
          <w:lang w:val="nl-BE"/>
        </w:rPr>
        <w:t>en</w:t>
      </w:r>
      <w:r w:rsidR="00046B3B" w:rsidRPr="00473EC5">
        <w:rPr>
          <w:lang w:val="nl-BE"/>
        </w:rPr>
        <w:t xml:space="preserve">, zodat de Bank </w:t>
      </w:r>
      <w:r w:rsidRPr="00473EC5">
        <w:rPr>
          <w:lang w:val="nl-BE"/>
        </w:rPr>
        <w:t xml:space="preserve">op basis van deze informatie haar toezichtsprioriteiten </w:t>
      </w:r>
      <w:r w:rsidR="00046B3B" w:rsidRPr="00473EC5">
        <w:rPr>
          <w:lang w:val="nl-BE"/>
        </w:rPr>
        <w:t>kan bepalen</w:t>
      </w:r>
      <w:r w:rsidRPr="00473EC5">
        <w:rPr>
          <w:lang w:val="nl-BE"/>
        </w:rPr>
        <w:t xml:space="preserve">. </w:t>
      </w:r>
    </w:p>
    <w:p w14:paraId="0CE45401" w14:textId="77777777" w:rsidR="00F51D15" w:rsidRPr="00473EC5" w:rsidRDefault="00F51D15" w:rsidP="00046B3B">
      <w:pPr>
        <w:jc w:val="both"/>
        <w:rPr>
          <w:lang w:val="nl-BE"/>
        </w:rPr>
      </w:pPr>
    </w:p>
    <w:p w14:paraId="0CE45402" w14:textId="17086416" w:rsidR="00F51D15" w:rsidRPr="00473EC5" w:rsidRDefault="00F51D15" w:rsidP="00046B3B">
      <w:pPr>
        <w:jc w:val="both"/>
        <w:rPr>
          <w:lang w:val="nl-BE"/>
        </w:rPr>
      </w:pPr>
      <w:r w:rsidRPr="00473EC5">
        <w:rPr>
          <w:lang w:val="nl-BE"/>
        </w:rPr>
        <w:lastRenderedPageBreak/>
        <w:t xml:space="preserve">De Bank merkt in deze nog op dat de informatie die zij </w:t>
      </w:r>
      <w:r w:rsidR="000F7C7C" w:rsidRPr="00473EC5">
        <w:rPr>
          <w:lang w:val="nl-BE"/>
        </w:rPr>
        <w:t xml:space="preserve">van de instellingen </w:t>
      </w:r>
      <w:r w:rsidR="00DD684F" w:rsidRPr="00473EC5">
        <w:rPr>
          <w:lang w:val="nl-BE"/>
        </w:rPr>
        <w:t xml:space="preserve">ontvangt </w:t>
      </w:r>
      <w:r w:rsidR="000F7C7C" w:rsidRPr="00473EC5">
        <w:rPr>
          <w:lang w:val="nl-BE"/>
        </w:rPr>
        <w:t>via de periodieke vragenlijsten over de WG/FT-risico’s</w:t>
      </w:r>
      <w:r w:rsidRPr="00473EC5">
        <w:rPr>
          <w:lang w:val="nl-BE"/>
        </w:rPr>
        <w:t>, in de praktijk verder wordt aangevuld met en wordt geëvalueerd tegen het licht van andere informatiebronnen waar de Bank toegang tot heeft of kan krijgen, zoals o.a. de vaststellingen gedaan naar aanleiding van inspecties ter plaatse, de contacten tussen de toezichthouder en de financiële instellingen, de verslagen van en de contacten met de erkende bedrijfsrevisoren, de informatie die wordt uitgewisseld met de CFI, de prudentiële toezichthouders en de W</w:t>
      </w:r>
      <w:r w:rsidR="0067153F" w:rsidRPr="00473EC5">
        <w:rPr>
          <w:lang w:val="nl-BE"/>
        </w:rPr>
        <w:t>G</w:t>
      </w:r>
      <w:r w:rsidRPr="00473EC5">
        <w:rPr>
          <w:lang w:val="nl-BE"/>
        </w:rPr>
        <w:t>/FT-toezichthouders uit de andere lidstaten en derde landen, de informatie overgemaakt door de gerechtelijke autoriteiten, enz.</w:t>
      </w:r>
    </w:p>
    <w:p w14:paraId="0CE45405" w14:textId="34A003D8" w:rsidR="00F51D15" w:rsidRPr="00473EC5" w:rsidRDefault="00AF50CA" w:rsidP="002F0E36">
      <w:pPr>
        <w:pStyle w:val="ListParagraph"/>
        <w:numPr>
          <w:ilvl w:val="0"/>
          <w:numId w:val="2"/>
        </w:numPr>
        <w:spacing w:before="360"/>
        <w:ind w:left="714" w:hanging="357"/>
        <w:jc w:val="both"/>
        <w:rPr>
          <w:u w:val="single"/>
          <w:lang w:val="nl-BE"/>
        </w:rPr>
      </w:pPr>
      <w:r w:rsidRPr="00473EC5">
        <w:rPr>
          <w:u w:val="single"/>
          <w:lang w:val="nl-BE"/>
        </w:rPr>
        <w:t>Evolutie van de periodieke vragenlijst</w:t>
      </w:r>
    </w:p>
    <w:p w14:paraId="0CE45407" w14:textId="2935CFA7" w:rsidR="00F51D15" w:rsidRPr="00473EC5" w:rsidRDefault="00AF50CA" w:rsidP="002F0E36">
      <w:pPr>
        <w:spacing w:before="240"/>
        <w:jc w:val="both"/>
        <w:rPr>
          <w:lang w:val="nl-BE"/>
        </w:rPr>
      </w:pPr>
      <w:r w:rsidRPr="00473EC5">
        <w:rPr>
          <w:lang w:val="nl-BE"/>
        </w:rPr>
        <w:t>In 2013 heeft de Bank de financiële instellingen voor het eerst een W</w:t>
      </w:r>
      <w:r w:rsidR="0067153F" w:rsidRPr="00473EC5">
        <w:rPr>
          <w:lang w:val="nl-BE"/>
        </w:rPr>
        <w:t>G</w:t>
      </w:r>
      <w:r w:rsidRPr="00473EC5">
        <w:rPr>
          <w:lang w:val="nl-BE"/>
        </w:rPr>
        <w:t>/FT-vragenlijst overgemaakt. Met deze vragenlijst werd voornamelijk een controle van de conformiteit van de interne W</w:t>
      </w:r>
      <w:r w:rsidR="0067153F" w:rsidRPr="00473EC5">
        <w:rPr>
          <w:lang w:val="nl-BE"/>
        </w:rPr>
        <w:t>G</w:t>
      </w:r>
      <w:r w:rsidRPr="00473EC5">
        <w:rPr>
          <w:lang w:val="nl-BE"/>
        </w:rPr>
        <w:t>/FT-procedures van de financiële instelling met de Belgische W</w:t>
      </w:r>
      <w:r w:rsidR="0067153F" w:rsidRPr="00473EC5">
        <w:rPr>
          <w:lang w:val="nl-BE"/>
        </w:rPr>
        <w:t>G</w:t>
      </w:r>
      <w:r w:rsidRPr="00473EC5">
        <w:rPr>
          <w:lang w:val="nl-BE"/>
        </w:rPr>
        <w:t>/FT-regelgeving nagestreefd</w:t>
      </w:r>
      <w:r w:rsidR="00997EBD" w:rsidRPr="00473EC5">
        <w:rPr>
          <w:lang w:val="nl-BE"/>
        </w:rPr>
        <w:t>, zodat de focus in deze rapportering in hoofdzaak werd gelegd op de kwaliteit van de door de financiële instellingen genomen risicobeheersende maatregelen</w:t>
      </w:r>
      <w:r w:rsidRPr="00473EC5">
        <w:rPr>
          <w:lang w:val="nl-BE"/>
        </w:rPr>
        <w:t>. In de daaropvolgende jaren werd deze periodieke vragenlijst steeds uitgebreid met nieuwe vragen en/of hoofdstukken</w:t>
      </w:r>
      <w:r w:rsidR="00997EBD" w:rsidRPr="00473EC5">
        <w:rPr>
          <w:lang w:val="nl-BE"/>
        </w:rPr>
        <w:t>. In 2017 werd door de Bank voor de eerste keer ook informatie verzameld over de inherente W</w:t>
      </w:r>
      <w:r w:rsidR="0067153F" w:rsidRPr="00473EC5">
        <w:rPr>
          <w:lang w:val="nl-BE"/>
        </w:rPr>
        <w:t>G</w:t>
      </w:r>
      <w:r w:rsidR="00997EBD" w:rsidRPr="00473EC5">
        <w:rPr>
          <w:lang w:val="nl-BE"/>
        </w:rPr>
        <w:t>/FT-risico’s die de instellingen onder toezicht bedreigen.</w:t>
      </w:r>
      <w:r w:rsidR="00B86C4B" w:rsidRPr="00473EC5">
        <w:rPr>
          <w:lang w:val="nl-BE"/>
        </w:rPr>
        <w:t xml:space="preserve"> </w:t>
      </w:r>
    </w:p>
    <w:p w14:paraId="4043AC6D" w14:textId="4FB0032C" w:rsidR="00BE6548" w:rsidRPr="00473EC5" w:rsidRDefault="00007B1F" w:rsidP="002F0E36">
      <w:pPr>
        <w:spacing w:before="240"/>
        <w:jc w:val="both"/>
        <w:rPr>
          <w:lang w:val="nl-BE"/>
        </w:rPr>
      </w:pPr>
      <w:r w:rsidRPr="00473EC5">
        <w:rPr>
          <w:lang w:val="nl-BE"/>
        </w:rPr>
        <w:t xml:space="preserve">Sinds </w:t>
      </w:r>
      <w:r w:rsidR="00997EBD" w:rsidRPr="00473EC5">
        <w:rPr>
          <w:lang w:val="nl-BE"/>
        </w:rPr>
        <w:t xml:space="preserve">2018 </w:t>
      </w:r>
      <w:r w:rsidR="001A0723" w:rsidRPr="00473EC5">
        <w:rPr>
          <w:lang w:val="nl-BE"/>
        </w:rPr>
        <w:t xml:space="preserve">worden de vragen </w:t>
      </w:r>
      <w:r w:rsidR="00B86C4B" w:rsidRPr="00473EC5">
        <w:rPr>
          <w:lang w:val="nl-BE"/>
        </w:rPr>
        <w:t>over de inherente W</w:t>
      </w:r>
      <w:r w:rsidR="0067153F" w:rsidRPr="00473EC5">
        <w:rPr>
          <w:lang w:val="nl-BE"/>
        </w:rPr>
        <w:t>G</w:t>
      </w:r>
      <w:r w:rsidR="00B86C4B" w:rsidRPr="00473EC5">
        <w:rPr>
          <w:lang w:val="nl-BE"/>
        </w:rPr>
        <w:t xml:space="preserve">/FT-risico’s </w:t>
      </w:r>
      <w:r w:rsidR="001A0723" w:rsidRPr="00473EC5">
        <w:rPr>
          <w:lang w:val="nl-BE"/>
        </w:rPr>
        <w:t>en de conformiteit, die ook grondig werden gewijzigd,</w:t>
      </w:r>
      <w:r w:rsidR="00B86C4B" w:rsidRPr="00473EC5">
        <w:rPr>
          <w:lang w:val="nl-BE"/>
        </w:rPr>
        <w:t xml:space="preserve"> </w:t>
      </w:r>
      <w:r w:rsidR="001A0723" w:rsidRPr="00473EC5">
        <w:rPr>
          <w:lang w:val="nl-BE"/>
        </w:rPr>
        <w:t xml:space="preserve">gebundeld </w:t>
      </w:r>
      <w:r w:rsidR="00B86C4B" w:rsidRPr="00473EC5">
        <w:rPr>
          <w:lang w:val="nl-BE"/>
        </w:rPr>
        <w:t xml:space="preserve">in </w:t>
      </w:r>
      <w:r w:rsidR="00BE6548" w:rsidRPr="00473EC5">
        <w:rPr>
          <w:lang w:val="nl-BE"/>
        </w:rPr>
        <w:t>één enkele</w:t>
      </w:r>
      <w:r w:rsidR="00B86C4B" w:rsidRPr="00473EC5">
        <w:rPr>
          <w:lang w:val="nl-BE"/>
        </w:rPr>
        <w:t xml:space="preserve"> vragenlijst</w:t>
      </w:r>
      <w:r w:rsidR="00BE6548" w:rsidRPr="00473EC5">
        <w:rPr>
          <w:rStyle w:val="FootnoteReference"/>
          <w:lang w:val="nl-BE"/>
        </w:rPr>
        <w:footnoteReference w:id="3"/>
      </w:r>
      <w:r w:rsidR="00B86C4B" w:rsidRPr="00473EC5">
        <w:rPr>
          <w:lang w:val="nl-BE"/>
        </w:rPr>
        <w:t xml:space="preserve">. </w:t>
      </w:r>
    </w:p>
    <w:p w14:paraId="4BDCD5A3" w14:textId="252BC397" w:rsidR="00BE6548" w:rsidRPr="00473EC5" w:rsidRDefault="00130D51" w:rsidP="00046B3B">
      <w:pPr>
        <w:jc w:val="both"/>
        <w:rPr>
          <w:lang w:val="nl-BE"/>
        </w:rPr>
      </w:pPr>
      <w:r w:rsidRPr="00473EC5">
        <w:rPr>
          <w:lang w:val="nl-BE"/>
        </w:rPr>
        <w:t>Wat betreft</w:t>
      </w:r>
      <w:r w:rsidR="00437154" w:rsidRPr="00473EC5">
        <w:rPr>
          <w:lang w:val="nl-BE"/>
        </w:rPr>
        <w:t xml:space="preserve"> d</w:t>
      </w:r>
      <w:r w:rsidR="00BE6548" w:rsidRPr="00473EC5">
        <w:rPr>
          <w:lang w:val="nl-BE"/>
        </w:rPr>
        <w:t>e periodieke WG/FT-vragenlijst van 2019</w:t>
      </w:r>
      <w:r w:rsidR="00437154" w:rsidRPr="00473EC5">
        <w:rPr>
          <w:lang w:val="nl-BE"/>
        </w:rPr>
        <w:t xml:space="preserve"> zijn er geen nieuwe ontwikkelingen ten opzichte van de vorige vragenlijst</w:t>
      </w:r>
      <w:r w:rsidRPr="00473EC5">
        <w:rPr>
          <w:lang w:val="nl-BE"/>
        </w:rPr>
        <w:t>;</w:t>
      </w:r>
      <w:r w:rsidR="00BE6548" w:rsidRPr="00473EC5">
        <w:rPr>
          <w:lang w:val="nl-BE"/>
        </w:rPr>
        <w:t xml:space="preserve"> </w:t>
      </w:r>
      <w:r w:rsidRPr="00473EC5">
        <w:rPr>
          <w:lang w:val="nl-BE"/>
        </w:rPr>
        <w:t>e</w:t>
      </w:r>
      <w:r w:rsidR="00BE6548" w:rsidRPr="00473EC5">
        <w:rPr>
          <w:lang w:val="nl-BE"/>
        </w:rPr>
        <w:t xml:space="preserve">r werden slechts enkele verduidelijkingen </w:t>
      </w:r>
      <w:r w:rsidRPr="00473EC5">
        <w:rPr>
          <w:lang w:val="nl-BE"/>
        </w:rPr>
        <w:t>en</w:t>
      </w:r>
      <w:r w:rsidR="00BE6548" w:rsidRPr="00473EC5">
        <w:rPr>
          <w:lang w:val="nl-BE"/>
        </w:rPr>
        <w:t xml:space="preserve"> </w:t>
      </w:r>
      <w:r w:rsidR="00437154" w:rsidRPr="00473EC5">
        <w:rPr>
          <w:lang w:val="nl-BE"/>
        </w:rPr>
        <w:t xml:space="preserve">gerichte </w:t>
      </w:r>
      <w:r w:rsidR="00BE6548" w:rsidRPr="00473EC5">
        <w:rPr>
          <w:lang w:val="nl-BE"/>
        </w:rPr>
        <w:t>aanpassingen aangebracht. Zoals aangekondigd wil de Bank in de mate van het mogelijke streven naar een zekere stabiliteit van de vragenlijsten.</w:t>
      </w:r>
    </w:p>
    <w:p w14:paraId="0CE45409" w14:textId="71FC9F0F" w:rsidR="00997EBD" w:rsidRPr="00473EC5" w:rsidRDefault="00B86C4B" w:rsidP="002F0E36">
      <w:pPr>
        <w:spacing w:before="240"/>
        <w:jc w:val="both"/>
        <w:rPr>
          <w:lang w:val="nl-BE"/>
        </w:rPr>
      </w:pPr>
      <w:r w:rsidRPr="00473EC5">
        <w:rPr>
          <w:lang w:val="nl-BE"/>
        </w:rPr>
        <w:t xml:space="preserve">De rapporteringsperiode </w:t>
      </w:r>
      <w:r w:rsidR="00FE2150" w:rsidRPr="00473EC5">
        <w:rPr>
          <w:lang w:val="nl-BE"/>
        </w:rPr>
        <w:t>verandert</w:t>
      </w:r>
      <w:r w:rsidRPr="00473EC5">
        <w:rPr>
          <w:lang w:val="nl-BE"/>
        </w:rPr>
        <w:t xml:space="preserve"> niet; de door de instellingen over te maken informatie dient, zoals altijd het geval is geweest, betrekking te hebben op het voorgaande kalenderjaar en de stand van de interne procedures per 31 december van het voorgaande kalenderjaar.</w:t>
      </w:r>
    </w:p>
    <w:p w14:paraId="0CE4540C" w14:textId="77777777" w:rsidR="00F51D15" w:rsidRPr="00473EC5" w:rsidRDefault="00B86C4B" w:rsidP="002F0E36">
      <w:pPr>
        <w:pStyle w:val="ListParagraph"/>
        <w:numPr>
          <w:ilvl w:val="0"/>
          <w:numId w:val="2"/>
        </w:numPr>
        <w:spacing w:before="360"/>
        <w:ind w:left="714" w:hanging="357"/>
        <w:jc w:val="both"/>
        <w:rPr>
          <w:u w:val="single"/>
          <w:lang w:val="nl-BE"/>
        </w:rPr>
      </w:pPr>
      <w:r w:rsidRPr="00473EC5">
        <w:rPr>
          <w:u w:val="single"/>
          <w:lang w:val="nl-BE"/>
        </w:rPr>
        <w:t>Indiening van de antwoorden op de periodieke vragenlijst via OneGate</w:t>
      </w:r>
    </w:p>
    <w:p w14:paraId="0CE4540E" w14:textId="77777777" w:rsidR="00C25EEC" w:rsidRPr="00473EC5" w:rsidRDefault="00B86C4B" w:rsidP="002F0E36">
      <w:pPr>
        <w:spacing w:before="240"/>
        <w:jc w:val="both"/>
        <w:rPr>
          <w:lang w:val="nl-BE"/>
        </w:rPr>
      </w:pPr>
      <w:r w:rsidRPr="00473EC5">
        <w:rPr>
          <w:lang w:val="nl-BE"/>
        </w:rPr>
        <w:t>De financiële instellingen dienen hun antwoorden op de periodieke vragenlijst in te dienen via OneGate</w:t>
      </w:r>
      <w:r w:rsidR="00C25EEC" w:rsidRPr="00473EC5">
        <w:rPr>
          <w:lang w:val="nl-BE"/>
        </w:rPr>
        <w:t xml:space="preserve">, waar de periodieke vragenlijst in de vorm van een elektronisch formulier </w:t>
      </w:r>
      <w:r w:rsidR="00046B3B" w:rsidRPr="00473EC5">
        <w:rPr>
          <w:lang w:val="nl-BE"/>
        </w:rPr>
        <w:t>ter beschikking zal worden gesteld</w:t>
      </w:r>
      <w:r w:rsidR="00C25EEC" w:rsidRPr="00473EC5">
        <w:rPr>
          <w:lang w:val="nl-BE"/>
        </w:rPr>
        <w:t>. De Bank ontvangt na het afsluiten en verzenden van het elektronisch formulier automatisch de door uw instelling aangeleverde informatie.</w:t>
      </w:r>
    </w:p>
    <w:p w14:paraId="0CE45411" w14:textId="205ED0D6" w:rsidR="00BA1558" w:rsidRPr="00473EC5" w:rsidRDefault="00C25EEC" w:rsidP="00DC3E2F">
      <w:pPr>
        <w:spacing w:before="240"/>
        <w:jc w:val="both"/>
        <w:rPr>
          <w:lang w:val="nl-BE"/>
        </w:rPr>
      </w:pPr>
      <w:r w:rsidRPr="00473EC5">
        <w:rPr>
          <w:lang w:val="nl-BE"/>
        </w:rPr>
        <w:t>Om de veiligheid van de door uw instelling aangeleverde informatie te garanderen</w:t>
      </w:r>
      <w:r w:rsidR="00046B3B" w:rsidRPr="00473EC5">
        <w:rPr>
          <w:lang w:val="nl-BE"/>
        </w:rPr>
        <w:t>,</w:t>
      </w:r>
      <w:r w:rsidRPr="00473EC5">
        <w:rPr>
          <w:lang w:val="nl-BE"/>
        </w:rPr>
        <w:t xml:space="preserve"> dient uw instelling te beschikken over een elektronisch certificaat waarmee u toegang kunt krijgen tot de OneGate-applicatie. Deze certificaten kunnen worden bekomen bij verschillende externe dienstverleners (m.n. Globalsign, Isabel en/of Quo Vadis). </w:t>
      </w:r>
      <w:r w:rsidR="00D930B6" w:rsidRPr="00473EC5">
        <w:rPr>
          <w:lang w:val="nl-BE"/>
        </w:rPr>
        <w:t>Instellingen die niet beschikken over een Belgisch KBO-nummer kunnen bij wijze van uitzondering een vrijstelling van het gebruik van een elektronisch certificaat aanvragen via het e</w:t>
      </w:r>
      <w:r w:rsidR="00DC3E2F" w:rsidRPr="00473EC5">
        <w:rPr>
          <w:lang w:val="nl-BE"/>
        </w:rPr>
        <w:noBreakHyphen/>
      </w:r>
      <w:r w:rsidR="00D930B6" w:rsidRPr="00473EC5">
        <w:rPr>
          <w:lang w:val="nl-BE"/>
        </w:rPr>
        <w:t xml:space="preserve">mailadres </w:t>
      </w:r>
      <w:hyperlink r:id="rId12" w:history="1">
        <w:r w:rsidR="00D930B6" w:rsidRPr="00473EC5">
          <w:rPr>
            <w:rStyle w:val="Hyperlink"/>
            <w:lang w:val="nl-BE"/>
          </w:rPr>
          <w:t>supervision.ta.aml@nbb.be</w:t>
        </w:r>
      </w:hyperlink>
      <w:r w:rsidR="00D930B6" w:rsidRPr="00473EC5">
        <w:rPr>
          <w:lang w:val="nl-BE"/>
        </w:rPr>
        <w:t>. Indien dergelijke vrijstelling wordt toegekend, wordt aan de betrokken instelling een login en paswoord toegekend waarmee zij toegang k</w:t>
      </w:r>
      <w:r w:rsidR="00B92B0D" w:rsidRPr="00473EC5">
        <w:rPr>
          <w:lang w:val="nl-BE"/>
        </w:rPr>
        <w:t>an</w:t>
      </w:r>
      <w:r w:rsidR="00D930B6" w:rsidRPr="00473EC5">
        <w:rPr>
          <w:lang w:val="nl-BE"/>
        </w:rPr>
        <w:t xml:space="preserve"> krijgen tot de OneGate-applicatie voor het beantwoorden van de periodieke vragenlijst. </w:t>
      </w:r>
    </w:p>
    <w:p w14:paraId="0CE45412" w14:textId="77777777" w:rsidR="00D930B6" w:rsidRPr="00473EC5" w:rsidRDefault="00D930B6" w:rsidP="00DC3E2F">
      <w:pPr>
        <w:spacing w:before="240"/>
        <w:jc w:val="both"/>
        <w:rPr>
          <w:lang w:val="nl-BE"/>
        </w:rPr>
      </w:pPr>
      <w:r w:rsidRPr="00473EC5">
        <w:rPr>
          <w:lang w:val="nl-BE"/>
        </w:rPr>
        <w:t xml:space="preserve">Meer informatie over OneGate en de toegang tot deze applicatie kunt u ook terugvinden op het volgende adres: </w:t>
      </w:r>
    </w:p>
    <w:p w14:paraId="0CE45414" w14:textId="77777777" w:rsidR="00D930B6" w:rsidRPr="00473EC5" w:rsidRDefault="00D930B6" w:rsidP="00DC3E2F">
      <w:pPr>
        <w:pStyle w:val="ListParagraph"/>
        <w:numPr>
          <w:ilvl w:val="0"/>
          <w:numId w:val="3"/>
        </w:numPr>
        <w:spacing w:before="120"/>
        <w:ind w:left="1077" w:hanging="357"/>
        <w:jc w:val="both"/>
        <w:rPr>
          <w:lang w:val="nl-BE"/>
        </w:rPr>
      </w:pPr>
      <w:r w:rsidRPr="00473EC5">
        <w:rPr>
          <w:lang w:val="nl-BE"/>
        </w:rPr>
        <w:t xml:space="preserve">Nederlands: </w:t>
      </w:r>
      <w:hyperlink r:id="rId13" w:history="1">
        <w:r w:rsidRPr="00473EC5">
          <w:rPr>
            <w:rStyle w:val="Hyperlink"/>
            <w:lang w:val="nl-BE"/>
          </w:rPr>
          <w:t>https://www.nbb.be/doc/dq/onegate/nl/login_nl.html</w:t>
        </w:r>
      </w:hyperlink>
      <w:r w:rsidRPr="00473EC5">
        <w:rPr>
          <w:lang w:val="nl-BE"/>
        </w:rPr>
        <w:t xml:space="preserve"> </w:t>
      </w:r>
    </w:p>
    <w:p w14:paraId="0CE45415" w14:textId="77777777" w:rsidR="00D930B6" w:rsidRPr="00473EC5" w:rsidRDefault="00D930B6" w:rsidP="00DC3E2F">
      <w:pPr>
        <w:pStyle w:val="ListParagraph"/>
        <w:numPr>
          <w:ilvl w:val="0"/>
          <w:numId w:val="3"/>
        </w:numPr>
        <w:spacing w:before="120"/>
        <w:ind w:left="1077" w:hanging="357"/>
        <w:jc w:val="both"/>
        <w:rPr>
          <w:lang w:val="nl-BE"/>
        </w:rPr>
      </w:pPr>
      <w:r w:rsidRPr="00473EC5">
        <w:rPr>
          <w:lang w:val="nl-BE"/>
        </w:rPr>
        <w:t xml:space="preserve">Frans: </w:t>
      </w:r>
      <w:hyperlink r:id="rId14" w:history="1">
        <w:r w:rsidRPr="00473EC5">
          <w:rPr>
            <w:rStyle w:val="Hyperlink"/>
            <w:lang w:val="nl-BE"/>
          </w:rPr>
          <w:t>https://www.nbb.be/doc/dq/onegate/fr/login_fr.html</w:t>
        </w:r>
      </w:hyperlink>
      <w:r w:rsidRPr="00473EC5">
        <w:rPr>
          <w:lang w:val="nl-BE"/>
        </w:rPr>
        <w:t xml:space="preserve"> </w:t>
      </w:r>
    </w:p>
    <w:p w14:paraId="0CE45416" w14:textId="77777777" w:rsidR="00D930B6" w:rsidRPr="00473EC5" w:rsidRDefault="00D930B6" w:rsidP="00DC3E2F">
      <w:pPr>
        <w:pStyle w:val="ListParagraph"/>
        <w:numPr>
          <w:ilvl w:val="0"/>
          <w:numId w:val="3"/>
        </w:numPr>
        <w:spacing w:before="120"/>
        <w:ind w:left="1077" w:hanging="357"/>
        <w:jc w:val="both"/>
        <w:rPr>
          <w:lang w:val="nl-BE"/>
        </w:rPr>
      </w:pPr>
      <w:r w:rsidRPr="00473EC5">
        <w:rPr>
          <w:lang w:val="nl-BE"/>
        </w:rPr>
        <w:t xml:space="preserve">Engels: </w:t>
      </w:r>
      <w:hyperlink r:id="rId15" w:history="1">
        <w:r w:rsidRPr="00473EC5">
          <w:rPr>
            <w:rStyle w:val="Hyperlink"/>
            <w:lang w:val="nl-BE"/>
          </w:rPr>
          <w:t>https://www.nbb.be/doc/dq/onegate/en/login_en.html</w:t>
        </w:r>
      </w:hyperlink>
      <w:r w:rsidRPr="00473EC5">
        <w:rPr>
          <w:lang w:val="nl-BE"/>
        </w:rPr>
        <w:t xml:space="preserve"> </w:t>
      </w:r>
    </w:p>
    <w:p w14:paraId="0CE45417" w14:textId="77777777" w:rsidR="00B86C4B" w:rsidRPr="00473EC5" w:rsidRDefault="00B86C4B" w:rsidP="00046B3B">
      <w:pPr>
        <w:jc w:val="both"/>
        <w:rPr>
          <w:lang w:val="nl-BE"/>
        </w:rPr>
      </w:pPr>
    </w:p>
    <w:p w14:paraId="0CE45419" w14:textId="77777777" w:rsidR="00D930B6" w:rsidRPr="00473EC5" w:rsidRDefault="00D930B6" w:rsidP="00DC3E2F">
      <w:pPr>
        <w:pStyle w:val="ListParagraph"/>
        <w:numPr>
          <w:ilvl w:val="0"/>
          <w:numId w:val="2"/>
        </w:numPr>
        <w:spacing w:before="360"/>
        <w:ind w:left="714" w:hanging="357"/>
        <w:jc w:val="both"/>
        <w:rPr>
          <w:u w:val="single"/>
          <w:lang w:val="nl-BE"/>
        </w:rPr>
      </w:pPr>
      <w:r w:rsidRPr="00473EC5">
        <w:rPr>
          <w:u w:val="single"/>
          <w:lang w:val="nl-BE"/>
        </w:rPr>
        <w:lastRenderedPageBreak/>
        <w:t>Timing</w:t>
      </w:r>
    </w:p>
    <w:p w14:paraId="0CE4541B" w14:textId="143BDD62" w:rsidR="00F51D15" w:rsidRPr="00473EC5" w:rsidRDefault="00D930B6" w:rsidP="00DC3E2F">
      <w:pPr>
        <w:spacing w:before="240"/>
        <w:jc w:val="both"/>
        <w:rPr>
          <w:lang w:val="nl-BE"/>
        </w:rPr>
      </w:pPr>
      <w:r w:rsidRPr="00473EC5">
        <w:rPr>
          <w:lang w:val="nl-BE"/>
        </w:rPr>
        <w:t>De antwoorden op de perio</w:t>
      </w:r>
      <w:r w:rsidR="00B92B0D" w:rsidRPr="00473EC5">
        <w:rPr>
          <w:lang w:val="nl-BE"/>
        </w:rPr>
        <w:t xml:space="preserve">dieke vragenlijst dienen in </w:t>
      </w:r>
      <w:r w:rsidRPr="00473EC5">
        <w:rPr>
          <w:lang w:val="nl-BE"/>
        </w:rPr>
        <w:t xml:space="preserve">OneGate te worden aangeleverd tegen uiterlijk </w:t>
      </w:r>
      <w:r w:rsidRPr="00473EC5">
        <w:rPr>
          <w:b/>
          <w:u w:val="single"/>
          <w:lang w:val="nl-BE"/>
        </w:rPr>
        <w:t>30</w:t>
      </w:r>
      <w:r w:rsidR="00DC3E2F" w:rsidRPr="00473EC5">
        <w:rPr>
          <w:b/>
          <w:u w:val="single"/>
          <w:lang w:val="nl-BE"/>
        </w:rPr>
        <w:t> </w:t>
      </w:r>
      <w:r w:rsidRPr="00473EC5">
        <w:rPr>
          <w:b/>
          <w:u w:val="single"/>
          <w:lang w:val="nl-BE"/>
        </w:rPr>
        <w:t>juni 201</w:t>
      </w:r>
      <w:r w:rsidR="00437154" w:rsidRPr="00473EC5">
        <w:rPr>
          <w:b/>
          <w:u w:val="single"/>
          <w:lang w:val="nl-BE"/>
        </w:rPr>
        <w:t>9</w:t>
      </w:r>
      <w:r w:rsidRPr="00473EC5">
        <w:rPr>
          <w:lang w:val="nl-BE"/>
        </w:rPr>
        <w:t>. Het elektronisch formulier in dewelke de gevraagde informatie moet worden ingegeven, zal in OneGate ter beschikking worden gesteld vanaf 1 mei 201</w:t>
      </w:r>
      <w:r w:rsidR="00437154" w:rsidRPr="00473EC5">
        <w:rPr>
          <w:lang w:val="nl-BE"/>
        </w:rPr>
        <w:t>9</w:t>
      </w:r>
      <w:r w:rsidRPr="00473EC5">
        <w:rPr>
          <w:lang w:val="nl-BE"/>
        </w:rPr>
        <w:t>.</w:t>
      </w:r>
    </w:p>
    <w:p w14:paraId="0CE4541E" w14:textId="77777777" w:rsidR="00F51D15" w:rsidRPr="00473EC5" w:rsidRDefault="00F51D15" w:rsidP="00DC3E2F">
      <w:pPr>
        <w:pStyle w:val="ListParagraph"/>
        <w:numPr>
          <w:ilvl w:val="0"/>
          <w:numId w:val="2"/>
        </w:numPr>
        <w:spacing w:before="360"/>
        <w:ind w:left="714" w:hanging="357"/>
        <w:jc w:val="both"/>
        <w:rPr>
          <w:lang w:val="nl-BE"/>
        </w:rPr>
      </w:pPr>
      <w:r w:rsidRPr="00473EC5">
        <w:rPr>
          <w:u w:val="single"/>
          <w:lang w:val="nl-BE"/>
        </w:rPr>
        <w:t>Praktisch</w:t>
      </w:r>
    </w:p>
    <w:p w14:paraId="0CE45420" w14:textId="77777777" w:rsidR="00F51D15" w:rsidRPr="00473EC5" w:rsidRDefault="00F51D15" w:rsidP="00DC3E2F">
      <w:pPr>
        <w:spacing w:before="240"/>
        <w:jc w:val="both"/>
        <w:rPr>
          <w:lang w:val="nl-BE"/>
        </w:rPr>
      </w:pPr>
      <w:r w:rsidRPr="00473EC5">
        <w:rPr>
          <w:lang w:val="nl-BE"/>
        </w:rPr>
        <w:t>De Bank heeft ervoor geopteerd om voor elke categorie van instellingen onder toezicht een afzonderlijke vragenlijst op te stellen die – in de mate van het mogelijke – rekening houdt met de specifieke activiteiten die in de verschillende sectoren worden uitgeoefend. In totaal werden bijgevolg vier verschillende vragenlijsten opgesteld voor de volgende categorieën van instellingen: (i) kredietinstellingen, (ii) beursvennootschappen, (iii) levensverzekeringsondernemingen en (iv) betalingsinstellingen en instellingen voor elektronisch geld.</w:t>
      </w:r>
    </w:p>
    <w:p w14:paraId="0CE45422" w14:textId="77777777" w:rsidR="00F51D15" w:rsidRPr="00473EC5" w:rsidRDefault="00F51D15" w:rsidP="00DC3E2F">
      <w:pPr>
        <w:spacing w:before="240"/>
        <w:jc w:val="both"/>
        <w:rPr>
          <w:lang w:val="nl-BE"/>
        </w:rPr>
      </w:pPr>
      <w:r w:rsidRPr="00473EC5">
        <w:rPr>
          <w:lang w:val="nl-BE"/>
        </w:rPr>
        <w:t xml:space="preserve">Alle vragenlijsten zijn beschikbaar in het Nederlands, het Frans en het Engels. </w:t>
      </w:r>
    </w:p>
    <w:p w14:paraId="0CE45424" w14:textId="77777777" w:rsidR="00F51D15" w:rsidRPr="00473EC5" w:rsidRDefault="00D930B6" w:rsidP="00DC3E2F">
      <w:pPr>
        <w:spacing w:before="240"/>
        <w:jc w:val="both"/>
        <w:rPr>
          <w:lang w:val="nl-BE"/>
        </w:rPr>
      </w:pPr>
      <w:r w:rsidRPr="00473EC5">
        <w:rPr>
          <w:lang w:val="nl-BE"/>
        </w:rPr>
        <w:t>De verschillende vragenlijst</w:t>
      </w:r>
      <w:r w:rsidR="00B92B0D" w:rsidRPr="00473EC5">
        <w:rPr>
          <w:lang w:val="nl-BE"/>
        </w:rPr>
        <w:t>en</w:t>
      </w:r>
      <w:r w:rsidRPr="00473EC5">
        <w:rPr>
          <w:lang w:val="nl-BE"/>
        </w:rPr>
        <w:t xml:space="preserve"> worden u niet in</w:t>
      </w:r>
      <w:r w:rsidR="00F51D15" w:rsidRPr="00473EC5">
        <w:rPr>
          <w:lang w:val="nl-BE"/>
        </w:rPr>
        <w:t xml:space="preserve"> papieren vorm toegestuurd. </w:t>
      </w:r>
      <w:r w:rsidRPr="00473EC5">
        <w:rPr>
          <w:lang w:val="nl-BE"/>
        </w:rPr>
        <w:t xml:space="preserve">Om kennis te nemen van de </w:t>
      </w:r>
      <w:r w:rsidR="008D2F7A" w:rsidRPr="00473EC5">
        <w:rPr>
          <w:lang w:val="nl-BE"/>
        </w:rPr>
        <w:t>vragenlijst die door uw instelling moet worden beantwoord</w:t>
      </w:r>
      <w:r w:rsidR="00046B3B" w:rsidRPr="00473EC5">
        <w:rPr>
          <w:lang w:val="nl-BE"/>
        </w:rPr>
        <w:t>,</w:t>
      </w:r>
      <w:r w:rsidR="008D2F7A" w:rsidRPr="00473EC5">
        <w:rPr>
          <w:lang w:val="nl-BE"/>
        </w:rPr>
        <w:t xml:space="preserve"> dient u de website van de Bank te raadplegen en de correcte vragenlijst te downloaden</w:t>
      </w:r>
      <w:r w:rsidR="00F51D15" w:rsidRPr="00473EC5">
        <w:rPr>
          <w:lang w:val="nl-BE"/>
        </w:rPr>
        <w:t xml:space="preserve">. Uiteraard is de erkenning die uw instelling heeft bekomen bij de Bank hierbij van doorslaggevend belang. De vereffeningsinstellingen dienen de vragenlijst voor de kredietinstellingen te beantwoorden. </w:t>
      </w:r>
    </w:p>
    <w:p w14:paraId="0CE45426" w14:textId="77777777" w:rsidR="00F51D15" w:rsidRPr="00473EC5" w:rsidRDefault="00F51D15" w:rsidP="00DC3E2F">
      <w:pPr>
        <w:spacing w:before="240"/>
        <w:jc w:val="both"/>
        <w:rPr>
          <w:lang w:val="nl-BE"/>
        </w:rPr>
      </w:pPr>
      <w:r w:rsidRPr="00473EC5">
        <w:rPr>
          <w:lang w:val="nl-BE"/>
        </w:rPr>
        <w:t xml:space="preserve">U kunt de vragenlijsten </w:t>
      </w:r>
      <w:r w:rsidR="00B92B0D" w:rsidRPr="00473EC5">
        <w:rPr>
          <w:lang w:val="nl-BE"/>
        </w:rPr>
        <w:t>als volgt</w:t>
      </w:r>
      <w:r w:rsidRPr="00473EC5">
        <w:rPr>
          <w:lang w:val="nl-BE"/>
        </w:rPr>
        <w:t xml:space="preserve"> terugvinden op de website van de Bank:</w:t>
      </w:r>
    </w:p>
    <w:p w14:paraId="0CE45428" w14:textId="77777777" w:rsidR="00F51D15" w:rsidRPr="00473EC5" w:rsidRDefault="00F51D15" w:rsidP="00DC3E2F">
      <w:pPr>
        <w:pStyle w:val="ListParagraph"/>
        <w:numPr>
          <w:ilvl w:val="0"/>
          <w:numId w:val="5"/>
        </w:numPr>
        <w:spacing w:before="240"/>
        <w:ind w:left="714" w:hanging="357"/>
        <w:jc w:val="both"/>
        <w:rPr>
          <w:lang w:val="nl-BE"/>
        </w:rPr>
      </w:pPr>
      <w:r w:rsidRPr="00473EC5">
        <w:rPr>
          <w:lang w:val="nl-BE"/>
        </w:rPr>
        <w:t xml:space="preserve">Ga naar </w:t>
      </w:r>
      <w:hyperlink r:id="rId16" w:history="1">
        <w:r w:rsidRPr="00473EC5">
          <w:rPr>
            <w:rStyle w:val="Hyperlink"/>
            <w:lang w:val="nl-BE"/>
          </w:rPr>
          <w:t>www.nbb.be</w:t>
        </w:r>
      </w:hyperlink>
    </w:p>
    <w:p w14:paraId="0CE4542A" w14:textId="7F168995" w:rsidR="00F51D15" w:rsidRPr="00473EC5" w:rsidRDefault="00F51D15" w:rsidP="00DC3E2F">
      <w:pPr>
        <w:pStyle w:val="ListParagraph"/>
        <w:numPr>
          <w:ilvl w:val="0"/>
          <w:numId w:val="5"/>
        </w:numPr>
        <w:spacing w:before="240"/>
        <w:ind w:left="714" w:hanging="357"/>
        <w:contextualSpacing w:val="0"/>
        <w:jc w:val="both"/>
        <w:rPr>
          <w:lang w:val="nl-BE"/>
        </w:rPr>
      </w:pPr>
      <w:r w:rsidRPr="00473EC5">
        <w:rPr>
          <w:lang w:val="nl-BE"/>
        </w:rPr>
        <w:t>Ga naar:</w:t>
      </w:r>
      <w:r w:rsidR="00AF6B18" w:rsidRPr="00473EC5">
        <w:rPr>
          <w:lang w:val="nl-BE"/>
        </w:rPr>
        <w:t xml:space="preserve"> Financieel toezicht </w:t>
      </w:r>
      <w:r w:rsidR="00AF6B18" w:rsidRPr="00473EC5">
        <w:rPr>
          <w:lang w:val="nl-BE" w:bidi="fr-FR"/>
        </w:rPr>
        <w:sym w:font="Wingdings" w:char="F0E0"/>
      </w:r>
      <w:r w:rsidR="00AF6B18" w:rsidRPr="00473EC5">
        <w:rPr>
          <w:lang w:val="nl-BE" w:bidi="fr-FR"/>
        </w:rPr>
        <w:t xml:space="preserve"> Voorkoming van het witwassen van geld en de financiering van terrorisme (SWG/FT-website) </w:t>
      </w:r>
      <w:r w:rsidR="00AF6B18" w:rsidRPr="00473EC5">
        <w:rPr>
          <w:lang w:val="nl-BE" w:bidi="fr-FR"/>
        </w:rPr>
        <w:sym w:font="Wingdings" w:char="F0E0"/>
      </w:r>
      <w:r w:rsidR="00AF6B18" w:rsidRPr="00473EC5">
        <w:rPr>
          <w:lang w:val="nl-BE" w:bidi="fr-FR"/>
        </w:rPr>
        <w:t xml:space="preserve"> Nuttige links en documenten </w:t>
      </w:r>
      <w:r w:rsidR="00AF6B18" w:rsidRPr="00473EC5">
        <w:rPr>
          <w:lang w:val="nl-BE" w:bidi="fr-FR"/>
        </w:rPr>
        <w:sym w:font="Wingdings" w:char="F0E0"/>
      </w:r>
      <w:r w:rsidR="00AF6B18" w:rsidRPr="00473EC5">
        <w:rPr>
          <w:lang w:val="nl-BE" w:bidi="fr-FR"/>
        </w:rPr>
        <w:t xml:space="preserve"> Voornaamste referentiedocumenten </w:t>
      </w:r>
      <w:r w:rsidR="00AF6B18" w:rsidRPr="00473EC5">
        <w:rPr>
          <w:lang w:val="nl-BE" w:bidi="fr-FR"/>
        </w:rPr>
        <w:sym w:font="Wingdings" w:char="F0E0"/>
      </w:r>
      <w:r w:rsidR="00AF6B18" w:rsidRPr="00473EC5">
        <w:rPr>
          <w:lang w:val="nl-BE" w:bidi="fr-FR"/>
        </w:rPr>
        <w:t xml:space="preserve"> klik op deze circulaire</w:t>
      </w:r>
    </w:p>
    <w:p w14:paraId="0CE45438" w14:textId="0A398DCB" w:rsidR="00F51D15" w:rsidRPr="00473EC5" w:rsidRDefault="00F51D15" w:rsidP="00DC3E2F">
      <w:pPr>
        <w:spacing w:before="240"/>
        <w:jc w:val="both"/>
        <w:rPr>
          <w:lang w:val="nl-BE"/>
        </w:rPr>
      </w:pPr>
      <w:r w:rsidRPr="00473EC5">
        <w:rPr>
          <w:lang w:val="nl-BE"/>
        </w:rPr>
        <w:t>Voor alle vragen in verband met deze vragenlijsten verzoeken wij u contact op te nemen met het W</w:t>
      </w:r>
      <w:r w:rsidR="0067153F" w:rsidRPr="00473EC5">
        <w:rPr>
          <w:lang w:val="nl-BE"/>
        </w:rPr>
        <w:t>G</w:t>
      </w:r>
      <w:r w:rsidRPr="00473EC5">
        <w:rPr>
          <w:lang w:val="nl-BE"/>
        </w:rPr>
        <w:t xml:space="preserve">/FT-toezichtsteam van de Bank, via het e-mailadres </w:t>
      </w:r>
      <w:hyperlink r:id="rId17" w:history="1">
        <w:r w:rsidRPr="00473EC5">
          <w:rPr>
            <w:rStyle w:val="Hyperlink"/>
            <w:lang w:val="nl-BE"/>
          </w:rPr>
          <w:t>supervision.ta.aml@nbb.be</w:t>
        </w:r>
      </w:hyperlink>
      <w:r w:rsidRPr="00473EC5">
        <w:rPr>
          <w:lang w:val="nl-BE"/>
        </w:rPr>
        <w:t xml:space="preserve">. </w:t>
      </w:r>
    </w:p>
    <w:p w14:paraId="0CE4543B" w14:textId="77777777" w:rsidR="00F51D15" w:rsidRPr="00473EC5" w:rsidRDefault="00F51D15" w:rsidP="00DC3E2F">
      <w:pPr>
        <w:pStyle w:val="ListParagraph"/>
        <w:numPr>
          <w:ilvl w:val="0"/>
          <w:numId w:val="2"/>
        </w:numPr>
        <w:spacing w:before="360"/>
        <w:ind w:left="714" w:hanging="357"/>
        <w:contextualSpacing w:val="0"/>
        <w:jc w:val="both"/>
        <w:rPr>
          <w:lang w:val="nl-BE"/>
        </w:rPr>
      </w:pPr>
      <w:r w:rsidRPr="00473EC5">
        <w:rPr>
          <w:u w:val="single"/>
          <w:lang w:val="nl-BE"/>
        </w:rPr>
        <w:t>Methodologie voor het beantwoorden van de vragenlijst</w:t>
      </w:r>
    </w:p>
    <w:p w14:paraId="0CE4543D" w14:textId="77777777" w:rsidR="00F51D15" w:rsidRPr="00473EC5" w:rsidRDefault="00F51D15" w:rsidP="00DC3E2F">
      <w:pPr>
        <w:pStyle w:val="ListParagraph"/>
        <w:numPr>
          <w:ilvl w:val="0"/>
          <w:numId w:val="7"/>
        </w:numPr>
        <w:spacing w:before="240"/>
        <w:ind w:left="1077" w:hanging="357"/>
        <w:contextualSpacing w:val="0"/>
        <w:jc w:val="both"/>
        <w:rPr>
          <w:i/>
          <w:u w:val="single"/>
          <w:lang w:val="nl-BE"/>
        </w:rPr>
      </w:pPr>
      <w:r w:rsidRPr="00473EC5">
        <w:rPr>
          <w:i/>
          <w:u w:val="single"/>
          <w:lang w:val="nl-BE"/>
        </w:rPr>
        <w:t>Beantwoorden van de vragen</w:t>
      </w:r>
    </w:p>
    <w:p w14:paraId="0CE4543F" w14:textId="77777777" w:rsidR="00775303" w:rsidRPr="00473EC5" w:rsidRDefault="00775303" w:rsidP="00DC3E2F">
      <w:pPr>
        <w:spacing w:before="240"/>
        <w:jc w:val="both"/>
        <w:rPr>
          <w:lang w:val="nl-BE"/>
        </w:rPr>
      </w:pPr>
      <w:r w:rsidRPr="00473EC5">
        <w:rPr>
          <w:lang w:val="nl-BE"/>
        </w:rPr>
        <w:t xml:space="preserve">In het elektronisch formulier dat in OneGate ter beschikking </w:t>
      </w:r>
      <w:r w:rsidR="00B92B0D" w:rsidRPr="00473EC5">
        <w:rPr>
          <w:lang w:val="nl-BE"/>
        </w:rPr>
        <w:t xml:space="preserve">zal worden </w:t>
      </w:r>
      <w:r w:rsidRPr="00473EC5">
        <w:rPr>
          <w:lang w:val="nl-BE"/>
        </w:rPr>
        <w:t xml:space="preserve">gesteld </w:t>
      </w:r>
      <w:r w:rsidR="00046B3B" w:rsidRPr="00473EC5">
        <w:rPr>
          <w:lang w:val="nl-BE"/>
        </w:rPr>
        <w:t xml:space="preserve">dient uw instelling </w:t>
      </w:r>
      <w:r w:rsidRPr="00473EC5">
        <w:rPr>
          <w:lang w:val="nl-BE"/>
        </w:rPr>
        <w:t xml:space="preserve">de nodige informatie aan te leveren door voor elke vraag </w:t>
      </w:r>
      <w:r w:rsidR="00046B3B" w:rsidRPr="00473EC5">
        <w:rPr>
          <w:lang w:val="nl-BE"/>
        </w:rPr>
        <w:t xml:space="preserve">in het dropdown-menu </w:t>
      </w:r>
      <w:r w:rsidRPr="00473EC5">
        <w:rPr>
          <w:lang w:val="nl-BE"/>
        </w:rPr>
        <w:t>de</w:t>
      </w:r>
      <w:r w:rsidR="00B92B0D" w:rsidRPr="00473EC5">
        <w:rPr>
          <w:lang w:val="nl-BE"/>
        </w:rPr>
        <w:t xml:space="preserve"> antwoordoptie te selecteren die</w:t>
      </w:r>
      <w:r w:rsidRPr="00473EC5">
        <w:rPr>
          <w:lang w:val="nl-BE"/>
        </w:rPr>
        <w:t xml:space="preserve"> het best aansluit bij de organisatie van uw instelling (bv. ja, nee of niet van toepassing). </w:t>
      </w:r>
    </w:p>
    <w:p w14:paraId="0CE45441" w14:textId="77777777" w:rsidR="00882FDA" w:rsidRPr="00473EC5" w:rsidRDefault="00775303" w:rsidP="00DC3E2F">
      <w:pPr>
        <w:spacing w:before="240"/>
        <w:jc w:val="both"/>
        <w:rPr>
          <w:lang w:val="nl-BE"/>
        </w:rPr>
      </w:pPr>
      <w:r w:rsidRPr="00473EC5">
        <w:rPr>
          <w:lang w:val="nl-BE"/>
        </w:rPr>
        <w:t>Wanneer cijfermatige informatie wordt o</w:t>
      </w:r>
      <w:r w:rsidR="00046B3B" w:rsidRPr="00473EC5">
        <w:rPr>
          <w:lang w:val="nl-BE"/>
        </w:rPr>
        <w:t>pgevraagd, heeft uw instelling meestal</w:t>
      </w:r>
      <w:r w:rsidRPr="00473EC5">
        <w:rPr>
          <w:lang w:val="nl-BE"/>
        </w:rPr>
        <w:t xml:space="preserve"> de keuze tussen de antwoordopties ‘niet beschikbaar’ of ‘cijfer’. Indien uw instelling niet beschikt over de nodige statistische informatie om op betrouwbare wijze te antwoorden op de gestelde vraag, dan dient uw instelling de antwoordoptie ‘niet beschikbaar’ te kiezen. Indien uw instelling daarentegen wel beschikt over de gevraagde informatie, dan dient u de antwoordoptie ‘cijfer’ te selecteren, waarna u het correcte cijfer kunt opgeven. </w:t>
      </w:r>
      <w:r w:rsidR="00B92B0D" w:rsidRPr="00473EC5">
        <w:rPr>
          <w:lang w:val="nl-BE"/>
        </w:rPr>
        <w:t xml:space="preserve">Wanneer de bewuste vraag ten slotte voor uw instelling niet relevant is, dan dient u eveneens de optie ‘cijfer’ te selecteren en dient u vervolgens het cijfer </w:t>
      </w:r>
      <w:r w:rsidR="00A53826" w:rsidRPr="00473EC5">
        <w:rPr>
          <w:lang w:val="nl-BE"/>
        </w:rPr>
        <w:t>‘0’</w:t>
      </w:r>
      <w:r w:rsidR="00B92B0D" w:rsidRPr="00473EC5">
        <w:rPr>
          <w:lang w:val="nl-BE"/>
        </w:rPr>
        <w:t xml:space="preserve"> op te geven.</w:t>
      </w:r>
    </w:p>
    <w:p w14:paraId="0CE45443" w14:textId="77777777" w:rsidR="00882FDA" w:rsidRPr="00473EC5" w:rsidRDefault="00882FDA" w:rsidP="00DC3E2F">
      <w:pPr>
        <w:spacing w:before="240"/>
        <w:jc w:val="both"/>
        <w:rPr>
          <w:lang w:val="nl-BE"/>
        </w:rPr>
      </w:pPr>
      <w:r w:rsidRPr="00473EC5">
        <w:rPr>
          <w:b/>
          <w:u w:val="single"/>
          <w:lang w:val="nl-BE"/>
        </w:rPr>
        <w:t>Opgelet:</w:t>
      </w:r>
      <w:r w:rsidRPr="00473EC5">
        <w:rPr>
          <w:lang w:val="nl-BE"/>
        </w:rPr>
        <w:t xml:space="preserve"> </w:t>
      </w:r>
    </w:p>
    <w:p w14:paraId="0CE45444" w14:textId="77777777" w:rsidR="00F51D15" w:rsidRPr="00473EC5" w:rsidRDefault="00775303" w:rsidP="00046B3B">
      <w:pPr>
        <w:jc w:val="both"/>
        <w:rPr>
          <w:lang w:val="nl-BE"/>
        </w:rPr>
      </w:pPr>
      <w:r w:rsidRPr="00473EC5">
        <w:rPr>
          <w:lang w:val="nl-BE"/>
        </w:rPr>
        <w:t xml:space="preserve">Cijfers dienen steeds te worden opgegeven zonder punt </w:t>
      </w:r>
      <w:r w:rsidR="00882FDA" w:rsidRPr="00473EC5">
        <w:rPr>
          <w:lang w:val="nl-BE"/>
        </w:rPr>
        <w:t xml:space="preserve">of komma </w:t>
      </w:r>
      <w:r w:rsidRPr="00473EC5">
        <w:rPr>
          <w:lang w:val="nl-BE"/>
        </w:rPr>
        <w:t>tussen de duizendtallen.</w:t>
      </w:r>
      <w:r w:rsidR="00882FDA" w:rsidRPr="00473EC5">
        <w:rPr>
          <w:lang w:val="nl-BE"/>
        </w:rPr>
        <w:t xml:space="preserve"> Een </w:t>
      </w:r>
      <w:r w:rsidR="00895B68" w:rsidRPr="00473EC5">
        <w:rPr>
          <w:lang w:val="nl-BE"/>
        </w:rPr>
        <w:t>punt</w:t>
      </w:r>
      <w:r w:rsidR="00882FDA" w:rsidRPr="00473EC5">
        <w:rPr>
          <w:lang w:val="nl-BE"/>
        </w:rPr>
        <w:t xml:space="preserve"> kan enkel worden gebruikt </w:t>
      </w:r>
      <w:r w:rsidR="00046B3B" w:rsidRPr="00473EC5">
        <w:rPr>
          <w:lang w:val="nl-BE"/>
        </w:rPr>
        <w:t>voor het opgeven van decimalen</w:t>
      </w:r>
      <w:r w:rsidR="00882FDA" w:rsidRPr="00473EC5">
        <w:rPr>
          <w:lang w:val="nl-BE"/>
        </w:rPr>
        <w:t>.</w:t>
      </w:r>
      <w:r w:rsidRPr="00473EC5">
        <w:rPr>
          <w:lang w:val="nl-BE"/>
        </w:rPr>
        <w:t xml:space="preserve"> </w:t>
      </w:r>
      <w:r w:rsidR="00882FDA" w:rsidRPr="00473EC5">
        <w:rPr>
          <w:lang w:val="nl-BE"/>
        </w:rPr>
        <w:t xml:space="preserve">Indien het getal niet in het correcte formaat ingeeft, zult u een foutmelding krijgen en zult u het formulier niet kunnen afsluiten. </w:t>
      </w:r>
    </w:p>
    <w:p w14:paraId="0CE45445" w14:textId="77777777" w:rsidR="000F06BD" w:rsidRPr="00473EC5" w:rsidRDefault="000F06BD" w:rsidP="00046B3B">
      <w:pPr>
        <w:jc w:val="both"/>
        <w:rPr>
          <w:lang w:val="nl-BE"/>
        </w:rPr>
      </w:pPr>
    </w:p>
    <w:p w14:paraId="0CE45446" w14:textId="77777777" w:rsidR="00895B68" w:rsidRPr="00473EC5" w:rsidRDefault="00895B68" w:rsidP="00895B68">
      <w:pPr>
        <w:pStyle w:val="ListParagraph"/>
        <w:numPr>
          <w:ilvl w:val="0"/>
          <w:numId w:val="3"/>
        </w:numPr>
        <w:jc w:val="both"/>
        <w:rPr>
          <w:lang w:val="nl-BE"/>
        </w:rPr>
      </w:pPr>
      <w:r w:rsidRPr="00473EC5">
        <w:rPr>
          <w:lang w:val="nl-BE"/>
        </w:rPr>
        <w:lastRenderedPageBreak/>
        <w:t>Voorbeeld foutmelding:</w:t>
      </w:r>
    </w:p>
    <w:p w14:paraId="0CE45447" w14:textId="77777777" w:rsidR="00895B68" w:rsidRPr="00473EC5" w:rsidRDefault="00895B68" w:rsidP="00895B68">
      <w:pPr>
        <w:jc w:val="both"/>
        <w:rPr>
          <w:lang w:val="nl-BE"/>
        </w:rPr>
      </w:pPr>
      <w:r w:rsidRPr="00473EC5">
        <w:rPr>
          <w:noProof/>
          <w:lang w:val="nl-BE"/>
        </w:rPr>
        <w:drawing>
          <wp:anchor distT="0" distB="0" distL="114300" distR="114300" simplePos="0" relativeHeight="251659264" behindDoc="1" locked="0" layoutInCell="1" allowOverlap="1" wp14:anchorId="0CE45473" wp14:editId="0CE45474">
            <wp:simplePos x="0" y="0"/>
            <wp:positionH relativeFrom="column">
              <wp:posOffset>680720</wp:posOffset>
            </wp:positionH>
            <wp:positionV relativeFrom="paragraph">
              <wp:posOffset>111125</wp:posOffset>
            </wp:positionV>
            <wp:extent cx="4543425" cy="7118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43425" cy="711835"/>
                    </a:xfrm>
                    <a:prstGeom prst="rect">
                      <a:avLst/>
                    </a:prstGeom>
                  </pic:spPr>
                </pic:pic>
              </a:graphicData>
            </a:graphic>
            <wp14:sizeRelH relativeFrom="page">
              <wp14:pctWidth>0</wp14:pctWidth>
            </wp14:sizeRelH>
            <wp14:sizeRelV relativeFrom="page">
              <wp14:pctHeight>0</wp14:pctHeight>
            </wp14:sizeRelV>
          </wp:anchor>
        </w:drawing>
      </w:r>
    </w:p>
    <w:p w14:paraId="0CE45448" w14:textId="77777777" w:rsidR="00895B68" w:rsidRPr="00473EC5" w:rsidRDefault="00895B68" w:rsidP="00895B68">
      <w:pPr>
        <w:jc w:val="both"/>
        <w:rPr>
          <w:lang w:val="nl-BE"/>
        </w:rPr>
      </w:pPr>
    </w:p>
    <w:p w14:paraId="0CE45449" w14:textId="77777777" w:rsidR="00895B68" w:rsidRPr="00473EC5" w:rsidRDefault="00895B68" w:rsidP="00895B68">
      <w:pPr>
        <w:jc w:val="both"/>
        <w:rPr>
          <w:lang w:val="nl-BE"/>
        </w:rPr>
      </w:pPr>
    </w:p>
    <w:p w14:paraId="0CE4544A" w14:textId="77777777" w:rsidR="00895B68" w:rsidRPr="00473EC5" w:rsidRDefault="00895B68" w:rsidP="00895B68">
      <w:pPr>
        <w:jc w:val="both"/>
        <w:rPr>
          <w:lang w:val="nl-BE"/>
        </w:rPr>
      </w:pPr>
    </w:p>
    <w:p w14:paraId="0CE4544B" w14:textId="77777777" w:rsidR="00895B68" w:rsidRPr="00473EC5" w:rsidRDefault="00895B68" w:rsidP="00895B68">
      <w:pPr>
        <w:jc w:val="both"/>
        <w:rPr>
          <w:lang w:val="nl-BE"/>
        </w:rPr>
      </w:pPr>
    </w:p>
    <w:p w14:paraId="0CE4544C" w14:textId="77777777" w:rsidR="00895B68" w:rsidRPr="00473EC5" w:rsidRDefault="00895B68" w:rsidP="00895B68">
      <w:pPr>
        <w:jc w:val="both"/>
        <w:rPr>
          <w:lang w:val="nl-BE"/>
        </w:rPr>
      </w:pPr>
    </w:p>
    <w:p w14:paraId="0CE4544D" w14:textId="77777777" w:rsidR="00895B68" w:rsidRPr="00473EC5" w:rsidRDefault="00895B68" w:rsidP="00895B68">
      <w:pPr>
        <w:pStyle w:val="ListParagraph"/>
        <w:numPr>
          <w:ilvl w:val="0"/>
          <w:numId w:val="3"/>
        </w:numPr>
        <w:jc w:val="both"/>
        <w:rPr>
          <w:lang w:val="nl-BE"/>
        </w:rPr>
      </w:pPr>
      <w:r w:rsidRPr="00473EC5">
        <w:rPr>
          <w:lang w:val="nl-BE"/>
        </w:rPr>
        <w:t>Correcte invoer:</w:t>
      </w:r>
    </w:p>
    <w:p w14:paraId="0CE4544E" w14:textId="77777777" w:rsidR="00895B68" w:rsidRPr="00473EC5" w:rsidRDefault="00895B68" w:rsidP="00046B3B">
      <w:pPr>
        <w:jc w:val="both"/>
        <w:rPr>
          <w:lang w:val="nl-BE"/>
        </w:rPr>
      </w:pPr>
      <w:r w:rsidRPr="00473EC5">
        <w:rPr>
          <w:noProof/>
          <w:lang w:val="nl-BE"/>
        </w:rPr>
        <w:drawing>
          <wp:anchor distT="0" distB="0" distL="114300" distR="114300" simplePos="0" relativeHeight="251661312" behindDoc="1" locked="0" layoutInCell="1" allowOverlap="1" wp14:anchorId="0CE45475" wp14:editId="0CE45476">
            <wp:simplePos x="0" y="0"/>
            <wp:positionH relativeFrom="column">
              <wp:posOffset>680720</wp:posOffset>
            </wp:positionH>
            <wp:positionV relativeFrom="paragraph">
              <wp:posOffset>147320</wp:posOffset>
            </wp:positionV>
            <wp:extent cx="26289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628900" cy="457200"/>
                    </a:xfrm>
                    <a:prstGeom prst="rect">
                      <a:avLst/>
                    </a:prstGeom>
                  </pic:spPr>
                </pic:pic>
              </a:graphicData>
            </a:graphic>
            <wp14:sizeRelH relativeFrom="page">
              <wp14:pctWidth>0</wp14:pctWidth>
            </wp14:sizeRelH>
            <wp14:sizeRelV relativeFrom="page">
              <wp14:pctHeight>0</wp14:pctHeight>
            </wp14:sizeRelV>
          </wp:anchor>
        </w:drawing>
      </w:r>
    </w:p>
    <w:p w14:paraId="0CE4544F" w14:textId="77777777" w:rsidR="00895B68" w:rsidRPr="00473EC5" w:rsidRDefault="00895B68" w:rsidP="00046B3B">
      <w:pPr>
        <w:jc w:val="both"/>
        <w:rPr>
          <w:lang w:val="nl-BE"/>
        </w:rPr>
      </w:pPr>
    </w:p>
    <w:p w14:paraId="0CE45450" w14:textId="77777777" w:rsidR="00895B68" w:rsidRPr="00473EC5" w:rsidRDefault="00895B68" w:rsidP="00046B3B">
      <w:pPr>
        <w:jc w:val="both"/>
        <w:rPr>
          <w:lang w:val="nl-BE"/>
        </w:rPr>
      </w:pPr>
    </w:p>
    <w:p w14:paraId="0CE45451" w14:textId="77777777" w:rsidR="00895B68" w:rsidRPr="00473EC5" w:rsidRDefault="00895B68" w:rsidP="00046B3B">
      <w:pPr>
        <w:jc w:val="both"/>
        <w:rPr>
          <w:lang w:val="nl-BE"/>
        </w:rPr>
      </w:pPr>
    </w:p>
    <w:p w14:paraId="0CE45452" w14:textId="77777777" w:rsidR="00A900E4" w:rsidRPr="00473EC5" w:rsidRDefault="00A900E4" w:rsidP="00046B3B">
      <w:pPr>
        <w:jc w:val="both"/>
        <w:rPr>
          <w:lang w:val="nl-BE"/>
        </w:rPr>
      </w:pPr>
    </w:p>
    <w:p w14:paraId="0CE45453" w14:textId="77777777" w:rsidR="000F06BD" w:rsidRPr="00473EC5" w:rsidRDefault="000E5405" w:rsidP="000F06BD">
      <w:pPr>
        <w:pStyle w:val="ListParagraph"/>
        <w:numPr>
          <w:ilvl w:val="0"/>
          <w:numId w:val="7"/>
        </w:numPr>
        <w:jc w:val="both"/>
        <w:rPr>
          <w:i/>
          <w:u w:val="single"/>
          <w:lang w:val="nl-BE"/>
        </w:rPr>
      </w:pPr>
      <w:r w:rsidRPr="00473EC5">
        <w:rPr>
          <w:i/>
          <w:u w:val="single"/>
          <w:lang w:val="nl-BE"/>
        </w:rPr>
        <w:t>Referentiedatum</w:t>
      </w:r>
      <w:r w:rsidR="000F06BD" w:rsidRPr="00473EC5">
        <w:rPr>
          <w:i/>
          <w:u w:val="single"/>
          <w:lang w:val="nl-BE"/>
        </w:rPr>
        <w:t xml:space="preserve"> voor het beantwoorden van de vragen</w:t>
      </w:r>
    </w:p>
    <w:p w14:paraId="0CE45455" w14:textId="77777777" w:rsidR="00260CE6" w:rsidRPr="00473EC5" w:rsidRDefault="000F06BD" w:rsidP="00DC3E2F">
      <w:pPr>
        <w:tabs>
          <w:tab w:val="clear" w:pos="284"/>
          <w:tab w:val="left" w:pos="709"/>
        </w:tabs>
        <w:spacing w:before="240"/>
        <w:jc w:val="both"/>
        <w:rPr>
          <w:lang w:val="nl-BE"/>
        </w:rPr>
      </w:pPr>
      <w:r w:rsidRPr="00473EC5">
        <w:rPr>
          <w:lang w:val="nl-BE"/>
        </w:rPr>
        <w:t xml:space="preserve">Voor wat de </w:t>
      </w:r>
      <w:r w:rsidR="000E5405" w:rsidRPr="00473EC5">
        <w:rPr>
          <w:lang w:val="nl-BE"/>
        </w:rPr>
        <w:t>referentie</w:t>
      </w:r>
      <w:r w:rsidRPr="00473EC5">
        <w:rPr>
          <w:lang w:val="nl-BE"/>
        </w:rPr>
        <w:t>datum betreft die in aanmerking moet worden genomen voor het beantwoorden van de gestelde vragen, dient volgend onderscheid te worden gemaakt.</w:t>
      </w:r>
    </w:p>
    <w:p w14:paraId="0CE45457" w14:textId="77777777" w:rsidR="000F06BD" w:rsidRPr="00473EC5" w:rsidRDefault="000F06BD" w:rsidP="00DC3E2F">
      <w:pPr>
        <w:tabs>
          <w:tab w:val="clear" w:pos="284"/>
          <w:tab w:val="left" w:pos="709"/>
        </w:tabs>
        <w:spacing w:before="240"/>
        <w:jc w:val="both"/>
        <w:rPr>
          <w:lang w:val="nl-BE"/>
        </w:rPr>
      </w:pPr>
      <w:r w:rsidRPr="00473EC5">
        <w:rPr>
          <w:lang w:val="nl-BE"/>
        </w:rPr>
        <w:t xml:space="preserve">De vragen met dewelke statistische informatie wordt opgevraagd, bevatten in principe steeds de nodige informatie over de datum of de periode waarop de gevraagde informatie betrekking moet hebben. In zo goed als alle gevallen dient de gevraagde informatie (i) ofwel betrekking hebben op de stand van zaken per 31 december van het voorgaande kalenderjaar (bv. aantal cliënten per 31 december 20XX), (ii) ofwel betrekking te hebben op het voorgaande kalenderjaar (bv. aantal uitgevoerde betalingen naar hoge-risicolanden in 20XX). </w:t>
      </w:r>
    </w:p>
    <w:p w14:paraId="0CE45459" w14:textId="77777777" w:rsidR="000F06BD" w:rsidRPr="00473EC5" w:rsidRDefault="000F06BD" w:rsidP="00DC3E2F">
      <w:pPr>
        <w:tabs>
          <w:tab w:val="clear" w:pos="284"/>
          <w:tab w:val="left" w:pos="709"/>
        </w:tabs>
        <w:spacing w:before="240"/>
        <w:jc w:val="both"/>
        <w:rPr>
          <w:lang w:val="nl-BE"/>
        </w:rPr>
      </w:pPr>
      <w:r w:rsidRPr="00473EC5">
        <w:rPr>
          <w:lang w:val="nl-BE"/>
        </w:rPr>
        <w:t xml:space="preserve">Voor de kwalitatieve vragen, waarin bv. wordt gepeild naar de conformiteit van de interne procedures met de geldende wetgeving, of waarin een instelling wordt bevraagd over de controles die zij al dan niet uitvoert, dienen de instelling zich steeds te plaatsen </w:t>
      </w:r>
      <w:r w:rsidRPr="00473EC5">
        <w:rPr>
          <w:b/>
          <w:u w:val="single"/>
          <w:lang w:val="nl-BE"/>
        </w:rPr>
        <w:t>op datum van 31 december van het voorgaande kalenderjaar</w:t>
      </w:r>
      <w:r w:rsidRPr="00473EC5">
        <w:rPr>
          <w:lang w:val="nl-BE"/>
        </w:rPr>
        <w:t>.</w:t>
      </w:r>
    </w:p>
    <w:p w14:paraId="0CE4545B" w14:textId="77777777" w:rsidR="00F51D15" w:rsidRPr="00473EC5" w:rsidRDefault="00F51D15" w:rsidP="00DC3E2F">
      <w:pPr>
        <w:pStyle w:val="ListParagraph"/>
        <w:numPr>
          <w:ilvl w:val="0"/>
          <w:numId w:val="7"/>
        </w:numPr>
        <w:spacing w:before="240"/>
        <w:ind w:left="1077" w:hanging="357"/>
        <w:contextualSpacing w:val="0"/>
        <w:jc w:val="both"/>
        <w:rPr>
          <w:u w:val="single"/>
          <w:lang w:val="nl-BE"/>
        </w:rPr>
      </w:pPr>
      <w:r w:rsidRPr="00473EC5">
        <w:rPr>
          <w:i/>
          <w:u w:val="single"/>
          <w:lang w:val="nl-BE"/>
        </w:rPr>
        <w:t>Verantwoordelijkheid voor de juistheid van de antwoorden</w:t>
      </w:r>
    </w:p>
    <w:p w14:paraId="0CE4545D" w14:textId="77777777" w:rsidR="00F51D15" w:rsidRPr="00473EC5" w:rsidRDefault="00F51D15" w:rsidP="00DC3E2F">
      <w:pPr>
        <w:spacing w:before="240"/>
        <w:jc w:val="both"/>
        <w:rPr>
          <w:lang w:val="nl-BE"/>
        </w:rPr>
      </w:pPr>
      <w:r w:rsidRPr="00473EC5">
        <w:rPr>
          <w:lang w:val="nl-BE"/>
        </w:rPr>
        <w:t xml:space="preserve">De antwoorden op de vragenlijst worden aan de Bank overgemaakt onder de eindverantwoordelijkheid van de effectieve leiding van de antwoordende financiële instelling. </w:t>
      </w:r>
    </w:p>
    <w:p w14:paraId="0CE4545E" w14:textId="77777777" w:rsidR="00F51D15" w:rsidRPr="00473EC5" w:rsidRDefault="00F51D15" w:rsidP="00DC3E2F">
      <w:pPr>
        <w:spacing w:before="240" w:after="120"/>
        <w:jc w:val="both"/>
        <w:rPr>
          <w:rFonts w:cs="Arial"/>
          <w:iCs/>
          <w:lang w:val="nl-BE" w:eastAsia="nl-BE"/>
        </w:rPr>
      </w:pPr>
      <w:r w:rsidRPr="00473EC5">
        <w:rPr>
          <w:lang w:val="nl-BE"/>
        </w:rPr>
        <w:t xml:space="preserve">Er wordt evenwel aan herinnerd dat de verantwoordelijke die binnen elke financiële instelling wordt aangeduid conform artikel </w:t>
      </w:r>
      <w:r w:rsidR="00C32211" w:rsidRPr="00473EC5">
        <w:rPr>
          <w:lang w:val="nl-BE"/>
        </w:rPr>
        <w:t xml:space="preserve">9, § 2, </w:t>
      </w:r>
      <w:r w:rsidRPr="00473EC5">
        <w:rPr>
          <w:lang w:val="nl-BE"/>
        </w:rPr>
        <w:t xml:space="preserve">van de wet van </w:t>
      </w:r>
      <w:r w:rsidR="00C32211" w:rsidRPr="00473EC5">
        <w:rPr>
          <w:lang w:val="nl-BE"/>
        </w:rPr>
        <w:t>18 september 2017</w:t>
      </w:r>
      <w:r w:rsidRPr="00473EC5">
        <w:rPr>
          <w:lang w:val="nl-BE"/>
        </w:rPr>
        <w:t xml:space="preserve"> krachtens diezelfde wettelijke bepaling niet alleen voornamelijk belast is met de analyse van de atypische verrichtingen om te bepalen of deze verrichtingen als verdacht moeten worden beschouwd en meegedeeld moeten worden aan de Cel voor </w:t>
      </w:r>
      <w:r w:rsidRPr="00473EC5">
        <w:rPr>
          <w:bCs/>
          <w:lang w:val="nl-BE"/>
        </w:rPr>
        <w:t>Financiële Informatieverwerking (CFI)</w:t>
      </w:r>
      <w:r w:rsidRPr="00473EC5">
        <w:rPr>
          <w:lang w:val="nl-BE"/>
        </w:rPr>
        <w:t xml:space="preserve">, maar ook met de toepassing van de beleidslijnen en procedures bedoeld in </w:t>
      </w:r>
      <w:r w:rsidR="00C32211" w:rsidRPr="00473EC5">
        <w:rPr>
          <w:lang w:val="nl-BE"/>
        </w:rPr>
        <w:t xml:space="preserve">artikel 8 </w:t>
      </w:r>
      <w:r w:rsidRPr="00473EC5">
        <w:rPr>
          <w:lang w:val="nl-BE"/>
        </w:rPr>
        <w:t>van de wet. Hiermee worden in het bijzonder de interne controlemaatregelen en -procedures bedoeld die nodig zijn om te garanderen dat de wet wordt nageleefd en die aan bod komen in de vragenlijst.</w:t>
      </w:r>
      <w:r w:rsidR="00C32211" w:rsidRPr="00473EC5">
        <w:rPr>
          <w:lang w:val="nl-BE"/>
        </w:rPr>
        <w:t xml:space="preserve"> Artikel 9 van de wet </w:t>
      </w:r>
      <w:r w:rsidRPr="00473EC5">
        <w:rPr>
          <w:lang w:val="nl-BE"/>
        </w:rPr>
        <w:t>bepaalt eveneens dat deze verantwoordelijke er op een algemene wijze op toe moet zien dat de instelling al haar verplichtingen nakomt op het vlak van de voorkoming van witwassen van geld en de financiering van terrorisme</w:t>
      </w:r>
      <w:r w:rsidRPr="00473EC5">
        <w:rPr>
          <w:rFonts w:cs="Arial"/>
          <w:iCs/>
          <w:lang w:val="nl-BE" w:eastAsia="nl-BE"/>
        </w:rPr>
        <w:t xml:space="preserve"> en er meer in het bijzonder over moet waken dat de instelling zorgt voor een ter zake passende administratieve organisatie en interne controlemaatregelen als vereist krachtens </w:t>
      </w:r>
      <w:r w:rsidR="00C32211" w:rsidRPr="00473EC5">
        <w:rPr>
          <w:rFonts w:cs="Arial"/>
          <w:iCs/>
          <w:lang w:val="nl-BE" w:eastAsia="nl-BE"/>
        </w:rPr>
        <w:t>8</w:t>
      </w:r>
      <w:r w:rsidRPr="00473EC5">
        <w:rPr>
          <w:rFonts w:cs="Arial"/>
          <w:iCs/>
          <w:lang w:val="nl-BE" w:eastAsia="nl-BE"/>
        </w:rPr>
        <w:t xml:space="preserve"> van de wet. Die verantwoordelijke moet ook bevoegd zijn om op eigen initiatief alle ter zake nodige of nuttige maatregelen voor te stellen aan de effectieve leiding van de instelling, inclusief de vrijmaking van de nodige middelen.</w:t>
      </w:r>
    </w:p>
    <w:p w14:paraId="0CE4545F" w14:textId="77777777" w:rsidR="00F51D15" w:rsidRPr="00473EC5" w:rsidRDefault="00F51D15" w:rsidP="00DC3E2F">
      <w:pPr>
        <w:spacing w:before="240" w:after="120"/>
        <w:jc w:val="both"/>
        <w:rPr>
          <w:lang w:val="nl-BE"/>
        </w:rPr>
      </w:pPr>
      <w:r w:rsidRPr="00473EC5">
        <w:rPr>
          <w:lang w:val="nl-BE"/>
        </w:rPr>
        <w:t xml:space="preserve">De Bank verwacht dus dat de effectieve leiding van de financiële instelling beslist welke antwoorden er op de vragenlijst worden gegeven, op voorstel van de verantwoordelijke voor de voorkoming van het witwassen van geld en de financiering van terrorisme. </w:t>
      </w:r>
    </w:p>
    <w:p w14:paraId="0CE45460" w14:textId="133FC8FF" w:rsidR="00F51D15" w:rsidRPr="00473EC5" w:rsidRDefault="00F51D15" w:rsidP="00DC3E2F">
      <w:pPr>
        <w:spacing w:before="240" w:after="120"/>
        <w:jc w:val="both"/>
        <w:rPr>
          <w:b/>
          <w:u w:val="single"/>
          <w:lang w:val="nl-BE"/>
        </w:rPr>
      </w:pPr>
      <w:r w:rsidRPr="00473EC5">
        <w:rPr>
          <w:lang w:val="nl-BE"/>
        </w:rPr>
        <w:lastRenderedPageBreak/>
        <w:t xml:space="preserve">De Bank </w:t>
      </w:r>
      <w:r w:rsidR="00130D51" w:rsidRPr="00473EC5">
        <w:rPr>
          <w:lang w:val="nl-BE"/>
        </w:rPr>
        <w:t xml:space="preserve">kan </w:t>
      </w:r>
      <w:r w:rsidR="00AF6B18" w:rsidRPr="00473EC5">
        <w:rPr>
          <w:lang w:val="nl-BE"/>
        </w:rPr>
        <w:t>de correctheid en de kwaliteit van de antwoorden die door de instellingen worden</w:t>
      </w:r>
      <w:r w:rsidR="00133482" w:rsidRPr="00473EC5">
        <w:rPr>
          <w:lang w:val="nl-BE"/>
        </w:rPr>
        <w:t xml:space="preserve"> </w:t>
      </w:r>
      <w:r w:rsidR="00AF6B18" w:rsidRPr="00473EC5">
        <w:rPr>
          <w:lang w:val="nl-BE"/>
        </w:rPr>
        <w:t>gegeven, nagaan</w:t>
      </w:r>
      <w:r w:rsidR="00AF6B18" w:rsidRPr="00473EC5" w:rsidDel="00AF6B18">
        <w:rPr>
          <w:lang w:val="nl-BE"/>
        </w:rPr>
        <w:t xml:space="preserve"> </w:t>
      </w:r>
      <w:r w:rsidRPr="00473EC5">
        <w:rPr>
          <w:lang w:val="nl-BE"/>
        </w:rPr>
        <w:t xml:space="preserve">in het kader van specifieke controleacties </w:t>
      </w:r>
      <w:r w:rsidR="000263D5" w:rsidRPr="00473EC5">
        <w:rPr>
          <w:lang w:val="nl-BE"/>
        </w:rPr>
        <w:t>of</w:t>
      </w:r>
      <w:r w:rsidRPr="00473EC5">
        <w:rPr>
          <w:lang w:val="nl-BE"/>
        </w:rPr>
        <w:t xml:space="preserve"> inspecties ter plaatse</w:t>
      </w:r>
      <w:r w:rsidR="00276A78" w:rsidRPr="00473EC5">
        <w:rPr>
          <w:lang w:val="nl-BE"/>
        </w:rPr>
        <w:t>.</w:t>
      </w:r>
    </w:p>
    <w:p w14:paraId="0CE45461" w14:textId="77777777" w:rsidR="00F51D15" w:rsidRPr="00473EC5" w:rsidRDefault="00122363" w:rsidP="00DC3E2F">
      <w:pPr>
        <w:spacing w:before="240" w:after="120"/>
        <w:jc w:val="both"/>
        <w:rPr>
          <w:lang w:val="nl-BE"/>
        </w:rPr>
      </w:pPr>
      <w:r w:rsidRPr="00473EC5">
        <w:rPr>
          <w:lang w:val="nl-BE"/>
        </w:rPr>
        <w:t>Er wordt een kopie van deze mededeling verzonden naar de commissaris(sen), erkend revisor(en) van uw instelling.</w:t>
      </w:r>
    </w:p>
    <w:p w14:paraId="0CE45462" w14:textId="77777777" w:rsidR="00F51D15" w:rsidRPr="00473EC5" w:rsidRDefault="00F51D15" w:rsidP="00DC3E2F">
      <w:pPr>
        <w:spacing w:before="240" w:after="120"/>
        <w:jc w:val="both"/>
        <w:rPr>
          <w:lang w:val="nl-BE"/>
        </w:rPr>
      </w:pPr>
      <w:r w:rsidRPr="00473EC5">
        <w:rPr>
          <w:lang w:val="nl-BE"/>
        </w:rPr>
        <w:t>Hoogachtend</w:t>
      </w:r>
    </w:p>
    <w:p w14:paraId="0CE45463" w14:textId="77777777" w:rsidR="00122363" w:rsidRPr="00473EC5" w:rsidRDefault="00122363" w:rsidP="00122363">
      <w:pPr>
        <w:tabs>
          <w:tab w:val="clear" w:pos="284"/>
        </w:tabs>
        <w:spacing w:line="240" w:lineRule="auto"/>
        <w:rPr>
          <w:lang w:val="nl-BE"/>
        </w:rPr>
      </w:pPr>
    </w:p>
    <w:p w14:paraId="0CE45464" w14:textId="77777777" w:rsidR="00122363" w:rsidRPr="00473EC5" w:rsidRDefault="00122363" w:rsidP="00122363">
      <w:pPr>
        <w:tabs>
          <w:tab w:val="clear" w:pos="284"/>
        </w:tabs>
        <w:spacing w:line="240" w:lineRule="auto"/>
        <w:rPr>
          <w:lang w:val="nl-BE"/>
        </w:rPr>
      </w:pPr>
    </w:p>
    <w:p w14:paraId="0CE45465" w14:textId="2BA5BE05" w:rsidR="00122363" w:rsidRPr="00473EC5" w:rsidRDefault="00122363" w:rsidP="00122363">
      <w:pPr>
        <w:tabs>
          <w:tab w:val="clear" w:pos="284"/>
        </w:tabs>
        <w:spacing w:line="240" w:lineRule="auto"/>
        <w:rPr>
          <w:lang w:val="nl-BE"/>
        </w:rPr>
      </w:pPr>
    </w:p>
    <w:p w14:paraId="10778030" w14:textId="77777777" w:rsidR="00DC3E2F" w:rsidRPr="00473EC5" w:rsidRDefault="00DC3E2F" w:rsidP="00122363">
      <w:pPr>
        <w:tabs>
          <w:tab w:val="clear" w:pos="284"/>
        </w:tabs>
        <w:spacing w:line="240" w:lineRule="auto"/>
        <w:rPr>
          <w:lang w:val="nl-BE"/>
        </w:rPr>
      </w:pPr>
    </w:p>
    <w:p w14:paraId="0CE45466" w14:textId="77777777" w:rsidR="00122363" w:rsidRPr="00473EC5" w:rsidRDefault="00122363" w:rsidP="00122363">
      <w:pPr>
        <w:tabs>
          <w:tab w:val="clear" w:pos="284"/>
        </w:tabs>
        <w:spacing w:line="240" w:lineRule="auto"/>
        <w:rPr>
          <w:lang w:val="nl-BE"/>
        </w:rPr>
      </w:pPr>
    </w:p>
    <w:p w14:paraId="0CE45467" w14:textId="77777777" w:rsidR="00122363" w:rsidRPr="00473EC5" w:rsidRDefault="00122363" w:rsidP="00122363">
      <w:pPr>
        <w:tabs>
          <w:tab w:val="clear" w:pos="284"/>
        </w:tabs>
        <w:spacing w:line="240" w:lineRule="auto"/>
        <w:rPr>
          <w:lang w:val="nl-BE"/>
        </w:rPr>
      </w:pPr>
    </w:p>
    <w:p w14:paraId="0CE45468" w14:textId="110E8E38" w:rsidR="00F51D15" w:rsidRPr="00473EC5" w:rsidRDefault="00AF6B18" w:rsidP="00046B3B">
      <w:pPr>
        <w:jc w:val="both"/>
        <w:rPr>
          <w:lang w:val="nl-BE"/>
        </w:rPr>
      </w:pPr>
      <w:r w:rsidRPr="00473EC5">
        <w:rPr>
          <w:lang w:val="nl-BE"/>
        </w:rPr>
        <w:t>Pierre Wunsch</w:t>
      </w:r>
    </w:p>
    <w:p w14:paraId="0CE45469" w14:textId="77777777" w:rsidR="00F51D15" w:rsidRPr="00473EC5" w:rsidRDefault="00F51D15" w:rsidP="00046B3B">
      <w:pPr>
        <w:spacing w:after="120"/>
        <w:jc w:val="both"/>
        <w:rPr>
          <w:lang w:val="nl-BE"/>
        </w:rPr>
      </w:pPr>
      <w:r w:rsidRPr="00473EC5">
        <w:rPr>
          <w:lang w:val="nl-BE"/>
        </w:rPr>
        <w:t>Gouverneur</w:t>
      </w:r>
    </w:p>
    <w:p w14:paraId="0CE4546A" w14:textId="77777777" w:rsidR="00F51D15" w:rsidRPr="00473EC5" w:rsidRDefault="00F51D15" w:rsidP="00DC3E2F">
      <w:pPr>
        <w:spacing w:before="360" w:after="120"/>
        <w:jc w:val="both"/>
        <w:rPr>
          <w:i/>
          <w:lang w:val="nl-BE"/>
        </w:rPr>
      </w:pPr>
      <w:r w:rsidRPr="00473EC5">
        <w:rPr>
          <w:i/>
          <w:lang w:val="nl-BE"/>
        </w:rPr>
        <w:t xml:space="preserve">Bijlagen (5) – enkel beschikbaar via </w:t>
      </w:r>
      <w:hyperlink r:id="rId20" w:history="1">
        <w:r w:rsidRPr="00473EC5">
          <w:rPr>
            <w:rStyle w:val="Hyperlink"/>
            <w:i/>
            <w:lang w:val="nl-BE"/>
          </w:rPr>
          <w:t>www.nbb.be</w:t>
        </w:r>
      </w:hyperlink>
      <w:r w:rsidRPr="00473EC5">
        <w:rPr>
          <w:i/>
          <w:lang w:val="nl-BE"/>
        </w:rPr>
        <w:t>:</w:t>
      </w:r>
    </w:p>
    <w:p w14:paraId="0CE4546B" w14:textId="77777777" w:rsidR="00F51D15" w:rsidRPr="00473EC5" w:rsidRDefault="00F51D15" w:rsidP="00046B3B">
      <w:pPr>
        <w:pStyle w:val="ListParagraph"/>
        <w:numPr>
          <w:ilvl w:val="0"/>
          <w:numId w:val="3"/>
        </w:numPr>
        <w:spacing w:before="240" w:after="120"/>
        <w:jc w:val="both"/>
        <w:rPr>
          <w:i/>
          <w:lang w:val="nl-BE"/>
        </w:rPr>
      </w:pPr>
      <w:r w:rsidRPr="00473EC5">
        <w:rPr>
          <w:i/>
          <w:lang w:val="nl-BE"/>
        </w:rPr>
        <w:t xml:space="preserve">Vragenlijst kredietinstellingen; </w:t>
      </w:r>
    </w:p>
    <w:p w14:paraId="0CE4546C" w14:textId="77777777" w:rsidR="00F51D15" w:rsidRPr="00473EC5" w:rsidRDefault="00F51D15" w:rsidP="00046B3B">
      <w:pPr>
        <w:pStyle w:val="ListParagraph"/>
        <w:numPr>
          <w:ilvl w:val="0"/>
          <w:numId w:val="3"/>
        </w:numPr>
        <w:spacing w:before="240" w:after="120"/>
        <w:jc w:val="both"/>
        <w:rPr>
          <w:i/>
          <w:lang w:val="nl-BE"/>
        </w:rPr>
      </w:pPr>
      <w:r w:rsidRPr="00473EC5">
        <w:rPr>
          <w:i/>
          <w:lang w:val="nl-BE"/>
        </w:rPr>
        <w:t>Vragenlijst levensverzekeringsondernemingen;</w:t>
      </w:r>
    </w:p>
    <w:p w14:paraId="0CE4546D" w14:textId="77777777" w:rsidR="00F51D15" w:rsidRPr="00473EC5" w:rsidRDefault="00F51D15" w:rsidP="00046B3B">
      <w:pPr>
        <w:pStyle w:val="ListParagraph"/>
        <w:numPr>
          <w:ilvl w:val="0"/>
          <w:numId w:val="3"/>
        </w:numPr>
        <w:spacing w:before="240" w:after="120"/>
        <w:jc w:val="both"/>
        <w:rPr>
          <w:i/>
          <w:lang w:val="nl-BE"/>
        </w:rPr>
      </w:pPr>
      <w:r w:rsidRPr="00473EC5">
        <w:rPr>
          <w:i/>
          <w:lang w:val="nl-BE"/>
        </w:rPr>
        <w:t>Vragenlijst beursvennootschappen;</w:t>
      </w:r>
    </w:p>
    <w:p w14:paraId="0CE4546E" w14:textId="77777777" w:rsidR="00F51D15" w:rsidRPr="00473EC5" w:rsidRDefault="00F51D15" w:rsidP="00046B3B">
      <w:pPr>
        <w:pStyle w:val="ListParagraph"/>
        <w:numPr>
          <w:ilvl w:val="0"/>
          <w:numId w:val="3"/>
        </w:numPr>
        <w:spacing w:before="240" w:after="120"/>
        <w:jc w:val="both"/>
        <w:rPr>
          <w:i/>
          <w:lang w:val="nl-BE"/>
        </w:rPr>
      </w:pPr>
      <w:r w:rsidRPr="00473EC5">
        <w:rPr>
          <w:i/>
          <w:lang w:val="nl-BE"/>
        </w:rPr>
        <w:t>Vragenlijst betalingsinstellingen en instellingen voor elektronisch geld</w:t>
      </w:r>
      <w:r w:rsidR="00A42527" w:rsidRPr="00473EC5">
        <w:rPr>
          <w:i/>
          <w:lang w:val="nl-BE"/>
        </w:rPr>
        <w:t>;</w:t>
      </w:r>
    </w:p>
    <w:p w14:paraId="0CE4546F" w14:textId="77777777" w:rsidR="00F51D15" w:rsidRPr="00473EC5" w:rsidRDefault="00F51D15" w:rsidP="00046B3B">
      <w:pPr>
        <w:pStyle w:val="ListParagraph"/>
        <w:numPr>
          <w:ilvl w:val="0"/>
          <w:numId w:val="3"/>
        </w:numPr>
        <w:spacing w:before="240" w:after="120"/>
        <w:jc w:val="both"/>
        <w:rPr>
          <w:i/>
          <w:lang w:val="nl-BE"/>
        </w:rPr>
      </w:pPr>
      <w:r w:rsidRPr="00473EC5">
        <w:rPr>
          <w:i/>
          <w:lang w:val="nl-BE"/>
        </w:rPr>
        <w:t>Lijst met hoge risicolanden, EU-sanctielanden en offshore-landen (bijlage 1 bij de hierboven vermelde vragenlijsten)</w:t>
      </w:r>
      <w:r w:rsidR="00A42527" w:rsidRPr="00473EC5">
        <w:rPr>
          <w:i/>
          <w:lang w:val="nl-BE"/>
        </w:rPr>
        <w:t>.</w:t>
      </w:r>
    </w:p>
    <w:p w14:paraId="0CE45470" w14:textId="77777777" w:rsidR="00A72D09" w:rsidRPr="00473EC5" w:rsidRDefault="00A72D09" w:rsidP="00046B3B">
      <w:pPr>
        <w:jc w:val="both"/>
        <w:rPr>
          <w:lang w:val="nl-BE"/>
        </w:rPr>
      </w:pPr>
    </w:p>
    <w:sectPr w:rsidR="00A72D09" w:rsidRPr="00473EC5" w:rsidSect="00D850C8">
      <w:headerReference w:type="even" r:id="rId21"/>
      <w:headerReference w:type="default" r:id="rId22"/>
      <w:footerReference w:type="even" r:id="rId23"/>
      <w:footerReference w:type="default" r:id="rId24"/>
      <w:footerReference w:type="first" r:id="rId25"/>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2D5B" w14:textId="77777777" w:rsidR="00363097" w:rsidRDefault="00363097" w:rsidP="00F51D15">
      <w:pPr>
        <w:spacing w:line="240" w:lineRule="auto"/>
      </w:pPr>
      <w:r>
        <w:separator/>
      </w:r>
    </w:p>
  </w:endnote>
  <w:endnote w:type="continuationSeparator" w:id="0">
    <w:p w14:paraId="7B2647D3" w14:textId="77777777" w:rsidR="00363097" w:rsidRDefault="00363097" w:rsidP="00F51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547F" w14:textId="77777777" w:rsidR="00E87276" w:rsidRPr="0005400B" w:rsidRDefault="00D05C11" w:rsidP="00E87276">
    <w:pPr>
      <w:pStyle w:val="Footer"/>
      <w:pBdr>
        <w:top w:val="single" w:sz="4" w:space="1" w:color="auto"/>
      </w:pBdr>
      <w:rPr>
        <w:b/>
        <w:sz w:val="16"/>
        <w:szCs w:val="16"/>
        <w:lang w:val="nl-BE"/>
      </w:rPr>
    </w:pPr>
    <w:r>
      <w:rPr>
        <w:b/>
        <w:sz w:val="16"/>
        <w:szCs w:val="16"/>
        <w:lang w:val="nl-BE"/>
      </w:rPr>
      <w:t>Circulaire</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8</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3B0DBC">
      <w:rPr>
        <w:b/>
        <w:noProof/>
        <w:sz w:val="16"/>
        <w:szCs w:val="16"/>
        <w:lang w:val="nl-BE"/>
      </w:rPr>
      <w:t>6</w:t>
    </w:r>
    <w:r>
      <w:rPr>
        <w:b/>
        <w:sz w:val="16"/>
        <w:szCs w:val="16"/>
        <w:lang w:val="nl-BE"/>
      </w:rPr>
      <w:fldChar w:fldCharType="end"/>
    </w:r>
    <w:r>
      <w:rPr>
        <w:b/>
        <w:sz w:val="16"/>
        <w:szCs w:val="16"/>
        <w:lang w:val="nl-BE"/>
      </w:rPr>
      <w:tab/>
    </w:r>
    <w:r>
      <w:rPr>
        <w:sz w:val="14"/>
        <w:szCs w:val="16"/>
        <w:lang w:val="nl-BE"/>
      </w:rPr>
      <w:t>NBB_2017</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13 maart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5480" w14:textId="0EA42526" w:rsidR="00450949" w:rsidRPr="0005400B" w:rsidRDefault="00D05C11" w:rsidP="00F64E38">
    <w:pPr>
      <w:pStyle w:val="Footer"/>
      <w:pBdr>
        <w:top w:val="single" w:sz="4" w:space="1" w:color="auto"/>
      </w:pBdr>
      <w:rPr>
        <w:b/>
        <w:sz w:val="16"/>
        <w:szCs w:val="14"/>
        <w:lang w:val="nl-BE"/>
      </w:rPr>
    </w:pPr>
    <w:r>
      <w:rPr>
        <w:b/>
        <w:sz w:val="16"/>
        <w:szCs w:val="14"/>
        <w:lang w:val="nl-BE"/>
      </w:rPr>
      <w:tab/>
    </w:r>
    <w:r w:rsidR="002F0E36" w:rsidRPr="003B0DBC">
      <w:rPr>
        <w:sz w:val="14"/>
        <w:szCs w:val="16"/>
        <w:lang w:val="fr-BE"/>
      </w:rPr>
      <w:t>NBB_201</w:t>
    </w:r>
    <w:r w:rsidR="002F0E36">
      <w:rPr>
        <w:sz w:val="14"/>
        <w:szCs w:val="16"/>
        <w:lang w:val="fr-BE"/>
      </w:rPr>
      <w:t>9</w:t>
    </w:r>
    <w:r w:rsidR="002F0E36" w:rsidRPr="003B0DBC">
      <w:rPr>
        <w:sz w:val="14"/>
        <w:szCs w:val="16"/>
        <w:lang w:val="fr-BE"/>
      </w:rPr>
      <w:t>_</w:t>
    </w:r>
    <w:r w:rsidR="002F0E36">
      <w:rPr>
        <w:sz w:val="14"/>
        <w:szCs w:val="16"/>
        <w:lang w:val="fr-BE"/>
      </w:rPr>
      <w:t>03</w:t>
    </w:r>
    <w:r w:rsidR="002F0E36" w:rsidRPr="003B0DBC">
      <w:rPr>
        <w:rFonts w:cs="Arial"/>
        <w:sz w:val="14"/>
        <w:szCs w:val="16"/>
        <w:lang w:val="nl-BE"/>
      </w:rPr>
      <w:t> </w:t>
    </w:r>
    <w:r w:rsidR="002F0E36" w:rsidRPr="003B0DBC">
      <w:rPr>
        <w:rFonts w:cs="Arial"/>
        <w:sz w:val="14"/>
        <w:szCs w:val="16"/>
        <w:lang w:val="fr-BE"/>
      </w:rPr>
      <w:t>–</w:t>
    </w:r>
    <w:r w:rsidR="002F0E36" w:rsidRPr="003B0DBC">
      <w:rPr>
        <w:rFonts w:cs="Arial"/>
        <w:sz w:val="14"/>
        <w:szCs w:val="16"/>
        <w:lang w:val="nl-BE"/>
      </w:rPr>
      <w:t> </w:t>
    </w:r>
    <w:r w:rsidR="002F0E36">
      <w:rPr>
        <w:rFonts w:cs="Arial"/>
        <w:sz w:val="14"/>
        <w:szCs w:val="16"/>
        <w:lang w:val="nl-BE"/>
      </w:rPr>
      <w:t>15 februari 2019</w:t>
    </w:r>
    <w:r w:rsidRPr="002E5C5E">
      <w:rPr>
        <w:b/>
        <w:sz w:val="16"/>
        <w:szCs w:val="14"/>
        <w:lang w:val="fr-BE"/>
      </w:rPr>
      <w:tab/>
      <w:t>Circulaire</w:t>
    </w:r>
    <w:r>
      <w:rPr>
        <w:rFonts w:cs="Arial"/>
        <w:b/>
        <w:sz w:val="16"/>
        <w:szCs w:val="14"/>
        <w:lang w:val="nl-BE"/>
      </w:rPr>
      <w:t> </w:t>
    </w:r>
    <w:r w:rsidRPr="002E5C5E">
      <w:rPr>
        <w:rFonts w:cs="Arial"/>
        <w:b/>
        <w:sz w:val="16"/>
        <w:szCs w:val="14"/>
        <w:lang w:val="fr-BE"/>
      </w:rPr>
      <w:t>–</w:t>
    </w:r>
    <w:r>
      <w:rPr>
        <w:rFonts w:cs="Arial"/>
        <w:b/>
        <w:sz w:val="16"/>
        <w:szCs w:val="14"/>
        <w:lang w:val="nl-BE"/>
      </w:rPr>
      <w:t> </w:t>
    </w:r>
    <w:r w:rsidRPr="002E5C5E">
      <w:rPr>
        <w:b/>
        <w:sz w:val="16"/>
        <w:szCs w:val="14"/>
        <w:lang w:val="fr-BE"/>
      </w:rPr>
      <w:t xml:space="preserve">Blz. </w:t>
    </w:r>
    <w:r>
      <w:rPr>
        <w:b/>
        <w:sz w:val="16"/>
        <w:szCs w:val="14"/>
        <w:lang w:val="nl-BE"/>
      </w:rPr>
      <w:fldChar w:fldCharType="begin"/>
    </w:r>
    <w:r w:rsidRPr="002E5C5E">
      <w:rPr>
        <w:b/>
        <w:sz w:val="16"/>
        <w:szCs w:val="14"/>
        <w:lang w:val="fr-BE"/>
      </w:rPr>
      <w:instrText xml:space="preserve"> PAGE   </w:instrText>
    </w:r>
    <w:r>
      <w:rPr>
        <w:b/>
        <w:sz w:val="16"/>
        <w:szCs w:val="14"/>
        <w:lang w:val="nl-BE"/>
      </w:rPr>
      <w:fldChar w:fldCharType="separate"/>
    </w:r>
    <w:r w:rsidR="000D4F72">
      <w:rPr>
        <w:b/>
        <w:noProof/>
        <w:sz w:val="16"/>
        <w:szCs w:val="14"/>
        <w:lang w:val="fr-BE"/>
      </w:rPr>
      <w:t>2</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0D4F72">
      <w:rPr>
        <w:b/>
        <w:noProof/>
        <w:sz w:val="16"/>
        <w:szCs w:val="14"/>
        <w:lang w:val="nl-BE"/>
      </w:rPr>
      <w:t>6</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5481" w14:textId="65A078F2" w:rsidR="00450949" w:rsidRPr="0005400B" w:rsidRDefault="00D05C11" w:rsidP="00CB2202">
    <w:pPr>
      <w:pStyle w:val="Footer"/>
      <w:pBdr>
        <w:top w:val="single" w:sz="4" w:space="1" w:color="auto"/>
      </w:pBdr>
      <w:rPr>
        <w:b/>
        <w:sz w:val="16"/>
        <w:szCs w:val="16"/>
        <w:lang w:val="nl-BE"/>
      </w:rPr>
    </w:pPr>
    <w:r>
      <w:rPr>
        <w:b/>
        <w:sz w:val="16"/>
        <w:szCs w:val="16"/>
        <w:lang w:val="nl-BE"/>
      </w:rPr>
      <w:tab/>
    </w:r>
    <w:r w:rsidR="002E5C5E" w:rsidRPr="003B0DBC">
      <w:rPr>
        <w:sz w:val="14"/>
        <w:szCs w:val="16"/>
        <w:lang w:val="fr-BE"/>
      </w:rPr>
      <w:t>NBB_201</w:t>
    </w:r>
    <w:r w:rsidR="002F0E36">
      <w:rPr>
        <w:sz w:val="14"/>
        <w:szCs w:val="16"/>
        <w:lang w:val="fr-BE"/>
      </w:rPr>
      <w:t>9</w:t>
    </w:r>
    <w:r w:rsidRPr="003B0DBC">
      <w:rPr>
        <w:sz w:val="14"/>
        <w:szCs w:val="16"/>
        <w:lang w:val="fr-BE"/>
      </w:rPr>
      <w:t>_</w:t>
    </w:r>
    <w:r w:rsidR="002F0E36">
      <w:rPr>
        <w:sz w:val="14"/>
        <w:szCs w:val="16"/>
        <w:lang w:val="fr-BE"/>
      </w:rPr>
      <w:t>03</w:t>
    </w:r>
    <w:r w:rsidRPr="003B0DBC">
      <w:rPr>
        <w:rFonts w:cs="Arial"/>
        <w:sz w:val="14"/>
        <w:szCs w:val="16"/>
        <w:lang w:val="nl-BE"/>
      </w:rPr>
      <w:t> </w:t>
    </w:r>
    <w:r w:rsidRPr="003B0DBC">
      <w:rPr>
        <w:rFonts w:cs="Arial"/>
        <w:sz w:val="14"/>
        <w:szCs w:val="16"/>
        <w:lang w:val="fr-BE"/>
      </w:rPr>
      <w:t>–</w:t>
    </w:r>
    <w:r w:rsidRPr="003B0DBC">
      <w:rPr>
        <w:rFonts w:cs="Arial"/>
        <w:sz w:val="14"/>
        <w:szCs w:val="16"/>
        <w:lang w:val="nl-BE"/>
      </w:rPr>
      <w:t> </w:t>
    </w:r>
    <w:r w:rsidR="002F0E36">
      <w:rPr>
        <w:rFonts w:cs="Arial"/>
        <w:sz w:val="14"/>
        <w:szCs w:val="16"/>
        <w:lang w:val="nl-BE"/>
      </w:rPr>
      <w:t>15 februari 2019</w:t>
    </w:r>
    <w:r w:rsidRPr="006126C7">
      <w:rPr>
        <w:b/>
        <w:sz w:val="16"/>
        <w:szCs w:val="16"/>
        <w:lang w:val="fr-BE"/>
      </w:rPr>
      <w:tab/>
      <w:t>Circulaire</w:t>
    </w:r>
    <w:r>
      <w:rPr>
        <w:rFonts w:cs="Arial"/>
        <w:b/>
        <w:sz w:val="16"/>
        <w:szCs w:val="16"/>
        <w:lang w:val="nl-BE"/>
      </w:rPr>
      <w:t> </w:t>
    </w:r>
    <w:r w:rsidRPr="006126C7">
      <w:rPr>
        <w:rFonts w:cs="Arial"/>
        <w:b/>
        <w:sz w:val="16"/>
        <w:szCs w:val="16"/>
        <w:lang w:val="fr-BE"/>
      </w:rPr>
      <w:t>–</w:t>
    </w:r>
    <w:r>
      <w:rPr>
        <w:rFonts w:cs="Arial"/>
        <w:b/>
        <w:sz w:val="16"/>
        <w:szCs w:val="16"/>
        <w:lang w:val="nl-BE"/>
      </w:rPr>
      <w:t> </w:t>
    </w:r>
    <w:r w:rsidRPr="006126C7">
      <w:rPr>
        <w:b/>
        <w:sz w:val="16"/>
        <w:szCs w:val="16"/>
        <w:lang w:val="fr-BE"/>
      </w:rPr>
      <w:t xml:space="preserve">Blz. </w:t>
    </w:r>
    <w:r>
      <w:rPr>
        <w:b/>
        <w:sz w:val="16"/>
        <w:szCs w:val="16"/>
        <w:lang w:val="nl-BE"/>
      </w:rPr>
      <w:fldChar w:fldCharType="begin"/>
    </w:r>
    <w:r w:rsidRPr="006126C7">
      <w:rPr>
        <w:b/>
        <w:sz w:val="16"/>
        <w:szCs w:val="16"/>
        <w:lang w:val="fr-BE"/>
      </w:rPr>
      <w:instrText xml:space="preserve"> PAGE   </w:instrText>
    </w:r>
    <w:r>
      <w:rPr>
        <w:b/>
        <w:sz w:val="16"/>
        <w:szCs w:val="16"/>
        <w:lang w:val="nl-BE"/>
      </w:rPr>
      <w:fldChar w:fldCharType="separate"/>
    </w:r>
    <w:r w:rsidR="000D4F72">
      <w:rPr>
        <w:b/>
        <w:noProof/>
        <w:sz w:val="16"/>
        <w:szCs w:val="16"/>
        <w:lang w:val="fr-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0D4F72">
      <w:rPr>
        <w:b/>
        <w:noProof/>
        <w:sz w:val="16"/>
        <w:szCs w:val="16"/>
        <w:lang w:val="nl-BE"/>
      </w:rPr>
      <w:t>6</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4322C" w14:textId="77777777" w:rsidR="00363097" w:rsidRDefault="00363097" w:rsidP="00F51D15">
      <w:pPr>
        <w:spacing w:line="240" w:lineRule="auto"/>
      </w:pPr>
      <w:r>
        <w:separator/>
      </w:r>
    </w:p>
  </w:footnote>
  <w:footnote w:type="continuationSeparator" w:id="0">
    <w:p w14:paraId="20ACE195" w14:textId="77777777" w:rsidR="00363097" w:rsidRDefault="00363097" w:rsidP="00F51D15">
      <w:pPr>
        <w:spacing w:line="240" w:lineRule="auto"/>
      </w:pPr>
      <w:r>
        <w:continuationSeparator/>
      </w:r>
    </w:p>
  </w:footnote>
  <w:footnote w:id="1">
    <w:p w14:paraId="0CE45482" w14:textId="77777777" w:rsidR="00882CE1" w:rsidRPr="0018048D" w:rsidRDefault="00882CE1" w:rsidP="00882CE1">
      <w:pPr>
        <w:pStyle w:val="FootnoteText"/>
        <w:rPr>
          <w:lang w:val="nl-BE"/>
        </w:rPr>
      </w:pPr>
      <w:r>
        <w:rPr>
          <w:rStyle w:val="FootnoteReference"/>
        </w:rPr>
        <w:footnoteRef/>
      </w:r>
      <w:r w:rsidR="00D812B9">
        <w:rPr>
          <w:lang w:val="nl-BE"/>
        </w:rPr>
        <w:tab/>
      </w:r>
      <w:r>
        <w:rPr>
          <w:lang w:val="nl-BE"/>
        </w:rPr>
        <w:t>Richtlijn (EU) 2015/849 van 20 mei 2015 en Verordening (EU) 2015/847.</w:t>
      </w:r>
    </w:p>
  </w:footnote>
  <w:footnote w:id="2">
    <w:p w14:paraId="0CE45483" w14:textId="77777777" w:rsidR="00F51D15" w:rsidRPr="00793AAB" w:rsidRDefault="00F51D15" w:rsidP="002F0E36">
      <w:pPr>
        <w:pStyle w:val="FootnoteText"/>
        <w:tabs>
          <w:tab w:val="clear" w:pos="284"/>
        </w:tabs>
        <w:jc w:val="both"/>
        <w:rPr>
          <w:lang w:val="nl-BE"/>
        </w:rPr>
      </w:pPr>
      <w:r>
        <w:rPr>
          <w:rStyle w:val="FootnoteReference"/>
        </w:rPr>
        <w:footnoteRef/>
      </w:r>
      <w:r w:rsidR="00D812B9">
        <w:rPr>
          <w:lang w:val="nl-BE"/>
        </w:rPr>
        <w:tab/>
      </w:r>
      <w:r>
        <w:rPr>
          <w:lang w:val="nl-BE"/>
        </w:rPr>
        <w:t>Zijnde de Europese Bankautoriteit (EBA), de Europese toezichthouder van</w:t>
      </w:r>
      <w:r w:rsidRPr="00793AAB">
        <w:rPr>
          <w:lang w:val="nl-BE"/>
        </w:rPr>
        <w:t xml:space="preserve"> verzekeraars en pensioenfondsen</w:t>
      </w:r>
      <w:r>
        <w:rPr>
          <w:lang w:val="nl-BE"/>
        </w:rPr>
        <w:t xml:space="preserve"> (EIOPA) en de </w:t>
      </w:r>
      <w:r w:rsidRPr="00EE4A34">
        <w:rPr>
          <w:lang w:val="nl-BE"/>
        </w:rPr>
        <w:t>Europese Autoriteit voor effecten en markten</w:t>
      </w:r>
      <w:r>
        <w:rPr>
          <w:lang w:val="nl-BE"/>
        </w:rPr>
        <w:t xml:space="preserve"> (ESMA).</w:t>
      </w:r>
    </w:p>
  </w:footnote>
  <w:footnote w:id="3">
    <w:p w14:paraId="5CE2A22B" w14:textId="0ADAE6C1" w:rsidR="00BE6548" w:rsidRPr="002E38BA" w:rsidRDefault="00BE6548" w:rsidP="00DC3E2F">
      <w:pPr>
        <w:pStyle w:val="FootnoteText"/>
        <w:jc w:val="both"/>
        <w:rPr>
          <w:lang w:val="nl-BE"/>
        </w:rPr>
      </w:pPr>
      <w:r>
        <w:rPr>
          <w:rStyle w:val="FootnoteReference"/>
        </w:rPr>
        <w:footnoteRef/>
      </w:r>
      <w:r w:rsidR="00DC3E2F">
        <w:rPr>
          <w:lang w:val="nl-BE"/>
        </w:rPr>
        <w:tab/>
      </w:r>
      <w:r>
        <w:rPr>
          <w:lang w:val="nl-BE"/>
        </w:rPr>
        <w:t xml:space="preserve">Circulaire NBB_2018_01 van 15 januari 2018 - </w:t>
      </w:r>
      <w:r w:rsidRPr="00BE6548">
        <w:rPr>
          <w:lang w:val="nl-BE"/>
        </w:rPr>
        <w:t>Periodieke vragenlijst met betrekking tot de bestrijding van het witwassen van geld en de financiering van terrorisme</w:t>
      </w:r>
      <w:r w:rsidR="00DC3E2F">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547B" w14:textId="77777777" w:rsidR="00450949" w:rsidRDefault="00467991" w:rsidP="00E829D6">
    <w:pPr>
      <w:pStyle w:val="Header"/>
      <w:tabs>
        <w:tab w:val="clear" w:pos="4394"/>
        <w:tab w:val="center" w:pos="4395"/>
      </w:tabs>
      <w:rPr>
        <w:lang w:val="nl-BE"/>
      </w:rPr>
    </w:pPr>
  </w:p>
  <w:p w14:paraId="0CE4547C" w14:textId="77777777" w:rsidR="00450949" w:rsidRPr="00BF29ED" w:rsidRDefault="00467991"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547D" w14:textId="77777777" w:rsidR="00450949" w:rsidRDefault="00467991" w:rsidP="00D850C8">
    <w:pPr>
      <w:pStyle w:val="Header"/>
      <w:rPr>
        <w:lang w:val="nl-BE"/>
      </w:rPr>
    </w:pPr>
  </w:p>
  <w:p w14:paraId="0CE4547E" w14:textId="77777777" w:rsidR="00450949" w:rsidRPr="00D850C8" w:rsidRDefault="00467991"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443"/>
    <w:multiLevelType w:val="hybridMultilevel"/>
    <w:tmpl w:val="CD7E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E5617"/>
    <w:multiLevelType w:val="hybridMultilevel"/>
    <w:tmpl w:val="525E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B2D9B"/>
    <w:multiLevelType w:val="hybridMultilevel"/>
    <w:tmpl w:val="747C3516"/>
    <w:lvl w:ilvl="0" w:tplc="935461B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6B1F3E"/>
    <w:multiLevelType w:val="hybridMultilevel"/>
    <w:tmpl w:val="1580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D0768"/>
    <w:multiLevelType w:val="hybridMultilevel"/>
    <w:tmpl w:val="9FDC4C26"/>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15:restartNumberingAfterBreak="0">
    <w:nsid w:val="5B65024D"/>
    <w:multiLevelType w:val="hybridMultilevel"/>
    <w:tmpl w:val="315607CE"/>
    <w:lvl w:ilvl="0" w:tplc="DCFEBC9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7E0F7E"/>
    <w:multiLevelType w:val="hybridMultilevel"/>
    <w:tmpl w:val="E176F6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67"/>
    <w:rsid w:val="00007B1F"/>
    <w:rsid w:val="000263D5"/>
    <w:rsid w:val="00046B3B"/>
    <w:rsid w:val="00075E0F"/>
    <w:rsid w:val="000838ED"/>
    <w:rsid w:val="000D4F72"/>
    <w:rsid w:val="000E5405"/>
    <w:rsid w:val="000F06BD"/>
    <w:rsid w:val="000F0909"/>
    <w:rsid w:val="000F7C7C"/>
    <w:rsid w:val="00122363"/>
    <w:rsid w:val="00130D51"/>
    <w:rsid w:val="00133482"/>
    <w:rsid w:val="00175408"/>
    <w:rsid w:val="001A0723"/>
    <w:rsid w:val="001B3946"/>
    <w:rsid w:val="001B5D49"/>
    <w:rsid w:val="00203AD4"/>
    <w:rsid w:val="00214F45"/>
    <w:rsid w:val="00231D02"/>
    <w:rsid w:val="00245D5C"/>
    <w:rsid w:val="00260CE6"/>
    <w:rsid w:val="00265790"/>
    <w:rsid w:val="00276A78"/>
    <w:rsid w:val="0028251E"/>
    <w:rsid w:val="002E38BA"/>
    <w:rsid w:val="002E5C5E"/>
    <w:rsid w:val="002F0E36"/>
    <w:rsid w:val="00363097"/>
    <w:rsid w:val="00390136"/>
    <w:rsid w:val="003B0DBC"/>
    <w:rsid w:val="003C03A2"/>
    <w:rsid w:val="004023F8"/>
    <w:rsid w:val="00407067"/>
    <w:rsid w:val="00420BAA"/>
    <w:rsid w:val="00437154"/>
    <w:rsid w:val="00461825"/>
    <w:rsid w:val="00467991"/>
    <w:rsid w:val="00473EC5"/>
    <w:rsid w:val="004A08C9"/>
    <w:rsid w:val="005036E5"/>
    <w:rsid w:val="0058619A"/>
    <w:rsid w:val="006126C7"/>
    <w:rsid w:val="00656C57"/>
    <w:rsid w:val="0067153F"/>
    <w:rsid w:val="0070534A"/>
    <w:rsid w:val="00757617"/>
    <w:rsid w:val="00775303"/>
    <w:rsid w:val="007B2342"/>
    <w:rsid w:val="007E3861"/>
    <w:rsid w:val="007F4DB4"/>
    <w:rsid w:val="00882CE1"/>
    <w:rsid w:val="00882FDA"/>
    <w:rsid w:val="00895B68"/>
    <w:rsid w:val="008A10C7"/>
    <w:rsid w:val="008B6C14"/>
    <w:rsid w:val="008D2F7A"/>
    <w:rsid w:val="008D2FC0"/>
    <w:rsid w:val="00953682"/>
    <w:rsid w:val="00997EBD"/>
    <w:rsid w:val="009F38DE"/>
    <w:rsid w:val="00A07B53"/>
    <w:rsid w:val="00A42527"/>
    <w:rsid w:val="00A53826"/>
    <w:rsid w:val="00A64247"/>
    <w:rsid w:val="00A72D09"/>
    <w:rsid w:val="00A900E4"/>
    <w:rsid w:val="00AD4ADF"/>
    <w:rsid w:val="00AF50CA"/>
    <w:rsid w:val="00AF6B18"/>
    <w:rsid w:val="00B276FC"/>
    <w:rsid w:val="00B86C4B"/>
    <w:rsid w:val="00B92B0D"/>
    <w:rsid w:val="00BA1558"/>
    <w:rsid w:val="00BC2B56"/>
    <w:rsid w:val="00BE6548"/>
    <w:rsid w:val="00C11E22"/>
    <w:rsid w:val="00C25EEC"/>
    <w:rsid w:val="00C32211"/>
    <w:rsid w:val="00C63112"/>
    <w:rsid w:val="00C64C1D"/>
    <w:rsid w:val="00D05C11"/>
    <w:rsid w:val="00D812B9"/>
    <w:rsid w:val="00D8463B"/>
    <w:rsid w:val="00D930B6"/>
    <w:rsid w:val="00DC3E2F"/>
    <w:rsid w:val="00DD684F"/>
    <w:rsid w:val="00DE6B1F"/>
    <w:rsid w:val="00E83F31"/>
    <w:rsid w:val="00EB309C"/>
    <w:rsid w:val="00F338A5"/>
    <w:rsid w:val="00F36ACA"/>
    <w:rsid w:val="00F51D15"/>
    <w:rsid w:val="00F61121"/>
    <w:rsid w:val="00F62A7E"/>
    <w:rsid w:val="00FE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E4539F"/>
  <w15:docId w15:val="{E3B62B5A-A8C0-40F6-A82E-B344639F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D15"/>
    <w:pPr>
      <w:tabs>
        <w:tab w:val="left" w:pos="284"/>
      </w:tabs>
      <w:spacing w:after="0" w:line="264" w:lineRule="atLeast"/>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F51D15"/>
    <w:pPr>
      <w:spacing w:after="0" w:line="264" w:lineRule="atLeast"/>
    </w:pPr>
    <w:rPr>
      <w:rFonts w:ascii="Arial" w:eastAsia="Times New Roman" w:hAnsi="Arial" w:cs="Times New Roman"/>
      <w:b/>
      <w:noProof/>
      <w:sz w:val="20"/>
      <w:szCs w:val="16"/>
      <w:lang w:val="fr-FR"/>
    </w:rPr>
  </w:style>
  <w:style w:type="paragraph" w:styleId="Footer">
    <w:name w:val="footer"/>
    <w:basedOn w:val="Normal"/>
    <w:link w:val="FooterChar"/>
    <w:semiHidden/>
    <w:rsid w:val="00F51D15"/>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semiHidden/>
    <w:rsid w:val="00F51D15"/>
    <w:rPr>
      <w:rFonts w:ascii="Arial" w:eastAsia="Times New Roman" w:hAnsi="Arial" w:cs="Times New Roman"/>
      <w:sz w:val="18"/>
      <w:szCs w:val="20"/>
      <w:lang w:val="en-GB"/>
    </w:rPr>
  </w:style>
  <w:style w:type="paragraph" w:styleId="Header">
    <w:name w:val="header"/>
    <w:basedOn w:val="Normal"/>
    <w:link w:val="HeaderChar"/>
    <w:semiHidden/>
    <w:rsid w:val="00F51D15"/>
    <w:pPr>
      <w:tabs>
        <w:tab w:val="center" w:pos="4394"/>
        <w:tab w:val="right" w:pos="8789"/>
      </w:tabs>
      <w:spacing w:line="240" w:lineRule="auto"/>
    </w:pPr>
  </w:style>
  <w:style w:type="character" w:customStyle="1" w:styleId="HeaderChar">
    <w:name w:val="Header Char"/>
    <w:basedOn w:val="DefaultParagraphFont"/>
    <w:link w:val="Header"/>
    <w:semiHidden/>
    <w:rsid w:val="00F51D15"/>
    <w:rPr>
      <w:rFonts w:ascii="Arial" w:eastAsia="Times New Roman" w:hAnsi="Arial" w:cs="Times New Roman"/>
      <w:sz w:val="20"/>
      <w:szCs w:val="20"/>
      <w:lang w:val="en-GB"/>
    </w:rPr>
  </w:style>
  <w:style w:type="character" w:styleId="FootnoteReference">
    <w:name w:val="footnote reference"/>
    <w:basedOn w:val="DefaultParagraphFont"/>
    <w:semiHidden/>
    <w:rsid w:val="00F51D15"/>
    <w:rPr>
      <w:rFonts w:ascii="Arial" w:hAnsi="Arial"/>
      <w:spacing w:val="0"/>
      <w:position w:val="6"/>
      <w:sz w:val="16"/>
      <w:szCs w:val="16"/>
    </w:rPr>
  </w:style>
  <w:style w:type="paragraph" w:styleId="FootnoteText">
    <w:name w:val="footnote text"/>
    <w:basedOn w:val="Normal"/>
    <w:link w:val="FootnoteTextChar"/>
    <w:semiHidden/>
    <w:rsid w:val="00F51D15"/>
    <w:pPr>
      <w:spacing w:line="240" w:lineRule="atLeast"/>
      <w:ind w:left="284" w:hanging="284"/>
    </w:pPr>
    <w:rPr>
      <w:sz w:val="18"/>
    </w:rPr>
  </w:style>
  <w:style w:type="character" w:customStyle="1" w:styleId="FootnoteTextChar">
    <w:name w:val="Footnote Text Char"/>
    <w:basedOn w:val="DefaultParagraphFont"/>
    <w:link w:val="FootnoteText"/>
    <w:semiHidden/>
    <w:rsid w:val="00F51D15"/>
    <w:rPr>
      <w:rFonts w:ascii="Arial" w:eastAsia="Times New Roman" w:hAnsi="Arial" w:cs="Times New Roman"/>
      <w:sz w:val="18"/>
      <w:szCs w:val="20"/>
      <w:lang w:val="en-GB"/>
    </w:rPr>
  </w:style>
  <w:style w:type="table" w:styleId="TableGrid">
    <w:name w:val="Table Grid"/>
    <w:basedOn w:val="TableNormal"/>
    <w:rsid w:val="00F51D15"/>
    <w:pPr>
      <w:spacing w:after="0" w:line="240" w:lineRule="atLeast"/>
    </w:pPr>
    <w:rPr>
      <w:rFonts w:ascii="Arial" w:eastAsia="Times New Roman" w:hAnsi="Arial" w:cs="Times New Roman"/>
      <w:sz w:val="20"/>
      <w:szCs w:val="20"/>
      <w:lang w:val="nl-BE" w:eastAsia="nl-BE"/>
    </w:rPr>
    <w:tblPr/>
  </w:style>
  <w:style w:type="character" w:styleId="Hyperlink">
    <w:name w:val="Hyperlink"/>
    <w:basedOn w:val="DefaultParagraphFont"/>
    <w:semiHidden/>
    <w:rsid w:val="00F51D15"/>
    <w:rPr>
      <w:color w:val="0000FF"/>
      <w:u w:val="single"/>
    </w:rPr>
  </w:style>
  <w:style w:type="paragraph" w:customStyle="1" w:styleId="TitreTitel">
    <w:name w:val="Titre/Titel"/>
    <w:rsid w:val="00F51D15"/>
    <w:pPr>
      <w:spacing w:after="0" w:line="260" w:lineRule="atLeast"/>
    </w:pPr>
    <w:rPr>
      <w:rFonts w:ascii="Arial" w:eastAsia="Times New Roman" w:hAnsi="Arial" w:cs="Times New Roman"/>
      <w:b/>
      <w:noProof/>
      <w:sz w:val="28"/>
      <w:szCs w:val="16"/>
      <w:lang w:val="fr-FR"/>
    </w:rPr>
  </w:style>
  <w:style w:type="paragraph" w:customStyle="1" w:styleId="AdresseAdres">
    <w:name w:val="Adresse/Adres"/>
    <w:rsid w:val="00F51D15"/>
    <w:pPr>
      <w:spacing w:after="0" w:line="160" w:lineRule="exact"/>
    </w:pPr>
    <w:rPr>
      <w:rFonts w:ascii="Arial" w:eastAsia="Times New Roman" w:hAnsi="Arial" w:cs="Times New Roman"/>
      <w:noProof/>
      <w:sz w:val="13"/>
      <w:szCs w:val="16"/>
      <w:lang w:val="fr-FR"/>
    </w:rPr>
  </w:style>
  <w:style w:type="paragraph" w:customStyle="1" w:styleId="IntroductionInleiding">
    <w:name w:val="Introduction/Inleiding"/>
    <w:basedOn w:val="Normal"/>
    <w:uiPriority w:val="4"/>
    <w:qFormat/>
    <w:rsid w:val="00F51D15"/>
    <w:pPr>
      <w:spacing w:after="260"/>
    </w:pPr>
    <w:rPr>
      <w:i/>
      <w:sz w:val="22"/>
      <w:lang w:val="nl-BE"/>
    </w:rPr>
  </w:style>
  <w:style w:type="paragraph" w:customStyle="1" w:styleId="Sous-titreOndertitel">
    <w:name w:val="Sous-titre/Ondertitel"/>
    <w:basedOn w:val="Normal"/>
    <w:uiPriority w:val="3"/>
    <w:qFormat/>
    <w:rsid w:val="00F51D15"/>
    <w:pPr>
      <w:spacing w:after="60"/>
    </w:pPr>
    <w:rPr>
      <w:sz w:val="22"/>
      <w:szCs w:val="22"/>
      <w:u w:val="single"/>
    </w:rPr>
  </w:style>
  <w:style w:type="paragraph" w:customStyle="1" w:styleId="BoiteVakje">
    <w:name w:val="Boite/Vakje"/>
    <w:qFormat/>
    <w:rsid w:val="00F51D15"/>
    <w:pPr>
      <w:spacing w:after="0" w:line="200" w:lineRule="atLeast"/>
    </w:pPr>
    <w:rPr>
      <w:rFonts w:ascii="Arial" w:eastAsia="Times New Roman" w:hAnsi="Arial" w:cs="Times New Roman"/>
      <w:sz w:val="14"/>
      <w:szCs w:val="14"/>
      <w:lang w:val="fr-BE"/>
    </w:rPr>
  </w:style>
  <w:style w:type="paragraph" w:customStyle="1" w:styleId="BoitetexteVakjetekst">
    <w:name w:val="Boite_texte/Vakje_tekst"/>
    <w:basedOn w:val="BoiteVakje"/>
    <w:qFormat/>
    <w:rsid w:val="00F51D15"/>
    <w:rPr>
      <w:sz w:val="16"/>
      <w:szCs w:val="16"/>
    </w:rPr>
  </w:style>
  <w:style w:type="paragraph" w:styleId="ListParagraph">
    <w:name w:val="List Paragraph"/>
    <w:basedOn w:val="Normal"/>
    <w:uiPriority w:val="34"/>
    <w:qFormat/>
    <w:rsid w:val="00F51D15"/>
    <w:pPr>
      <w:ind w:left="720"/>
      <w:contextualSpacing/>
    </w:pPr>
  </w:style>
  <w:style w:type="paragraph" w:styleId="BalloonText">
    <w:name w:val="Balloon Text"/>
    <w:basedOn w:val="Normal"/>
    <w:link w:val="BalloonTextChar"/>
    <w:uiPriority w:val="99"/>
    <w:semiHidden/>
    <w:unhideWhenUsed/>
    <w:rsid w:val="00F51D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15"/>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150"/>
    <w:rPr>
      <w:sz w:val="16"/>
      <w:szCs w:val="16"/>
    </w:rPr>
  </w:style>
  <w:style w:type="paragraph" w:styleId="CommentText">
    <w:name w:val="annotation text"/>
    <w:basedOn w:val="Normal"/>
    <w:link w:val="CommentTextChar"/>
    <w:uiPriority w:val="99"/>
    <w:semiHidden/>
    <w:unhideWhenUsed/>
    <w:rsid w:val="00FE2150"/>
    <w:pPr>
      <w:spacing w:line="240" w:lineRule="auto"/>
    </w:pPr>
  </w:style>
  <w:style w:type="character" w:customStyle="1" w:styleId="CommentTextChar">
    <w:name w:val="Comment Text Char"/>
    <w:basedOn w:val="DefaultParagraphFont"/>
    <w:link w:val="CommentText"/>
    <w:uiPriority w:val="99"/>
    <w:semiHidden/>
    <w:rsid w:val="00FE2150"/>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150"/>
    <w:rPr>
      <w:b/>
      <w:bCs/>
    </w:rPr>
  </w:style>
  <w:style w:type="character" w:customStyle="1" w:styleId="CommentSubjectChar">
    <w:name w:val="Comment Subject Char"/>
    <w:basedOn w:val="CommentTextChar"/>
    <w:link w:val="CommentSubject"/>
    <w:uiPriority w:val="99"/>
    <w:semiHidden/>
    <w:rsid w:val="00FE2150"/>
    <w:rPr>
      <w:rFonts w:ascii="Arial" w:eastAsia="Times New Roman" w:hAnsi="Arial" w:cs="Times New Roman"/>
      <w:b/>
      <w:bCs/>
      <w:sz w:val="20"/>
      <w:szCs w:val="20"/>
      <w:lang w:val="en-GB"/>
    </w:rPr>
  </w:style>
  <w:style w:type="paragraph" w:styleId="Revision">
    <w:name w:val="Revision"/>
    <w:hidden/>
    <w:uiPriority w:val="99"/>
    <w:semiHidden/>
    <w:rsid w:val="00FE2150"/>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bb.be/doc/dq/onegate/nl/login_nl.html"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upervision.ta.aml@nbb.be" TargetMode="External"/><Relationship Id="rId17" Type="http://schemas.openxmlformats.org/officeDocument/2006/relationships/hyperlink" Target="mailto:supervision.ta.aml@nbb.b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bb.be" TargetMode="External"/><Relationship Id="rId20" Type="http://schemas.openxmlformats.org/officeDocument/2006/relationships/hyperlink" Target="http://www.nbb.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bb.be/doc/dq/onegate/en/login_en.html" TargetMode="External"/><Relationship Id="rId23" Type="http://schemas.openxmlformats.org/officeDocument/2006/relationships/footer" Target="footer1.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image" Target="media/image3.png"/><Relationship Id="rId27"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s://www.nbb.be/doc/dq/onegate/fr/login_fr.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BB_ChapterLink xmlns="3fbb5f6e-7273-489c-97f5-c8432ec29887" xsi:nil="true"/>
    <NBB_Language xmlns="3fbb5f6e-7273-489c-97f5-c8432ec29887">Dutch</NBB_Language>
    <NBB_Chapter xmlns="3fbb5f6e-7273-489c-97f5-c8432ec29887">Reporting des institutions financières</NBB_Chapter>
  </documentManagement>
</p:properties>
</file>

<file path=customXml/item4.xml><?xml version="1.0" encoding="utf-8"?>
<?mso-contentType ?>
<MyProperties xmlns="mypropertiesschema-NBB_Document">
  <ContentTypeSets>
    <ContentTypeSet>Common</ContentTypeSet>
  </ContentTypeSets>
</My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95B32702634B4FBCC8D2992DDF3F5B" ma:contentTypeVersion="18" ma:contentTypeDescription="Create a new document." ma:contentTypeScope="" ma:versionID="8a9091db823e05227809f92a6ca6fe48">
  <xsd:schema xmlns:xsd="http://www.w3.org/2001/XMLSchema" xmlns:xs="http://www.w3.org/2001/XMLSchema" xmlns:p="http://schemas.microsoft.com/office/2006/metadata/properties" xmlns:ns2="3fbb5f6e-7273-489c-97f5-c8432ec29887" targetNamespace="http://schemas.microsoft.com/office/2006/metadata/properties" ma:root="true" ma:fieldsID="0101628e279160439115537a552ce404" ns2:_="">
    <xsd:import namespace="3fbb5f6e-7273-489c-97f5-c8432ec29887"/>
    <xsd:element name="properties">
      <xsd:complexType>
        <xsd:sequence>
          <xsd:element name="documentManagement">
            <xsd:complexType>
              <xsd:all>
                <xsd:element ref="ns2:NBB_Language" minOccurs="0"/>
                <xsd:element ref="ns2:NBB_Chapter" minOccurs="0"/>
                <xsd:element ref="ns2:NBB_ChapterLink" minOccurs="0"/>
                <xsd:element ref="ns2:NBB_ChapterLink_x003a_Titre" minOccurs="0"/>
                <xsd:element ref="ns2:NBB_ChapterLink_x003a_Titel" minOccurs="0"/>
                <xsd:element ref="ns2:NBB_ChapterLink_x003a_Title" minOccurs="0"/>
                <xsd:element ref="ns2:NBB_ChapterLink_x003a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b5f6e-7273-489c-97f5-c8432ec29887" elementFormDefault="qualified">
    <xsd:import namespace="http://schemas.microsoft.com/office/2006/documentManagement/types"/>
    <xsd:import namespace="http://schemas.microsoft.com/office/infopath/2007/PartnerControls"/>
    <xsd:element name="NBB_Language" ma:index="8" nillable="true" ma:displayName="NBB_Language" ma:format="Dropdown" ma:internalName="NBB_Language">
      <xsd:simpleType>
        <xsd:restriction base="dms:Choice">
          <xsd:enumeration value="French"/>
          <xsd:enumeration value="Dutch"/>
          <xsd:enumeration value="English"/>
        </xsd:restriction>
      </xsd:simpleType>
    </xsd:element>
    <xsd:element name="NBB_Chapter" ma:index="9" nillable="true" ma:displayName="NBB_Chapter" ma:format="Dropdown" ma:internalName="NBB_Chapter">
      <xsd:simpleType>
        <xsd:restriction base="dms:Choice">
          <xsd:enumeration value="Introduction"/>
          <xsd:enumeration value="Champ d application"/>
          <xsd:enumeration value="Définitions"/>
          <xsd:enumeration value="Approche fondée sur les risques et évaluation globale des risques"/>
          <xsd:enumeration value="Organisation et contrôle interne"/>
          <xsd:enumeration value="Organisation et contrôle interne au sein des institutions financières"/>
          <xsd:enumeration value="Gouvernance"/>
          <xsd:enumeration value="Classification des risques"/>
          <xsd:enumeration value="Politiques, procédures, processus et mesures de contrôle interne"/>
          <xsd:enumeration value="Formation et sensibilisation du personnel"/>
          <xsd:enumeration value="Whistleblowing interne"/>
          <xsd:enumeration value="Organisation et contrôle interne au sein des groupes"/>
          <xsd:enumeration value="Maisons-mères belges"/>
          <xsd:enumeration value="Filiales et succursales belges"/>
          <xsd:enumeration value="Points de contacts centraux belges des établissements de paiement et des établissements de monnaie électronique européens"/>
          <xsd:enumeration value="Vigilance à l’égard de la clientèle et des opérations"/>
          <xsd:enumeration value="Evaluation individuelle des risques"/>
          <xsd:enumeration value="Comptes et contrats anonyme ou numérotés"/>
          <xsd:enumeration value="Identification et vérification de l’identité"/>
          <xsd:enumeration value="Personnes à identifier"/>
          <xsd:enumeration value="Objet de l’identification et de la vérification de l’identité"/>
          <xsd:enumeration value="Moment de l’identification et de la vérification de l’identité"/>
          <xsd:enumeration value="Non-respect de l’obligation d’identification et de vérification de l’identité"/>
          <xsd:enumeration value="Identification des caractéristiques du client et de l’objet et la nature de la relation d’affaires ou de l’opération occasionnelle"/>
          <xsd:enumeration value="Obligation de vigilance continue et détection des opérations atypiques"/>
          <xsd:enumeration value="Cas particuliers de vigilance accrue"/>
          <xsd:enumeration value="Vérification de l’identité au cours de la relation d’affaires"/>
          <xsd:enumeration value="Pays tiers à haut risque"/>
          <xsd:enumeration value="Etats à fiscalité inexistante ou peu élevée"/>
          <xsd:enumeration value="Correspondance bancaire"/>
          <xsd:enumeration value="Personnes politiquement Exposées (PEP)"/>
          <xsd:enumeration value="Devoirs de vigilance et respect d’autres législations"/>
          <xsd:enumeration value="Analyse des opérations atypiques et déclaration de soupçons"/>
          <xsd:enumeration value="Analyse des opérations atypiques"/>
          <xsd:enumeration value="Déclaration de soupçons"/>
          <xsd:enumeration value="Interdiction de divulgation"/>
          <xsd:enumeration value="Protection des déclarants"/>
          <xsd:enumeration value="Transferts de fonds"/>
          <xsd:enumeration value="Embargos financiers et gel d’avoirs"/>
          <xsd:enumeration value="Conservation et protection des données et documents"/>
          <xsd:enumeration value="Exécution des obligations par des tiers"/>
          <xsd:enumeration value="Limitation de l’utilisation des espèces"/>
          <xsd:enumeration value="Contrôle exercé par la BNB"/>
          <xsd:enumeration value="Reporting des institutions financières"/>
          <xsd:enumeration value="Whistleblowing externe"/>
          <xsd:enumeration value="Pouvoirs et mesures de contrôle de la BNB"/>
          <xsd:enumeration value="Coopération nationale"/>
          <xsd:enumeration value="Coopération internationale"/>
          <xsd:enumeration value="Sanctions"/>
          <xsd:enumeration value="Sanctions administratives"/>
          <xsd:enumeration value="Sanctions pénales"/>
          <xsd:enumeration value="Principaux documents de référence"/>
          <xsd:enumeration value="Autres liens utiles"/>
          <xsd:enumeration value="Versions successives du site LBC FT"/>
          <xsd:enumeration value="Vigilance continue et détection des faits et opérations atypiques"/>
          <xsd:enumeration value="Relations de correspondance"/>
          <xsd:enumeration value="Approche fondée sur les risques et évaluation globale des risques"/>
          <xsd:enumeration value="Brexit"/>
        </xsd:restriction>
      </xsd:simpleType>
    </xsd:element>
    <xsd:element name="NBB_ChapterLink" ma:index="10" nillable="true" ma:displayName="NBB_ChapterLink" ma:description="Chapter looked up in list AML Web Titles" ma:list="{13bc773d-af70-4cac-8c54-7ac3acb18186}" ma:internalName="NBB_ChapterLink" ma:readOnly="false" ma:showField="LinkTitleNoMenu">
      <xsd:simpleType>
        <xsd:restriction base="dms:Lookup"/>
      </xsd:simpleType>
    </xsd:element>
    <xsd:element name="NBB_ChapterLink_x003a_Titre" ma:index="11" nillable="true" ma:displayName="NBB_ChapterLink:Titre" ma:list="{13bc773d-af70-4cac-8c54-7ac3acb18186}" ma:internalName="NBB_ChapterLink_x003a_Titre" ma:readOnly="true" ma:showField="Titre" ma:web="464f6a11-b87f-4e3b-a39a-f8433ccff9df">
      <xsd:simpleType>
        <xsd:restriction base="dms:Lookup"/>
      </xsd:simpleType>
    </xsd:element>
    <xsd:element name="NBB_ChapterLink_x003a_Titel" ma:index="12" nillable="true" ma:displayName="NBB_ChapterLink:Titel" ma:list="{13bc773d-af70-4cac-8c54-7ac3acb18186}" ma:internalName="NBB_ChapterLink_x003a_Titel" ma:readOnly="true" ma:showField="Titel" ma:web="464f6a11-b87f-4e3b-a39a-f8433ccff9df">
      <xsd:simpleType>
        <xsd:restriction base="dms:Lookup"/>
      </xsd:simpleType>
    </xsd:element>
    <xsd:element name="NBB_ChapterLink_x003a_Title" ma:index="13" nillable="true" ma:displayName="NBB_ChapterLink:Title" ma:list="{13bc773d-af70-4cac-8c54-7ac3acb18186}" ma:internalName="NBB_ChapterLink_x003a_Title" ma:readOnly="true" ma:showField="Title" ma:web="464f6a11-b87f-4e3b-a39a-f8433ccff9df">
      <xsd:simpleType>
        <xsd:restriction base="dms:Lookup"/>
      </xsd:simpleType>
    </xsd:element>
    <xsd:element name="NBB_ChapterLink_x003a_Order" ma:index="14" nillable="true" ma:displayName="NBB_ChapterLink:Order" ma:list="{13bc773d-af70-4cac-8c54-7ac3acb18186}" ma:internalName="NBB_ChapterLink_x003a_Order" ma:readOnly="true" ma:showField="Order0" ma:web="464f6a11-b87f-4e3b-a39a-f8433ccff9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2981C-563B-46D0-BE8F-9553ACF75BEC}"/>
</file>

<file path=customXml/itemProps2.xml><?xml version="1.0" encoding="utf-8"?>
<ds:datastoreItem xmlns:ds="http://schemas.openxmlformats.org/officeDocument/2006/customXml" ds:itemID="{5493661E-9D5E-4A9C-9F8E-5C1418198F9B}"/>
</file>

<file path=customXml/itemProps3.xml><?xml version="1.0" encoding="utf-8"?>
<ds:datastoreItem xmlns:ds="http://schemas.openxmlformats.org/officeDocument/2006/customXml" ds:itemID="{AD233999-E95A-40F4-811F-572C918E24DA}"/>
</file>

<file path=customXml/itemProps4.xml><?xml version="1.0" encoding="utf-8"?>
<ds:datastoreItem xmlns:ds="http://schemas.openxmlformats.org/officeDocument/2006/customXml" ds:itemID="{824FF58E-3489-47BD-8953-52181B237807}"/>
</file>

<file path=customXml/itemProps5.xml><?xml version="1.0" encoding="utf-8"?>
<ds:datastoreItem xmlns:ds="http://schemas.openxmlformats.org/officeDocument/2006/customXml" ds:itemID="{CDB20260-7F7E-4A58-A17C-8303CB8A4EA9}"/>
</file>

<file path=docProps/app.xml><?xml version="1.0" encoding="utf-8"?>
<Properties xmlns="http://schemas.openxmlformats.org/officeDocument/2006/extended-properties" xmlns:vt="http://schemas.openxmlformats.org/officeDocument/2006/docPropsVTypes">
  <Template>NORMAL.dotm</Template>
  <TotalTime>40</TotalTime>
  <Pages>6</Pages>
  <Words>2513</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Circulaire QLB 2019 ndls.docx</vt:lpstr>
    </vt:vector>
  </TitlesOfParts>
  <Company>National Bank of Belgium</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Damme Arthur</dc:creator>
  <cp:lastModifiedBy>Eemans Marleen</cp:lastModifiedBy>
  <cp:revision>6</cp:revision>
  <cp:lastPrinted>2019-02-15T09:55:00Z</cp:lastPrinted>
  <dcterms:created xsi:type="dcterms:W3CDTF">2019-02-14T09:20:00Z</dcterms:created>
  <dcterms:modified xsi:type="dcterms:W3CDTF">2019-02-15T09:57:00Z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0x0101003695B32702634B4FBCC8D2992DDF3F5B</vt:lpwstr>
  </property>
</Properties>
</file>