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FE339C" w:rsidRPr="00D75F5A" w:rsidTr="004E6FD5">
        <w:trPr>
          <w:cantSplit/>
          <w:trHeight w:hRule="exact" w:val="1077"/>
        </w:trPr>
        <w:tc>
          <w:tcPr>
            <w:tcW w:w="6067" w:type="dxa"/>
            <w:vAlign w:val="center"/>
          </w:tcPr>
          <w:p w:rsidR="00FE339C" w:rsidRPr="00D75F5A" w:rsidRDefault="00FE339C" w:rsidP="007B7965">
            <w:pPr>
              <w:pStyle w:val="AdresseAdres"/>
              <w:spacing w:before="300"/>
            </w:pPr>
            <w:bookmarkStart w:id="0" w:name="_GoBack"/>
            <w:bookmarkEnd w:id="0"/>
            <w:r w:rsidRPr="00D75F5A">
              <w:t>de Berlaimontlaan 14 – BE-1000 Brussel</w:t>
            </w:r>
          </w:p>
          <w:p w:rsidR="00FE339C" w:rsidRPr="00D75F5A" w:rsidRDefault="00FE339C" w:rsidP="00C67902">
            <w:pPr>
              <w:pStyle w:val="AdresseAdres"/>
            </w:pPr>
            <w:r w:rsidRPr="00D75F5A">
              <w:t>tel. +32 2 221 38 12 – fax + 32 2 221 34 01</w:t>
            </w:r>
          </w:p>
          <w:p w:rsidR="00FE339C" w:rsidRPr="00D75F5A" w:rsidRDefault="00FE339C" w:rsidP="00C67902">
            <w:pPr>
              <w:pStyle w:val="AdresseAdres"/>
            </w:pPr>
            <w:r w:rsidRPr="00D75F5A">
              <w:t>ondernemingsnummer: 0203.201.340</w:t>
            </w:r>
          </w:p>
          <w:p w:rsidR="00FE339C" w:rsidRPr="00D75F5A" w:rsidRDefault="00FE339C" w:rsidP="00C67902">
            <w:pPr>
              <w:pStyle w:val="AdresseAdres"/>
            </w:pPr>
            <w:r w:rsidRPr="00D75F5A">
              <w:t>RPR Brussel</w:t>
            </w:r>
          </w:p>
          <w:p w:rsidR="00FE339C" w:rsidRPr="00D75F5A" w:rsidRDefault="00FE339C" w:rsidP="00FE339C">
            <w:pPr>
              <w:pStyle w:val="AdresseAdres"/>
              <w:rPr>
                <w:lang w:val="fr-BE"/>
              </w:rPr>
            </w:pPr>
            <w:r w:rsidRPr="00D75F5A">
              <w:t>www.nbb.be</w:t>
            </w:r>
          </w:p>
        </w:tc>
        <w:tc>
          <w:tcPr>
            <w:tcW w:w="3856" w:type="dxa"/>
            <w:shd w:val="clear" w:color="auto" w:fill="auto"/>
            <w:vAlign w:val="center"/>
          </w:tcPr>
          <w:p w:rsidR="00FE339C" w:rsidRPr="00D75F5A" w:rsidRDefault="00FE339C" w:rsidP="00682F2F">
            <w:pPr>
              <w:spacing w:line="260" w:lineRule="atLeast"/>
              <w:rPr>
                <w:sz w:val="16"/>
                <w:szCs w:val="16"/>
                <w:lang w:val="fr-BE"/>
              </w:rPr>
            </w:pPr>
            <w:r w:rsidRPr="00D75F5A">
              <w:rPr>
                <w:noProof/>
                <w:sz w:val="16"/>
                <w:szCs w:val="16"/>
                <w:lang w:val="en-US"/>
              </w:rPr>
              <w:drawing>
                <wp:inline distT="0" distB="0" distL="0" distR="0" wp14:anchorId="421D3190" wp14:editId="75033A1A">
                  <wp:extent cx="2343150" cy="581025"/>
                  <wp:effectExtent l="19050" t="0" r="0" b="0"/>
                  <wp:docPr id="18"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9"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FE339C" w:rsidRPr="00D75F5A" w:rsidTr="00682F2F">
        <w:trPr>
          <w:cantSplit/>
          <w:trHeight w:hRule="exact" w:val="850"/>
        </w:trPr>
        <w:tc>
          <w:tcPr>
            <w:tcW w:w="6067" w:type="dxa"/>
            <w:shd w:val="clear" w:color="auto" w:fill="auto"/>
          </w:tcPr>
          <w:p w:rsidR="00FE339C" w:rsidRPr="00D75F5A" w:rsidRDefault="00FE339C" w:rsidP="00682F2F">
            <w:pPr>
              <w:pStyle w:val="AdresseAdres"/>
              <w:tabs>
                <w:tab w:val="center" w:pos="4678"/>
                <w:tab w:val="right" w:pos="9356"/>
              </w:tabs>
              <w:spacing w:line="260" w:lineRule="atLeast"/>
              <w:rPr>
                <w:sz w:val="16"/>
              </w:rPr>
            </w:pPr>
          </w:p>
        </w:tc>
        <w:tc>
          <w:tcPr>
            <w:tcW w:w="3856" w:type="dxa"/>
            <w:shd w:val="clear" w:color="auto" w:fill="auto"/>
            <w:vAlign w:val="bottom"/>
          </w:tcPr>
          <w:p w:rsidR="00FE339C" w:rsidRPr="00D75F5A" w:rsidRDefault="00FE339C" w:rsidP="00682F2F">
            <w:pPr>
              <w:pStyle w:val="TitreTitel"/>
              <w:keepLines/>
              <w:tabs>
                <w:tab w:val="left" w:pos="284"/>
                <w:tab w:val="right" w:leader="dot" w:pos="9639"/>
              </w:tabs>
              <w:ind w:left="397" w:right="567" w:hanging="397"/>
            </w:pPr>
          </w:p>
        </w:tc>
      </w:tr>
      <w:tr w:rsidR="00FE339C" w:rsidRPr="00AC692F" w:rsidTr="004E6FD5">
        <w:trPr>
          <w:cantSplit/>
          <w:trHeight w:hRule="exact" w:val="794"/>
        </w:trPr>
        <w:tc>
          <w:tcPr>
            <w:tcW w:w="6067" w:type="dxa"/>
            <w:shd w:val="clear" w:color="auto" w:fill="auto"/>
          </w:tcPr>
          <w:p w:rsidR="00FE339C" w:rsidRPr="00D75F5A" w:rsidRDefault="00FE339C" w:rsidP="00C67902">
            <w:pPr>
              <w:pStyle w:val="AdresseAdres"/>
              <w:rPr>
                <w:lang w:val="fr-BE"/>
              </w:rPr>
            </w:pPr>
          </w:p>
        </w:tc>
        <w:tc>
          <w:tcPr>
            <w:tcW w:w="3856" w:type="dxa"/>
          </w:tcPr>
          <w:p w:rsidR="00FE339C" w:rsidRPr="00AC692F" w:rsidRDefault="00FE339C" w:rsidP="00AC692F">
            <w:pPr>
              <w:spacing w:line="260" w:lineRule="atLeast"/>
              <w:rPr>
                <w:lang w:val="fr-BE"/>
              </w:rPr>
            </w:pPr>
            <w:r w:rsidRPr="00AC692F">
              <w:rPr>
                <w:lang w:val="fr-BE"/>
              </w:rPr>
              <w:t xml:space="preserve">Brussel, </w:t>
            </w:r>
            <w:r w:rsidR="00AC692F" w:rsidRPr="00AC692F">
              <w:rPr>
                <w:lang w:val="fr-BE"/>
              </w:rPr>
              <w:t xml:space="preserve">26 oktober </w:t>
            </w:r>
            <w:r w:rsidR="00C964F0" w:rsidRPr="00AC692F">
              <w:rPr>
                <w:lang w:val="fr-BE"/>
              </w:rPr>
              <w:t>201</w:t>
            </w:r>
            <w:r w:rsidR="002A4DA8" w:rsidRPr="00AC692F">
              <w:rPr>
                <w:lang w:val="fr-BE"/>
              </w:rPr>
              <w:t>6</w:t>
            </w:r>
          </w:p>
        </w:tc>
      </w:tr>
      <w:tr w:rsidR="00FE339C" w:rsidRPr="00D75F5A" w:rsidTr="00F07FD0">
        <w:trPr>
          <w:cantSplit/>
          <w:trHeight w:hRule="exact" w:val="340"/>
        </w:trPr>
        <w:tc>
          <w:tcPr>
            <w:tcW w:w="9923" w:type="dxa"/>
            <w:gridSpan w:val="2"/>
            <w:shd w:val="clear" w:color="auto" w:fill="auto"/>
            <w:vAlign w:val="center"/>
          </w:tcPr>
          <w:p w:rsidR="00FE339C" w:rsidRPr="00D75F5A" w:rsidRDefault="00FE339C" w:rsidP="00AC692F">
            <w:pPr>
              <w:pStyle w:val="AnnexeBijlage"/>
            </w:pPr>
            <w:r w:rsidRPr="00AC692F">
              <w:t>Bijlage 2 bij de circulaire NBB_</w:t>
            </w:r>
            <w:r w:rsidR="00C964F0" w:rsidRPr="00AC692F">
              <w:t>201</w:t>
            </w:r>
            <w:r w:rsidR="002A4DA8" w:rsidRPr="00AC692F">
              <w:t>6</w:t>
            </w:r>
            <w:r w:rsidR="00C964F0" w:rsidRPr="00AC692F">
              <w:t>_</w:t>
            </w:r>
            <w:r w:rsidR="00AC692F" w:rsidRPr="00AC692F">
              <w:t>42</w:t>
            </w:r>
          </w:p>
        </w:tc>
      </w:tr>
      <w:tr w:rsidR="00FE339C" w:rsidRPr="00D75F5A" w:rsidTr="00F07FD0">
        <w:trPr>
          <w:cantSplit/>
          <w:trHeight w:hRule="exact" w:val="1304"/>
        </w:trPr>
        <w:tc>
          <w:tcPr>
            <w:tcW w:w="9923" w:type="dxa"/>
            <w:gridSpan w:val="2"/>
            <w:tcMar>
              <w:top w:w="240" w:type="dxa"/>
            </w:tcMar>
            <w:vAlign w:val="bottom"/>
          </w:tcPr>
          <w:p w:rsidR="00FE339C" w:rsidRPr="00D75F5A" w:rsidRDefault="00FE339C" w:rsidP="00F07FD0">
            <w:pPr>
              <w:pStyle w:val="SujetOnderwerp"/>
            </w:pPr>
          </w:p>
        </w:tc>
      </w:tr>
      <w:tr w:rsidR="00FE339C" w:rsidRPr="00D75F5A" w:rsidTr="00682F2F">
        <w:trPr>
          <w:cantSplit/>
          <w:trHeight w:hRule="exact" w:val="397"/>
        </w:trPr>
        <w:tc>
          <w:tcPr>
            <w:tcW w:w="9923" w:type="dxa"/>
            <w:gridSpan w:val="2"/>
          </w:tcPr>
          <w:p w:rsidR="00FE339C" w:rsidRPr="00D75F5A" w:rsidRDefault="00FE339C" w:rsidP="00682F2F">
            <w:pPr>
              <w:spacing w:line="260" w:lineRule="atLeast"/>
              <w:rPr>
                <w:lang w:val="fr-BE"/>
              </w:rPr>
            </w:pPr>
          </w:p>
        </w:tc>
      </w:tr>
    </w:tbl>
    <w:p w:rsidR="00FE339C" w:rsidRPr="00D75F5A" w:rsidRDefault="00FE339C" w:rsidP="00682F2F"/>
    <w:p w:rsidR="00FE339C" w:rsidRPr="00D75F5A" w:rsidRDefault="00FE339C" w:rsidP="00423D0C">
      <w:pPr>
        <w:pStyle w:val="Sous-titreOndertitel"/>
      </w:pPr>
      <w:r w:rsidRPr="00D75F5A">
        <w:t>Toepassingsveld</w:t>
      </w:r>
    </w:p>
    <w:p w:rsidR="00652976" w:rsidRPr="00D75F5A" w:rsidRDefault="00652976" w:rsidP="00AC692F">
      <w:pPr>
        <w:jc w:val="both"/>
        <w:rPr>
          <w:i/>
          <w:sz w:val="22"/>
          <w:lang w:val="nl-BE"/>
        </w:rPr>
      </w:pPr>
      <w:r w:rsidRPr="00D75F5A">
        <w:rPr>
          <w:i/>
          <w:sz w:val="22"/>
          <w:lang w:val="nl-BE"/>
        </w:rPr>
        <w:t>-</w:t>
      </w:r>
      <w:r w:rsidRPr="00D75F5A">
        <w:rPr>
          <w:i/>
          <w:sz w:val="22"/>
          <w:lang w:val="nl-BE"/>
        </w:rPr>
        <w:tab/>
        <w:t>alle kredietinstellingen, met inbegrip van de Europese en niet-Europese bijkantoren;</w:t>
      </w:r>
    </w:p>
    <w:p w:rsidR="00652976" w:rsidRPr="00D75F5A" w:rsidRDefault="00652976" w:rsidP="00AC692F">
      <w:pPr>
        <w:jc w:val="both"/>
        <w:rPr>
          <w:i/>
          <w:sz w:val="22"/>
          <w:lang w:val="nl-BE"/>
        </w:rPr>
      </w:pPr>
      <w:r w:rsidRPr="00D75F5A">
        <w:rPr>
          <w:i/>
          <w:sz w:val="22"/>
          <w:lang w:val="nl-BE"/>
        </w:rPr>
        <w:t>-</w:t>
      </w:r>
      <w:r w:rsidRPr="00D75F5A">
        <w:rPr>
          <w:i/>
          <w:sz w:val="22"/>
          <w:lang w:val="nl-BE"/>
        </w:rPr>
        <w:tab/>
        <w:t>alle beursvennootschappen, met inbegrip van de Europese en niet-Europese bijkantoren;</w:t>
      </w:r>
    </w:p>
    <w:p w:rsidR="00652976" w:rsidRPr="00D75F5A" w:rsidRDefault="00652976" w:rsidP="00AC692F">
      <w:pPr>
        <w:ind w:left="284" w:hanging="284"/>
        <w:jc w:val="both"/>
        <w:rPr>
          <w:i/>
          <w:sz w:val="22"/>
          <w:lang w:val="nl-BE"/>
        </w:rPr>
      </w:pPr>
      <w:r w:rsidRPr="00D75F5A">
        <w:rPr>
          <w:i/>
          <w:sz w:val="22"/>
          <w:lang w:val="nl-BE"/>
        </w:rPr>
        <w:t>-</w:t>
      </w:r>
      <w:r w:rsidRPr="00D75F5A">
        <w:rPr>
          <w:i/>
          <w:sz w:val="22"/>
          <w:lang w:val="nl-BE"/>
        </w:rPr>
        <w:tab/>
        <w:t>alle verzekeringsondernemingen die</w:t>
      </w:r>
      <w:r w:rsidR="005A790B">
        <w:rPr>
          <w:i/>
          <w:sz w:val="22"/>
          <w:lang w:val="nl-BE"/>
        </w:rPr>
        <w:t xml:space="preserve"> beschikken over de erkenning om</w:t>
      </w:r>
      <w:r w:rsidRPr="00D75F5A">
        <w:rPr>
          <w:i/>
          <w:sz w:val="22"/>
          <w:lang w:val="nl-BE"/>
        </w:rPr>
        <w:t xml:space="preserve"> levensverzekeringsactiviteiten uit</w:t>
      </w:r>
      <w:r w:rsidR="005A790B">
        <w:rPr>
          <w:i/>
          <w:sz w:val="22"/>
          <w:lang w:val="nl-BE"/>
        </w:rPr>
        <w:t xml:space="preserve"> te </w:t>
      </w:r>
      <w:r w:rsidRPr="00D75F5A">
        <w:rPr>
          <w:i/>
          <w:sz w:val="22"/>
          <w:lang w:val="nl-BE"/>
        </w:rPr>
        <w:t xml:space="preserve">oefenen, met inbegrip </w:t>
      </w:r>
      <w:r w:rsidRPr="00D75F5A">
        <w:rPr>
          <w:i/>
          <w:sz w:val="22"/>
          <w:lang w:val="nl-BE"/>
        </w:rPr>
        <w:tab/>
        <w:t>van de Europese en niet-Europese bijkantoren;</w:t>
      </w:r>
    </w:p>
    <w:p w:rsidR="005F05E3" w:rsidRPr="00D75F5A" w:rsidRDefault="00652976" w:rsidP="00AC692F">
      <w:pPr>
        <w:pStyle w:val="IntroductionInleiding"/>
        <w:spacing w:after="0"/>
        <w:ind w:left="284" w:hanging="284"/>
        <w:jc w:val="both"/>
      </w:pPr>
      <w:r w:rsidRPr="00D75F5A">
        <w:t>-</w:t>
      </w:r>
      <w:r w:rsidRPr="00D75F5A">
        <w:tab/>
      </w:r>
      <w:r w:rsidR="009D2B84" w:rsidRPr="00D75F5A">
        <w:t xml:space="preserve">alle betalingsinstellingen en instellingen voor elektronisch geld, met inbegrip van de Europese en niet-Europese bijkantoren, met uitzondering evenwel van de instellingen die </w:t>
      </w:r>
      <w:r w:rsidR="00A17A21" w:rsidRPr="00D75F5A">
        <w:t>met</w:t>
      </w:r>
      <w:r w:rsidR="009D2B84" w:rsidRPr="00D75F5A">
        <w:t xml:space="preserve"> toepassing van de artikelen 48 </w:t>
      </w:r>
      <w:r w:rsidR="003209A7" w:rsidRPr="00D75F5A">
        <w:t xml:space="preserve">of </w:t>
      </w:r>
      <w:r w:rsidR="009D2B84" w:rsidRPr="00D75F5A">
        <w:t xml:space="preserve">105 van de wet van 21 december 2009 </w:t>
      </w:r>
      <w:r w:rsidR="00A17A21" w:rsidRPr="00D75F5A">
        <w:t xml:space="preserve">vrijgesteld zijn </w:t>
      </w:r>
      <w:r w:rsidR="009D2B84" w:rsidRPr="00D75F5A">
        <w:t>van de toepassing van de bepalingen van deze wet</w:t>
      </w:r>
      <w:r w:rsidR="005F05E3" w:rsidRPr="00D75F5A">
        <w:t>;</w:t>
      </w:r>
    </w:p>
    <w:p w:rsidR="005F05E3" w:rsidRDefault="005F05E3" w:rsidP="00AC692F">
      <w:pPr>
        <w:pStyle w:val="IntroductionInleiding"/>
        <w:spacing w:after="0"/>
        <w:ind w:left="284" w:hanging="284"/>
        <w:jc w:val="both"/>
      </w:pPr>
      <w:r w:rsidRPr="00D75F5A">
        <w:t>-</w:t>
      </w:r>
      <w:r w:rsidRPr="00D75F5A">
        <w:tab/>
        <w:t>alle</w:t>
      </w:r>
      <w:r w:rsidR="009D2B84" w:rsidRPr="00D75F5A">
        <w:t xml:space="preserve"> centrale contactpunten in België van betalingsinstellingen en instellingen voor elektronisch geld aan dewelke in andere lidstaten van de Europese Economische Ruimte een vergunning is verleend, met uitzondering evenwel van deze die </w:t>
      </w:r>
      <w:r w:rsidR="00A17A21" w:rsidRPr="00D75F5A">
        <w:t xml:space="preserve">krachtens </w:t>
      </w:r>
      <w:r w:rsidR="00AC692F" w:rsidRPr="00AC692F">
        <w:t>c</w:t>
      </w:r>
      <w:r w:rsidR="009D2B84" w:rsidRPr="00AC692F">
        <w:t>irculaire</w:t>
      </w:r>
      <w:r w:rsidR="00155CF5" w:rsidRPr="00AC692F">
        <w:t> </w:t>
      </w:r>
      <w:r w:rsidR="009D2B84" w:rsidRPr="00AC692F">
        <w:t>NBB_</w:t>
      </w:r>
      <w:r w:rsidR="00042773" w:rsidRPr="00AC692F">
        <w:t>2016</w:t>
      </w:r>
      <w:r w:rsidR="009D2B84" w:rsidRPr="00AC692F">
        <w:t>_</w:t>
      </w:r>
      <w:r w:rsidR="00F40876" w:rsidRPr="00AC692F">
        <w:t>43</w:t>
      </w:r>
      <w:r w:rsidR="00042773" w:rsidRPr="00AC692F">
        <w:t xml:space="preserve"> </w:t>
      </w:r>
      <w:r w:rsidR="009D2B84" w:rsidRPr="00AC692F">
        <w:t xml:space="preserve">onderworpen zijn aan de verplichting om de verkorte vragenlijst </w:t>
      </w:r>
      <w:r w:rsidR="007E6B0A" w:rsidRPr="00AC692F">
        <w:t>te</w:t>
      </w:r>
      <w:r w:rsidR="007E6B0A" w:rsidRPr="00D75F5A">
        <w:t xml:space="preserve"> beantwoorden </w:t>
      </w:r>
      <w:r w:rsidR="009D2B84" w:rsidRPr="00D75F5A">
        <w:t>die bij deze circulaire is gevoegd;</w:t>
      </w:r>
      <w:r w:rsidR="009D2B84">
        <w:t xml:space="preserve"> </w:t>
      </w:r>
    </w:p>
    <w:p w:rsidR="00FE339C" w:rsidRDefault="00652976" w:rsidP="00AC692F">
      <w:pPr>
        <w:pStyle w:val="IntroductionInleiding"/>
        <w:spacing w:after="0"/>
        <w:ind w:left="284" w:hanging="284"/>
        <w:jc w:val="both"/>
        <w:rPr>
          <w:i w:val="0"/>
          <w:color w:val="FF0000"/>
        </w:rPr>
      </w:pPr>
      <w:r w:rsidRPr="00652976">
        <w:t>-</w:t>
      </w:r>
      <w:r w:rsidRPr="00652976">
        <w:tab/>
        <w:t>de vereffeningsinstellingen, met inbegrip van de Europese en niet-Europese bijkantoren.</w:t>
      </w:r>
      <w:r>
        <w:rPr>
          <w:color w:val="FF0000"/>
        </w:rPr>
        <w:t xml:space="preserve"> </w:t>
      </w:r>
      <w:r w:rsidR="00FE339C">
        <w:rPr>
          <w:color w:val="FF0000"/>
        </w:rPr>
        <w:br w:type="page"/>
      </w:r>
    </w:p>
    <w:p w:rsidR="00FE339C" w:rsidRPr="00285D90" w:rsidRDefault="00FE339C" w:rsidP="00FE339C">
      <w:pPr>
        <w:pBdr>
          <w:top w:val="single" w:sz="4" w:space="1" w:color="auto"/>
          <w:left w:val="single" w:sz="4" w:space="4" w:color="auto"/>
          <w:bottom w:val="single" w:sz="4" w:space="1" w:color="auto"/>
          <w:right w:val="single" w:sz="4" w:space="4" w:color="auto"/>
        </w:pBdr>
        <w:spacing w:after="240"/>
        <w:jc w:val="center"/>
        <w:rPr>
          <w:b/>
          <w:sz w:val="24"/>
          <w:lang w:val="nl-BE"/>
        </w:rPr>
      </w:pPr>
      <w:r w:rsidRPr="00285D90">
        <w:rPr>
          <w:b/>
          <w:sz w:val="24"/>
          <w:lang w:val="nl-BE"/>
        </w:rPr>
        <w:lastRenderedPageBreak/>
        <w:t>Periodieke vragenlijst</w:t>
      </w:r>
      <w:r>
        <w:rPr>
          <w:b/>
          <w:sz w:val="24"/>
          <w:lang w:val="nl-BE"/>
        </w:rPr>
        <w:t xml:space="preserve"> m</w:t>
      </w:r>
      <w:r w:rsidRPr="00285D90">
        <w:rPr>
          <w:b/>
          <w:sz w:val="24"/>
          <w:lang w:val="nl-BE"/>
        </w:rPr>
        <w:t>et betrekking tot de bestrijding van het witwassen van geld, de financiering van terrorisme en de proliferatie van</w:t>
      </w:r>
      <w:r>
        <w:rPr>
          <w:b/>
          <w:sz w:val="24"/>
          <w:lang w:val="nl-BE"/>
        </w:rPr>
        <w:t xml:space="preserve"> </w:t>
      </w:r>
      <w:r w:rsidRPr="00285D90">
        <w:rPr>
          <w:b/>
          <w:sz w:val="24"/>
          <w:lang w:val="nl-BE"/>
        </w:rPr>
        <w:br/>
        <w:t>massavernieti</w:t>
      </w:r>
      <w:r>
        <w:rPr>
          <w:b/>
          <w:sz w:val="24"/>
          <w:lang w:val="nl-BE"/>
        </w:rPr>
        <w:t>ging</w:t>
      </w:r>
      <w:r w:rsidRPr="00285D90">
        <w:rPr>
          <w:b/>
          <w:sz w:val="24"/>
          <w:lang w:val="nl-BE"/>
        </w:rPr>
        <w:t>swapens ("</w:t>
      </w:r>
      <w:r>
        <w:rPr>
          <w:b/>
          <w:sz w:val="24"/>
          <w:lang w:val="nl-BE"/>
        </w:rPr>
        <w:t>WW</w:t>
      </w:r>
      <w:r w:rsidRPr="00285D90">
        <w:rPr>
          <w:b/>
          <w:sz w:val="24"/>
          <w:lang w:val="nl-BE"/>
        </w:rPr>
        <w:t>/FT")</w:t>
      </w:r>
    </w:p>
    <w:p w:rsidR="00FE339C" w:rsidRPr="00155CF5" w:rsidRDefault="00FE339C" w:rsidP="00155CF5">
      <w:pPr>
        <w:pBdr>
          <w:top w:val="single" w:sz="4" w:space="1" w:color="auto"/>
          <w:left w:val="single" w:sz="4" w:space="4" w:color="auto"/>
          <w:bottom w:val="single" w:sz="4" w:space="1" w:color="auto"/>
          <w:right w:val="single" w:sz="4" w:space="4" w:color="auto"/>
        </w:pBdr>
        <w:jc w:val="center"/>
        <w:rPr>
          <w:b/>
          <w:smallCaps/>
          <w:sz w:val="28"/>
          <w:lang w:val="nl-BE"/>
        </w:rPr>
      </w:pPr>
      <w:r w:rsidRPr="00285D90">
        <w:rPr>
          <w:b/>
          <w:smallCaps/>
          <w:sz w:val="28"/>
          <w:lang w:val="nl-BE"/>
        </w:rPr>
        <w:t>Methodologische nota</w:t>
      </w:r>
    </w:p>
    <w:p w:rsidR="00FE339C" w:rsidRPr="00285D90" w:rsidRDefault="00FE339C" w:rsidP="008F0626">
      <w:pPr>
        <w:spacing w:before="480" w:after="120"/>
        <w:jc w:val="center"/>
        <w:rPr>
          <w:sz w:val="22"/>
          <w:lang w:val="nl-BE"/>
        </w:rPr>
      </w:pPr>
      <w:r w:rsidRPr="00285D90">
        <w:rPr>
          <w:b/>
          <w:sz w:val="22"/>
          <w:u w:val="single"/>
          <w:lang w:val="nl-BE"/>
        </w:rPr>
        <w:t xml:space="preserve">Inleiding </w:t>
      </w:r>
      <w:r w:rsidRPr="00285D90">
        <w:rPr>
          <w:b/>
          <w:sz w:val="22"/>
          <w:u w:val="single"/>
          <w:lang w:val="nl-BE"/>
        </w:rPr>
        <w:br/>
        <w:t xml:space="preserve">Fundamentele doelstellingen van de Vragenlijst </w:t>
      </w:r>
      <w:r>
        <w:rPr>
          <w:b/>
          <w:sz w:val="22"/>
          <w:u w:val="single"/>
          <w:lang w:val="nl-BE"/>
        </w:rPr>
        <w:t>WW</w:t>
      </w:r>
      <w:r w:rsidRPr="00285D90">
        <w:rPr>
          <w:b/>
          <w:sz w:val="22"/>
          <w:u w:val="single"/>
          <w:lang w:val="nl-BE"/>
        </w:rPr>
        <w:t xml:space="preserve">/FT - </w:t>
      </w:r>
      <w:r>
        <w:rPr>
          <w:b/>
          <w:sz w:val="22"/>
          <w:u w:val="single"/>
          <w:lang w:val="nl-BE"/>
        </w:rPr>
        <w:t>R</w:t>
      </w:r>
      <w:r w:rsidRPr="00285D90">
        <w:rPr>
          <w:b/>
          <w:sz w:val="22"/>
          <w:u w:val="single"/>
          <w:lang w:val="nl-BE"/>
        </w:rPr>
        <w:t>isicogeoriënteerde benadering</w:t>
      </w:r>
    </w:p>
    <w:p w:rsidR="00FE339C" w:rsidRPr="00285D90" w:rsidRDefault="00FE339C" w:rsidP="00645BC0">
      <w:pPr>
        <w:spacing w:before="240" w:after="120"/>
        <w:jc w:val="both"/>
        <w:rPr>
          <w:u w:val="single"/>
          <w:lang w:val="nl-BE"/>
        </w:rPr>
      </w:pPr>
      <w:r>
        <w:rPr>
          <w:u w:val="single"/>
          <w:lang w:val="nl-BE"/>
        </w:rPr>
        <w:t>I</w:t>
      </w:r>
      <w:r w:rsidRPr="00285D90">
        <w:rPr>
          <w:u w:val="single"/>
          <w:lang w:val="nl-BE"/>
        </w:rPr>
        <w:t>nternationale context</w:t>
      </w:r>
    </w:p>
    <w:p w:rsidR="00FE339C" w:rsidRPr="00285D90" w:rsidRDefault="00FE339C" w:rsidP="00645BC0">
      <w:pPr>
        <w:spacing w:before="240" w:after="120"/>
        <w:jc w:val="both"/>
        <w:rPr>
          <w:lang w:val="nl-BE"/>
        </w:rPr>
      </w:pPr>
      <w:r w:rsidRPr="00285D90">
        <w:rPr>
          <w:lang w:val="nl-BE"/>
        </w:rPr>
        <w:t xml:space="preserve">De internationale normen </w:t>
      </w:r>
      <w:r>
        <w:rPr>
          <w:lang w:val="nl-BE"/>
        </w:rPr>
        <w:t xml:space="preserve">ter </w:t>
      </w:r>
      <w:r w:rsidRPr="00285D90">
        <w:rPr>
          <w:lang w:val="nl-BE"/>
        </w:rPr>
        <w:t xml:space="preserve">bestrijding van </w:t>
      </w:r>
      <w:r>
        <w:rPr>
          <w:lang w:val="nl-BE"/>
        </w:rPr>
        <w:t xml:space="preserve">het </w:t>
      </w:r>
      <w:r w:rsidRPr="00285D90">
        <w:rPr>
          <w:lang w:val="nl-BE"/>
        </w:rPr>
        <w:t xml:space="preserve">witwassen </w:t>
      </w:r>
      <w:r>
        <w:rPr>
          <w:lang w:val="nl-BE"/>
        </w:rPr>
        <w:t xml:space="preserve">van geld </w:t>
      </w:r>
      <w:r w:rsidRPr="00285D90">
        <w:rPr>
          <w:lang w:val="nl-BE"/>
        </w:rPr>
        <w:t xml:space="preserve">en </w:t>
      </w:r>
      <w:r>
        <w:rPr>
          <w:lang w:val="nl-BE"/>
        </w:rPr>
        <w:t xml:space="preserve">de financiering van terrorisme </w:t>
      </w:r>
      <w:r w:rsidRPr="00285D90">
        <w:rPr>
          <w:lang w:val="nl-BE"/>
        </w:rPr>
        <w:t>en proliferatie</w:t>
      </w:r>
      <w:r w:rsidRPr="00285D90">
        <w:rPr>
          <w:i/>
          <w:lang w:val="nl-BE"/>
        </w:rPr>
        <w:t xml:space="preserve"> </w:t>
      </w:r>
      <w:r w:rsidRPr="00285D90">
        <w:rPr>
          <w:lang w:val="nl-BE"/>
        </w:rPr>
        <w:t>(</w:t>
      </w:r>
      <w:r>
        <w:rPr>
          <w:lang w:val="nl-BE"/>
        </w:rPr>
        <w:t>FATF-a</w:t>
      </w:r>
      <w:r w:rsidRPr="00285D90">
        <w:rPr>
          <w:lang w:val="nl-BE"/>
        </w:rPr>
        <w:t>anbevelingen</w:t>
      </w:r>
      <w:r w:rsidRPr="00285D90">
        <w:rPr>
          <w:i/>
          <w:lang w:val="nl-BE"/>
        </w:rPr>
        <w:t>)</w:t>
      </w:r>
      <w:r w:rsidRPr="00285D90">
        <w:rPr>
          <w:lang w:val="nl-BE"/>
        </w:rPr>
        <w:t xml:space="preserve"> die in februari 2012 werden goedgekeurd [</w:t>
      </w:r>
      <w:r w:rsidRPr="00285D90">
        <w:rPr>
          <w:rStyle w:val="FootnoteReference"/>
          <w:lang w:val="nl-BE"/>
        </w:rPr>
        <w:footnoteReference w:id="2"/>
      </w:r>
      <w:r w:rsidRPr="00285D90">
        <w:rPr>
          <w:lang w:val="nl-BE"/>
        </w:rPr>
        <w:t xml:space="preserve">] benadrukken het belang dat deze internationale organisatie hecht aan een risicogeoriënteerde benadering om de preventiedoelstellingen die </w:t>
      </w:r>
      <w:r>
        <w:rPr>
          <w:lang w:val="nl-BE"/>
        </w:rPr>
        <w:t xml:space="preserve">met name </w:t>
      </w:r>
      <w:r w:rsidRPr="00285D90">
        <w:rPr>
          <w:lang w:val="nl-BE"/>
        </w:rPr>
        <w:t xml:space="preserve">worden nagestreefd, op doeltreffende wijze te verwezenlijken. </w:t>
      </w:r>
    </w:p>
    <w:p w:rsidR="00FE339C" w:rsidRPr="00285D90" w:rsidRDefault="00FE339C" w:rsidP="00645BC0">
      <w:pPr>
        <w:spacing w:after="120"/>
        <w:jc w:val="both"/>
        <w:rPr>
          <w:lang w:val="nl-BE"/>
        </w:rPr>
      </w:pPr>
      <w:r w:rsidRPr="00285D90">
        <w:rPr>
          <w:lang w:val="nl-BE"/>
        </w:rPr>
        <w:t>Deze benadering, die inhoudt dat de intensiteit van de preventiemaatregelen wordt afgestemd op d</w:t>
      </w:r>
      <w:r>
        <w:rPr>
          <w:lang w:val="nl-BE"/>
        </w:rPr>
        <w:t>i</w:t>
      </w:r>
      <w:r w:rsidRPr="00285D90">
        <w:rPr>
          <w:lang w:val="nl-BE"/>
        </w:rPr>
        <w:t xml:space="preserve">e van de risico's op witwassen van geld en financiering van terrorisme en proliferatie, </w:t>
      </w:r>
      <w:r>
        <w:rPr>
          <w:lang w:val="nl-BE"/>
        </w:rPr>
        <w:t xml:space="preserve">wordt </w:t>
      </w:r>
      <w:r w:rsidRPr="00285D90">
        <w:rPr>
          <w:lang w:val="nl-BE"/>
        </w:rPr>
        <w:t xml:space="preserve">niet alleen aanbevolen </w:t>
      </w:r>
      <w:r>
        <w:rPr>
          <w:lang w:val="nl-BE"/>
        </w:rPr>
        <w:t xml:space="preserve">in het kader van </w:t>
      </w:r>
      <w:r w:rsidRPr="00285D90">
        <w:rPr>
          <w:lang w:val="nl-BE"/>
        </w:rPr>
        <w:t xml:space="preserve">de preventie door de financiële instellingen, maar ook </w:t>
      </w:r>
      <w:r>
        <w:rPr>
          <w:lang w:val="nl-BE"/>
        </w:rPr>
        <w:t xml:space="preserve">voor </w:t>
      </w:r>
      <w:r w:rsidRPr="00285D90">
        <w:rPr>
          <w:lang w:val="nl-BE"/>
        </w:rPr>
        <w:t>het toezicht op de tenuitvoerlegging van deze maatregelen door de bevoegde autoriteiten. Overeenkomstig Aanbeveling</w:t>
      </w:r>
      <w:r w:rsidR="0070209E">
        <w:rPr>
          <w:lang w:val="nl-BE"/>
        </w:rPr>
        <w:t> </w:t>
      </w:r>
      <w:r w:rsidRPr="00285D90">
        <w:rPr>
          <w:lang w:val="nl-BE"/>
        </w:rPr>
        <w:t xml:space="preserve">26 van de FATF en de bijbehorende Interpretatieve Nota </w:t>
      </w:r>
      <w:r>
        <w:rPr>
          <w:lang w:val="nl-BE"/>
        </w:rPr>
        <w:t xml:space="preserve">moeten </w:t>
      </w:r>
      <w:r w:rsidRPr="00285D90">
        <w:rPr>
          <w:lang w:val="nl-BE"/>
        </w:rPr>
        <w:t xml:space="preserve">deze autoriteiten bij de financiële instellingen die een hoger risico inhouden dat ze </w:t>
      </w:r>
      <w:r>
        <w:rPr>
          <w:lang w:val="nl-BE"/>
        </w:rPr>
        <w:t xml:space="preserve">worden </w:t>
      </w:r>
      <w:r w:rsidRPr="00285D90">
        <w:rPr>
          <w:lang w:val="nl-BE"/>
        </w:rPr>
        <w:t xml:space="preserve">gebruikt voor het witwassen van geld of de financiering van terrorisme en proliferatie, </w:t>
      </w:r>
      <w:r>
        <w:rPr>
          <w:lang w:val="nl-BE"/>
        </w:rPr>
        <w:t>de intensiteit en de frequentie van hun controles verhogen</w:t>
      </w:r>
      <w:r w:rsidRPr="00285D90">
        <w:rPr>
          <w:lang w:val="nl-BE"/>
        </w:rPr>
        <w:t>. Bij de financi</w:t>
      </w:r>
      <w:r>
        <w:rPr>
          <w:lang w:val="nl-BE"/>
        </w:rPr>
        <w:t>ë</w:t>
      </w:r>
      <w:r w:rsidRPr="00285D90">
        <w:rPr>
          <w:lang w:val="nl-BE"/>
        </w:rPr>
        <w:t>le instellingen die een kleiner risico inhouden</w:t>
      </w:r>
      <w:r>
        <w:rPr>
          <w:lang w:val="nl-BE"/>
        </w:rPr>
        <w:t>,</w:t>
      </w:r>
      <w:r w:rsidRPr="00285D90">
        <w:rPr>
          <w:lang w:val="nl-BE"/>
        </w:rPr>
        <w:t xml:space="preserve"> mogen zij </w:t>
      </w:r>
      <w:r>
        <w:rPr>
          <w:lang w:val="nl-BE"/>
        </w:rPr>
        <w:t>die controles daarentegen versoepelen</w:t>
      </w:r>
      <w:r w:rsidRPr="00285D90">
        <w:rPr>
          <w:lang w:val="nl-BE"/>
        </w:rPr>
        <w:t xml:space="preserve">. Deze </w:t>
      </w:r>
      <w:r>
        <w:rPr>
          <w:lang w:val="nl-BE"/>
        </w:rPr>
        <w:t>toezichtsb</w:t>
      </w:r>
      <w:r w:rsidRPr="00285D90">
        <w:rPr>
          <w:lang w:val="nl-BE"/>
        </w:rPr>
        <w:t>enadering wordt aangemoedigd</w:t>
      </w:r>
      <w:r>
        <w:rPr>
          <w:lang w:val="nl-BE"/>
        </w:rPr>
        <w:t xml:space="preserve"> in de mate dat </w:t>
      </w:r>
      <w:r w:rsidRPr="00285D90">
        <w:rPr>
          <w:lang w:val="nl-BE"/>
        </w:rPr>
        <w:t xml:space="preserve">zij het mogelijk maakt de </w:t>
      </w:r>
      <w:r>
        <w:rPr>
          <w:lang w:val="nl-BE"/>
        </w:rPr>
        <w:t>controlemiddelen</w:t>
      </w:r>
      <w:r w:rsidRPr="00285D90">
        <w:rPr>
          <w:lang w:val="nl-BE"/>
        </w:rPr>
        <w:t xml:space="preserve"> waarover deze autoriteiten beschikken, </w:t>
      </w:r>
      <w:r>
        <w:rPr>
          <w:lang w:val="nl-BE"/>
        </w:rPr>
        <w:t>doeltreffender</w:t>
      </w:r>
      <w:r w:rsidRPr="00285D90">
        <w:rPr>
          <w:lang w:val="nl-BE"/>
        </w:rPr>
        <w:t xml:space="preserve"> toe te wijzen.</w:t>
      </w:r>
    </w:p>
    <w:p w:rsidR="00FE339C" w:rsidRPr="00285D90" w:rsidRDefault="00FE339C" w:rsidP="00645BC0">
      <w:pPr>
        <w:spacing w:after="120"/>
        <w:jc w:val="both"/>
        <w:rPr>
          <w:lang w:val="nl-BE"/>
        </w:rPr>
      </w:pPr>
      <w:r w:rsidRPr="00285D90">
        <w:rPr>
          <w:lang w:val="nl-BE"/>
        </w:rPr>
        <w:t xml:space="preserve">Bovendien verduidelijken zowel de nieuwe </w:t>
      </w:r>
      <w:r>
        <w:rPr>
          <w:lang w:val="nl-BE"/>
        </w:rPr>
        <w:t>FATF-a</w:t>
      </w:r>
      <w:r w:rsidRPr="00285D90">
        <w:rPr>
          <w:lang w:val="nl-BE"/>
        </w:rPr>
        <w:t xml:space="preserve">anbevelingen als de nieuwe Methodologie die in februari 2013 werd goedgekeurd door </w:t>
      </w:r>
      <w:r>
        <w:rPr>
          <w:lang w:val="nl-BE"/>
        </w:rPr>
        <w:t>de</w:t>
      </w:r>
      <w:r w:rsidRPr="00285D90">
        <w:rPr>
          <w:lang w:val="nl-BE"/>
        </w:rPr>
        <w:t xml:space="preserve"> FATF voor de beoordeling van de technische </w:t>
      </w:r>
      <w:r>
        <w:rPr>
          <w:lang w:val="nl-BE"/>
        </w:rPr>
        <w:t>conformiteit</w:t>
      </w:r>
      <w:r w:rsidRPr="00285D90">
        <w:rPr>
          <w:lang w:val="nl-BE"/>
        </w:rPr>
        <w:t xml:space="preserve"> met de Aanbevelingen en van de doeltreffendheid van de </w:t>
      </w:r>
      <w:r>
        <w:rPr>
          <w:lang w:val="nl-BE"/>
        </w:rPr>
        <w:t>WW/FT-</w:t>
      </w:r>
      <w:r w:rsidRPr="00285D90">
        <w:rPr>
          <w:lang w:val="nl-BE"/>
        </w:rPr>
        <w:t xml:space="preserve">systemen die in de lidstaten </w:t>
      </w:r>
      <w:r>
        <w:rPr>
          <w:lang w:val="nl-BE"/>
        </w:rPr>
        <w:t>ten uitvoer worden gelegd</w:t>
      </w:r>
      <w:r w:rsidRPr="00285D90">
        <w:rPr>
          <w:lang w:val="nl-BE"/>
        </w:rPr>
        <w:t xml:space="preserve"> [</w:t>
      </w:r>
      <w:r w:rsidRPr="00285D90">
        <w:rPr>
          <w:rStyle w:val="FootnoteReference"/>
          <w:lang w:val="nl-BE"/>
        </w:rPr>
        <w:footnoteReference w:id="3"/>
      </w:r>
      <w:r w:rsidRPr="00285D90">
        <w:rPr>
          <w:lang w:val="nl-BE"/>
        </w:rPr>
        <w:t xml:space="preserve">], dat de doeltreffendheid van het toezicht dat door de bevoegde autoriteiten wordt uitgeoefend, onder meer </w:t>
      </w:r>
      <w:r>
        <w:rPr>
          <w:lang w:val="nl-BE"/>
        </w:rPr>
        <w:t xml:space="preserve">wordt afgemeten aan de </w:t>
      </w:r>
      <w:r w:rsidRPr="00285D90">
        <w:rPr>
          <w:lang w:val="nl-BE"/>
        </w:rPr>
        <w:t>mate waarin dit toezicht de doeltreffendheid van de door de financiële instellingen getroffen preventiemaatregelen k</w:t>
      </w:r>
      <w:r>
        <w:rPr>
          <w:lang w:val="nl-BE"/>
        </w:rPr>
        <w:t>a</w:t>
      </w:r>
      <w:r w:rsidRPr="00285D90">
        <w:rPr>
          <w:lang w:val="nl-BE"/>
        </w:rPr>
        <w:t>n versterken.</w:t>
      </w:r>
    </w:p>
    <w:p w:rsidR="00FE339C" w:rsidRPr="00285D90" w:rsidRDefault="00485276" w:rsidP="00645BC0">
      <w:pPr>
        <w:spacing w:after="120"/>
        <w:jc w:val="both"/>
        <w:rPr>
          <w:lang w:val="nl-BE"/>
        </w:rPr>
      </w:pPr>
      <w:r>
        <w:rPr>
          <w:lang w:val="nl-BE"/>
        </w:rPr>
        <w:t>Op 20 mei 2015 werd door de Europese instellingen een nieuwe Richtlijn</w:t>
      </w:r>
      <w:r w:rsidR="000F3B92">
        <w:rPr>
          <w:lang w:val="nl-BE"/>
        </w:rPr>
        <w:t xml:space="preserve"> 2015/849</w:t>
      </w:r>
      <w:r>
        <w:rPr>
          <w:lang w:val="nl-BE"/>
        </w:rPr>
        <w:t xml:space="preserve"> inzake </w:t>
      </w:r>
      <w:r w:rsidRPr="00485276">
        <w:rPr>
          <w:lang w:val="nl-BE"/>
        </w:rPr>
        <w:t>de voorkoming van het gebruik van het financiële stelsel voor het witwassen van geld of terrorismefinanciering</w:t>
      </w:r>
      <w:r>
        <w:rPr>
          <w:lang w:val="nl-BE"/>
        </w:rPr>
        <w:t xml:space="preserve"> </w:t>
      </w:r>
      <w:r w:rsidR="00FE339C" w:rsidRPr="00285D90">
        <w:rPr>
          <w:lang w:val="nl-BE"/>
        </w:rPr>
        <w:t xml:space="preserve"> [</w:t>
      </w:r>
      <w:r w:rsidR="00FE339C" w:rsidRPr="00285D90">
        <w:rPr>
          <w:rStyle w:val="FootnoteReference"/>
          <w:lang w:val="nl-BE"/>
        </w:rPr>
        <w:footnoteReference w:id="4"/>
      </w:r>
      <w:r w:rsidR="00FE339C" w:rsidRPr="00285D90">
        <w:rPr>
          <w:lang w:val="nl-BE"/>
        </w:rPr>
        <w:t>]</w:t>
      </w:r>
      <w:r>
        <w:rPr>
          <w:lang w:val="nl-BE"/>
        </w:rPr>
        <w:t xml:space="preserve"> aangenomen </w:t>
      </w:r>
      <w:r w:rsidR="00FE339C" w:rsidRPr="00285D90">
        <w:rPr>
          <w:lang w:val="nl-BE"/>
        </w:rPr>
        <w:t xml:space="preserve">om de Europese wetgeving ter zake </w:t>
      </w:r>
      <w:r w:rsidR="00FE339C">
        <w:rPr>
          <w:lang w:val="nl-BE"/>
        </w:rPr>
        <w:t xml:space="preserve">aan te passen aan </w:t>
      </w:r>
      <w:r w:rsidR="00FE339C" w:rsidRPr="00285D90">
        <w:rPr>
          <w:lang w:val="nl-BE"/>
        </w:rPr>
        <w:t xml:space="preserve">de nieuwe normen van de FATF. Een van de belangrijke pijlers van de wijzigingen die </w:t>
      </w:r>
      <w:r w:rsidR="00FE339C">
        <w:rPr>
          <w:lang w:val="nl-BE"/>
        </w:rPr>
        <w:t>aldus</w:t>
      </w:r>
      <w:r w:rsidR="00FE339C" w:rsidRPr="00285D90">
        <w:rPr>
          <w:lang w:val="nl-BE"/>
        </w:rPr>
        <w:t xml:space="preserve"> </w:t>
      </w:r>
      <w:r>
        <w:rPr>
          <w:lang w:val="nl-BE"/>
        </w:rPr>
        <w:t>werd aangebracht</w:t>
      </w:r>
      <w:r w:rsidR="00FE339C" w:rsidRPr="00285D90">
        <w:rPr>
          <w:lang w:val="nl-BE"/>
        </w:rPr>
        <w:t xml:space="preserve"> in het Europees wettelijk kader voor de voorkoming van het witwassen van geld en van de financiering van terrorisme </w:t>
      </w:r>
      <w:r w:rsidR="00FE339C">
        <w:rPr>
          <w:lang w:val="nl-BE"/>
        </w:rPr>
        <w:t xml:space="preserve">is de versterking van het gebruik van </w:t>
      </w:r>
      <w:r w:rsidR="00FE339C" w:rsidRPr="00285D90">
        <w:rPr>
          <w:lang w:val="nl-BE"/>
        </w:rPr>
        <w:t xml:space="preserve">de risicogeoriënteerde benadering, met name voor het toezicht dat door de bevoegde autoriteiten wordt uitgeoefend. </w:t>
      </w:r>
    </w:p>
    <w:p w:rsidR="00FE339C" w:rsidRPr="00285D90" w:rsidRDefault="00FE339C" w:rsidP="00645BC0">
      <w:pPr>
        <w:spacing w:before="240" w:after="120"/>
        <w:jc w:val="both"/>
        <w:rPr>
          <w:u w:val="single"/>
          <w:lang w:val="nl-BE"/>
        </w:rPr>
      </w:pPr>
      <w:r w:rsidRPr="00285D90">
        <w:rPr>
          <w:u w:val="single"/>
          <w:lang w:val="nl-BE"/>
        </w:rPr>
        <w:t>Gevolgen van de risicogeoriënteerde benadering voor het toezicht</w:t>
      </w:r>
    </w:p>
    <w:p w:rsidR="00FE339C" w:rsidRPr="00285D90" w:rsidRDefault="00FE339C" w:rsidP="00645BC0">
      <w:pPr>
        <w:spacing w:before="240" w:after="120"/>
        <w:jc w:val="both"/>
        <w:rPr>
          <w:lang w:val="nl-BE"/>
        </w:rPr>
      </w:pPr>
      <w:r>
        <w:rPr>
          <w:lang w:val="nl-BE"/>
        </w:rPr>
        <w:t>E</w:t>
      </w:r>
      <w:r w:rsidRPr="00285D90">
        <w:rPr>
          <w:lang w:val="nl-BE"/>
        </w:rPr>
        <w:t xml:space="preserve">en risicogeoriënteerd toezicht houdt in dat de bevoegde autoriteit periodiek en </w:t>
      </w:r>
      <w:r>
        <w:rPr>
          <w:lang w:val="nl-BE"/>
        </w:rPr>
        <w:t xml:space="preserve">op basis van </w:t>
      </w:r>
      <w:r w:rsidRPr="00285D90">
        <w:rPr>
          <w:lang w:val="nl-BE"/>
        </w:rPr>
        <w:t xml:space="preserve">objectieve grondslagen de risico's beoordeelt </w:t>
      </w:r>
      <w:r>
        <w:rPr>
          <w:lang w:val="nl-BE"/>
        </w:rPr>
        <w:t xml:space="preserve">waaraan elke onder toezicht staande </w:t>
      </w:r>
      <w:r w:rsidRPr="00285D90">
        <w:rPr>
          <w:lang w:val="nl-BE"/>
        </w:rPr>
        <w:t>financiële instelling</w:t>
      </w:r>
      <w:r>
        <w:rPr>
          <w:lang w:val="nl-BE"/>
        </w:rPr>
        <w:t xml:space="preserve"> is blootgesteld</w:t>
      </w:r>
      <w:r w:rsidRPr="00285D90">
        <w:rPr>
          <w:lang w:val="nl-BE"/>
        </w:rPr>
        <w:t xml:space="preserve">. </w:t>
      </w:r>
      <w:r>
        <w:rPr>
          <w:lang w:val="nl-BE"/>
        </w:rPr>
        <w:t xml:space="preserve">Om deze </w:t>
      </w:r>
      <w:r w:rsidRPr="00285D90">
        <w:rPr>
          <w:lang w:val="nl-BE"/>
        </w:rPr>
        <w:t>periodieke beoordeling</w:t>
      </w:r>
      <w:r>
        <w:rPr>
          <w:lang w:val="nl-BE"/>
        </w:rPr>
        <w:t>en</w:t>
      </w:r>
      <w:r w:rsidRPr="00285D90">
        <w:rPr>
          <w:lang w:val="nl-BE"/>
        </w:rPr>
        <w:t xml:space="preserve"> </w:t>
      </w:r>
      <w:r>
        <w:rPr>
          <w:lang w:val="nl-BE"/>
        </w:rPr>
        <w:t xml:space="preserve">te kunnen uitvoeren, moet de bevoegde autoriteit </w:t>
      </w:r>
      <w:r w:rsidRPr="00285D90">
        <w:rPr>
          <w:lang w:val="nl-BE"/>
        </w:rPr>
        <w:t>relevante informatie</w:t>
      </w:r>
      <w:r>
        <w:rPr>
          <w:lang w:val="nl-BE"/>
        </w:rPr>
        <w:t xml:space="preserve"> verzamelen</w:t>
      </w:r>
      <w:r w:rsidRPr="00285D90">
        <w:rPr>
          <w:lang w:val="nl-BE"/>
        </w:rPr>
        <w:t xml:space="preserve"> </w:t>
      </w:r>
      <w:r>
        <w:rPr>
          <w:lang w:val="nl-BE"/>
        </w:rPr>
        <w:t xml:space="preserve">over </w:t>
      </w:r>
      <w:r w:rsidRPr="00285D90">
        <w:rPr>
          <w:lang w:val="nl-BE"/>
        </w:rPr>
        <w:t>de r</w:t>
      </w:r>
      <w:r>
        <w:rPr>
          <w:lang w:val="nl-BE"/>
        </w:rPr>
        <w:t>isicobloot</w:t>
      </w:r>
      <w:r w:rsidRPr="00285D90">
        <w:rPr>
          <w:lang w:val="nl-BE"/>
        </w:rPr>
        <w:t>s</w:t>
      </w:r>
      <w:r>
        <w:rPr>
          <w:lang w:val="nl-BE"/>
        </w:rPr>
        <w:t>t</w:t>
      </w:r>
      <w:r w:rsidRPr="00285D90">
        <w:rPr>
          <w:lang w:val="nl-BE"/>
        </w:rPr>
        <w:t xml:space="preserve">elling </w:t>
      </w:r>
      <w:r>
        <w:rPr>
          <w:lang w:val="nl-BE"/>
        </w:rPr>
        <w:t xml:space="preserve">en de risicogevoeligheid </w:t>
      </w:r>
      <w:r w:rsidRPr="00285D90">
        <w:rPr>
          <w:lang w:val="nl-BE"/>
        </w:rPr>
        <w:t>van elke financiële instelling.</w:t>
      </w:r>
    </w:p>
    <w:p w:rsidR="00FE339C" w:rsidRPr="00285D90" w:rsidRDefault="00FE339C" w:rsidP="00645BC0">
      <w:pPr>
        <w:spacing w:after="60"/>
        <w:jc w:val="both"/>
        <w:rPr>
          <w:lang w:val="nl-BE"/>
        </w:rPr>
      </w:pPr>
      <w:r>
        <w:rPr>
          <w:lang w:val="nl-BE"/>
        </w:rPr>
        <w:lastRenderedPageBreak/>
        <w:t xml:space="preserve">Naast haar </w:t>
      </w:r>
      <w:r w:rsidRPr="00285D90">
        <w:rPr>
          <w:lang w:val="nl-BE"/>
        </w:rPr>
        <w:t xml:space="preserve">algemene kennis van de risico's die op de markt aanwezig zijn, dient de toezichthouder </w:t>
      </w:r>
      <w:r>
        <w:rPr>
          <w:lang w:val="nl-BE"/>
        </w:rPr>
        <w:t xml:space="preserve">bijgevolg </w:t>
      </w:r>
      <w:r w:rsidRPr="00285D90">
        <w:rPr>
          <w:lang w:val="nl-BE"/>
        </w:rPr>
        <w:t xml:space="preserve">rekening te houden met twee aspecten: </w:t>
      </w:r>
    </w:p>
    <w:p w:rsidR="00FE339C" w:rsidRPr="00285D90" w:rsidRDefault="00FE339C" w:rsidP="00645BC0">
      <w:pPr>
        <w:pStyle w:val="ListParagraph"/>
        <w:numPr>
          <w:ilvl w:val="0"/>
          <w:numId w:val="31"/>
        </w:numPr>
        <w:spacing w:after="60"/>
        <w:ind w:left="284" w:hanging="284"/>
        <w:contextualSpacing w:val="0"/>
        <w:rPr>
          <w:lang w:val="nl-BE"/>
        </w:rPr>
      </w:pPr>
      <w:r w:rsidRPr="00285D90">
        <w:rPr>
          <w:u w:val="dotted"/>
          <w:lang w:val="nl-BE"/>
        </w:rPr>
        <w:t xml:space="preserve">de individuele blootstelling van elke financiële instelling aan </w:t>
      </w:r>
      <w:r>
        <w:rPr>
          <w:u w:val="dotted"/>
          <w:lang w:val="nl-BE"/>
        </w:rPr>
        <w:t>het risico</w:t>
      </w:r>
      <w:r w:rsidRPr="00285D90">
        <w:rPr>
          <w:lang w:val="nl-BE"/>
        </w:rPr>
        <w:t xml:space="preserve"> om gebruikt te worden voor het witwassen van geld, de financiering van terrorisme en de proliferatie van massaverni</w:t>
      </w:r>
      <w:r>
        <w:rPr>
          <w:lang w:val="nl-BE"/>
        </w:rPr>
        <w:t>etigings</w:t>
      </w:r>
      <w:r w:rsidRPr="00285D90">
        <w:rPr>
          <w:lang w:val="nl-BE"/>
        </w:rPr>
        <w:t xml:space="preserve">wapens, rekening houdend met de kenmerken van haar </w:t>
      </w:r>
      <w:r>
        <w:rPr>
          <w:lang w:val="nl-BE"/>
        </w:rPr>
        <w:t xml:space="preserve">activiteiten en </w:t>
      </w:r>
      <w:r w:rsidRPr="00285D90">
        <w:rPr>
          <w:lang w:val="nl-BE"/>
        </w:rPr>
        <w:t>producten, haar cliënten, haar geografische ontwikkelingszones, haar distributiekanalen, haar organisatiestructuren, enz. ;</w:t>
      </w:r>
    </w:p>
    <w:p w:rsidR="00FE339C" w:rsidRPr="00285D90" w:rsidRDefault="00FE339C" w:rsidP="00645BC0">
      <w:pPr>
        <w:pStyle w:val="ListParagraph"/>
        <w:numPr>
          <w:ilvl w:val="0"/>
          <w:numId w:val="31"/>
        </w:numPr>
        <w:spacing w:after="60"/>
        <w:ind w:left="284" w:hanging="284"/>
        <w:contextualSpacing w:val="0"/>
        <w:rPr>
          <w:lang w:val="nl-BE"/>
        </w:rPr>
      </w:pPr>
      <w:r w:rsidRPr="00285D90">
        <w:rPr>
          <w:u w:val="dotted"/>
          <w:lang w:val="nl-BE"/>
        </w:rPr>
        <w:t xml:space="preserve">de </w:t>
      </w:r>
      <w:r>
        <w:rPr>
          <w:u w:val="dotted"/>
          <w:lang w:val="nl-BE"/>
        </w:rPr>
        <w:t>gevoeligheid</w:t>
      </w:r>
      <w:r w:rsidRPr="00285D90">
        <w:rPr>
          <w:u w:val="dotted"/>
          <w:lang w:val="nl-BE"/>
        </w:rPr>
        <w:t xml:space="preserve"> /weerstand van elke financiële instelling </w:t>
      </w:r>
      <w:r>
        <w:rPr>
          <w:u w:val="dotted"/>
          <w:lang w:val="nl-BE"/>
        </w:rPr>
        <w:t>ten aanzien van dit risico</w:t>
      </w:r>
      <w:r w:rsidRPr="00285D90">
        <w:rPr>
          <w:lang w:val="nl-BE"/>
        </w:rPr>
        <w:t xml:space="preserve">, </w:t>
      </w:r>
      <w:r>
        <w:rPr>
          <w:lang w:val="nl-BE"/>
        </w:rPr>
        <w:t xml:space="preserve">dat </w:t>
      </w:r>
      <w:r w:rsidRPr="00285D90">
        <w:rPr>
          <w:lang w:val="nl-BE"/>
        </w:rPr>
        <w:t>de kans op schade kan verg</w:t>
      </w:r>
      <w:r>
        <w:rPr>
          <w:lang w:val="nl-BE"/>
        </w:rPr>
        <w:t>ro</w:t>
      </w:r>
      <w:r w:rsidRPr="00285D90">
        <w:rPr>
          <w:lang w:val="nl-BE"/>
        </w:rPr>
        <w:t xml:space="preserve">ten of verkleinen en/of de gevolgen ervan kan </w:t>
      </w:r>
      <w:r>
        <w:rPr>
          <w:lang w:val="nl-BE"/>
        </w:rPr>
        <w:t>vergroten</w:t>
      </w:r>
      <w:r w:rsidRPr="00285D90">
        <w:rPr>
          <w:lang w:val="nl-BE"/>
        </w:rPr>
        <w:t xml:space="preserve"> of </w:t>
      </w:r>
      <w:r>
        <w:rPr>
          <w:lang w:val="nl-BE"/>
        </w:rPr>
        <w:t>verkleinen</w:t>
      </w:r>
      <w:r w:rsidRPr="00285D90">
        <w:rPr>
          <w:lang w:val="nl-BE"/>
        </w:rPr>
        <w:t>, rekening houdend met:</w:t>
      </w:r>
    </w:p>
    <w:p w:rsidR="00FE339C" w:rsidRPr="00285D90" w:rsidRDefault="00FE339C" w:rsidP="00645BC0">
      <w:pPr>
        <w:pStyle w:val="ListParagraph"/>
        <w:numPr>
          <w:ilvl w:val="1"/>
          <w:numId w:val="31"/>
        </w:numPr>
        <w:spacing w:after="60"/>
        <w:ind w:left="567" w:hanging="283"/>
        <w:contextualSpacing w:val="0"/>
        <w:rPr>
          <w:lang w:val="nl-BE"/>
        </w:rPr>
      </w:pPr>
      <w:r w:rsidRPr="00285D90">
        <w:rPr>
          <w:lang w:val="nl-BE"/>
        </w:rPr>
        <w:t>de kwaliteit van haar interne controle in het algemeen;</w:t>
      </w:r>
    </w:p>
    <w:p w:rsidR="00FE339C" w:rsidRPr="00285D90" w:rsidRDefault="00FE339C" w:rsidP="00645BC0">
      <w:pPr>
        <w:pStyle w:val="ListParagraph"/>
        <w:numPr>
          <w:ilvl w:val="1"/>
          <w:numId w:val="31"/>
        </w:numPr>
        <w:spacing w:after="60"/>
        <w:ind w:left="567" w:hanging="283"/>
        <w:contextualSpacing w:val="0"/>
        <w:rPr>
          <w:lang w:val="nl-BE"/>
        </w:rPr>
      </w:pPr>
      <w:r w:rsidRPr="00285D90">
        <w:rPr>
          <w:lang w:val="nl-BE"/>
        </w:rPr>
        <w:t>de kwaliteit van haar specifieke maatregelen ter voorkoming van het witwassen van geld en de financiering van terrorisme en proliferatie, met inbegrip van:</w:t>
      </w:r>
    </w:p>
    <w:p w:rsidR="00FE339C" w:rsidRPr="00285D90" w:rsidRDefault="00FE339C" w:rsidP="00645BC0">
      <w:pPr>
        <w:pStyle w:val="ListParagraph"/>
        <w:numPr>
          <w:ilvl w:val="2"/>
          <w:numId w:val="31"/>
        </w:numPr>
        <w:spacing w:after="60"/>
        <w:ind w:left="851" w:hanging="284"/>
        <w:contextualSpacing w:val="0"/>
        <w:rPr>
          <w:lang w:val="nl-BE"/>
        </w:rPr>
      </w:pPr>
      <w:r w:rsidRPr="00285D90">
        <w:rPr>
          <w:lang w:val="nl-BE"/>
        </w:rPr>
        <w:t xml:space="preserve">de </w:t>
      </w:r>
      <w:r>
        <w:rPr>
          <w:lang w:val="nl-BE"/>
        </w:rPr>
        <w:t>conformiteit</w:t>
      </w:r>
      <w:r w:rsidRPr="00285D90">
        <w:rPr>
          <w:lang w:val="nl-BE"/>
        </w:rPr>
        <w:t xml:space="preserve"> van die maatregelen met de wettelijke en reglementaire verplichtingen;</w:t>
      </w:r>
    </w:p>
    <w:p w:rsidR="00FE339C" w:rsidRPr="00285D90" w:rsidRDefault="00FE339C" w:rsidP="00645BC0">
      <w:pPr>
        <w:pStyle w:val="ListParagraph"/>
        <w:numPr>
          <w:ilvl w:val="2"/>
          <w:numId w:val="31"/>
        </w:numPr>
        <w:spacing w:after="120"/>
        <w:ind w:left="851" w:hanging="284"/>
        <w:contextualSpacing w:val="0"/>
        <w:rPr>
          <w:lang w:val="nl-BE"/>
        </w:rPr>
      </w:pPr>
      <w:r w:rsidRPr="00285D90">
        <w:rPr>
          <w:lang w:val="nl-BE"/>
        </w:rPr>
        <w:t>de doeltreffendheid van de</w:t>
      </w:r>
      <w:r>
        <w:rPr>
          <w:lang w:val="nl-BE"/>
        </w:rPr>
        <w:t xml:space="preserve"> </w:t>
      </w:r>
      <w:r w:rsidRPr="00285D90">
        <w:rPr>
          <w:lang w:val="nl-BE"/>
        </w:rPr>
        <w:t>tenuitvoerlegging van d</w:t>
      </w:r>
      <w:r>
        <w:rPr>
          <w:lang w:val="nl-BE"/>
        </w:rPr>
        <w:t>ie</w:t>
      </w:r>
      <w:r w:rsidRPr="00285D90">
        <w:rPr>
          <w:lang w:val="nl-BE"/>
        </w:rPr>
        <w:t xml:space="preserve"> maatregelen.</w:t>
      </w:r>
    </w:p>
    <w:p w:rsidR="00FE339C" w:rsidRPr="00285D90" w:rsidRDefault="00FE339C" w:rsidP="00645BC0">
      <w:pPr>
        <w:spacing w:before="240" w:after="120"/>
        <w:jc w:val="both"/>
        <w:rPr>
          <w:u w:val="single"/>
          <w:lang w:val="nl-BE"/>
        </w:rPr>
      </w:pPr>
      <w:r w:rsidRPr="00285D90">
        <w:rPr>
          <w:u w:val="single"/>
          <w:lang w:val="nl-BE"/>
        </w:rPr>
        <w:t>Doelstellingen van de vragenlijst en gebruik van de antwoorden door de Nationale Bank van België (NBB)</w:t>
      </w:r>
    </w:p>
    <w:p w:rsidR="00FE339C" w:rsidRPr="00285D90" w:rsidRDefault="00FE339C" w:rsidP="00645BC0">
      <w:pPr>
        <w:spacing w:before="240" w:after="120"/>
        <w:jc w:val="both"/>
        <w:rPr>
          <w:lang w:val="nl-BE"/>
        </w:rPr>
      </w:pPr>
      <w:r>
        <w:rPr>
          <w:lang w:val="nl-BE"/>
        </w:rPr>
        <w:t xml:space="preserve">Bij </w:t>
      </w:r>
      <w:r w:rsidRPr="00285D90">
        <w:rPr>
          <w:lang w:val="nl-BE"/>
        </w:rPr>
        <w:t xml:space="preserve">haar beoordeling van de individuele risico's </w:t>
      </w:r>
      <w:r>
        <w:rPr>
          <w:lang w:val="nl-BE"/>
        </w:rPr>
        <w:t xml:space="preserve">van </w:t>
      </w:r>
      <w:r w:rsidRPr="00285D90">
        <w:rPr>
          <w:lang w:val="nl-BE"/>
        </w:rPr>
        <w:t xml:space="preserve">elke financiële instelling </w:t>
      </w:r>
      <w:r>
        <w:rPr>
          <w:lang w:val="nl-BE"/>
        </w:rPr>
        <w:t xml:space="preserve">baseert de </w:t>
      </w:r>
      <w:r w:rsidRPr="00285D90">
        <w:rPr>
          <w:lang w:val="nl-BE"/>
        </w:rPr>
        <w:t xml:space="preserve">NBB zich op een aantal informatiebronnen (met name </w:t>
      </w:r>
      <w:r>
        <w:rPr>
          <w:lang w:val="nl-BE"/>
        </w:rPr>
        <w:t xml:space="preserve">haar </w:t>
      </w:r>
      <w:r w:rsidRPr="00285D90">
        <w:rPr>
          <w:lang w:val="nl-BE"/>
        </w:rPr>
        <w:t>algemene kennis van de kwaliteit van de organisatie en van de interne controle</w:t>
      </w:r>
      <w:r>
        <w:rPr>
          <w:lang w:val="nl-BE"/>
        </w:rPr>
        <w:t>,</w:t>
      </w:r>
      <w:r w:rsidRPr="00285D90">
        <w:rPr>
          <w:lang w:val="nl-BE"/>
        </w:rPr>
        <w:t xml:space="preserve"> die </w:t>
      </w:r>
      <w:r>
        <w:rPr>
          <w:lang w:val="nl-BE"/>
        </w:rPr>
        <w:t>bij het uitoefenen</w:t>
      </w:r>
      <w:r w:rsidRPr="00285D90">
        <w:rPr>
          <w:lang w:val="nl-BE"/>
        </w:rPr>
        <w:t xml:space="preserve"> van het algemeen prudentieel toezicht</w:t>
      </w:r>
      <w:r>
        <w:rPr>
          <w:lang w:val="nl-BE"/>
        </w:rPr>
        <w:t xml:space="preserve"> wordt opgedaan</w:t>
      </w:r>
      <w:r w:rsidRPr="00285D90">
        <w:rPr>
          <w:lang w:val="nl-BE"/>
        </w:rPr>
        <w:t>, de jaarlijkse verslagen van de effectieve leiding over de werking van de interne controle, de jaarlijkse verslagen van</w:t>
      </w:r>
      <w:r>
        <w:rPr>
          <w:lang w:val="nl-BE"/>
        </w:rPr>
        <w:t xml:space="preserve"> </w:t>
      </w:r>
      <w:r w:rsidRPr="00285D90">
        <w:rPr>
          <w:lang w:val="nl-BE"/>
        </w:rPr>
        <w:t xml:space="preserve">de compliance officer en van de verantwoordelijke voor </w:t>
      </w:r>
      <w:r>
        <w:rPr>
          <w:lang w:val="nl-BE"/>
        </w:rPr>
        <w:t xml:space="preserve">de voorkoming van </w:t>
      </w:r>
      <w:r w:rsidRPr="00285D90">
        <w:rPr>
          <w:lang w:val="nl-BE"/>
        </w:rPr>
        <w:t xml:space="preserve">het witwassen van geld en de financiering van terrorisme, de regelmatige gesprekken met de effectieve leiding, </w:t>
      </w:r>
      <w:r>
        <w:rPr>
          <w:lang w:val="nl-BE"/>
        </w:rPr>
        <w:t>d</w:t>
      </w:r>
      <w:r w:rsidRPr="00285D90">
        <w:rPr>
          <w:lang w:val="nl-BE"/>
        </w:rPr>
        <w:t>e interne audit en de compliance officer, de resultaten van vroegere controles, zowel op afstand a</w:t>
      </w:r>
      <w:r>
        <w:rPr>
          <w:lang w:val="nl-BE"/>
        </w:rPr>
        <w:t>l</w:t>
      </w:r>
      <w:r w:rsidRPr="00285D90">
        <w:rPr>
          <w:lang w:val="nl-BE"/>
        </w:rPr>
        <w:t>s ter plaatste, enz.)</w:t>
      </w:r>
      <w:r w:rsidR="0087226E">
        <w:rPr>
          <w:lang w:val="nl-BE"/>
        </w:rPr>
        <w:t>.</w:t>
      </w:r>
    </w:p>
    <w:p w:rsidR="00FE339C" w:rsidRPr="00285D90" w:rsidRDefault="00FE339C" w:rsidP="00645BC0">
      <w:pPr>
        <w:spacing w:after="120"/>
        <w:jc w:val="both"/>
        <w:rPr>
          <w:lang w:val="nl-BE"/>
        </w:rPr>
      </w:pPr>
      <w:r w:rsidRPr="00285D90">
        <w:rPr>
          <w:lang w:val="nl-BE"/>
        </w:rPr>
        <w:t>Gezien de vers</w:t>
      </w:r>
      <w:r>
        <w:rPr>
          <w:lang w:val="nl-BE"/>
        </w:rPr>
        <w:t xml:space="preserve">cherping </w:t>
      </w:r>
      <w:r w:rsidRPr="00285D90">
        <w:rPr>
          <w:lang w:val="nl-BE"/>
        </w:rPr>
        <w:t xml:space="preserve">van de internationale normen </w:t>
      </w:r>
      <w:r w:rsidR="00840FCB" w:rsidRPr="00285D90">
        <w:rPr>
          <w:lang w:val="nl-BE"/>
        </w:rPr>
        <w:t>bl</w:t>
      </w:r>
      <w:r w:rsidR="00840FCB">
        <w:rPr>
          <w:lang w:val="nl-BE"/>
        </w:rPr>
        <w:t>eek</w:t>
      </w:r>
      <w:r w:rsidR="00840FCB" w:rsidRPr="00285D90">
        <w:rPr>
          <w:lang w:val="nl-BE"/>
        </w:rPr>
        <w:t xml:space="preserve"> </w:t>
      </w:r>
      <w:r w:rsidRPr="00285D90">
        <w:rPr>
          <w:lang w:val="nl-BE"/>
        </w:rPr>
        <w:t xml:space="preserve">het noodzakelijk de informatiebronnen waarop de NBB zich baseert voor de beoordeling van de risico's </w:t>
      </w:r>
      <w:r>
        <w:rPr>
          <w:lang w:val="nl-BE"/>
        </w:rPr>
        <w:t xml:space="preserve">op </w:t>
      </w:r>
      <w:r w:rsidRPr="00285D90">
        <w:rPr>
          <w:lang w:val="nl-BE"/>
        </w:rPr>
        <w:t xml:space="preserve">witwassen </w:t>
      </w:r>
      <w:r>
        <w:rPr>
          <w:lang w:val="nl-BE"/>
        </w:rPr>
        <w:t xml:space="preserve">van geld </w:t>
      </w:r>
      <w:r w:rsidRPr="00285D90">
        <w:rPr>
          <w:lang w:val="nl-BE"/>
        </w:rPr>
        <w:t xml:space="preserve">en financiering van terrorisme en proliferatie te diversifiëren en de inspanningen op het vlak van de </w:t>
      </w:r>
      <w:r>
        <w:rPr>
          <w:lang w:val="nl-BE"/>
        </w:rPr>
        <w:t>sensibilisering</w:t>
      </w:r>
      <w:r w:rsidRPr="00285D90">
        <w:rPr>
          <w:lang w:val="nl-BE"/>
        </w:rPr>
        <w:t xml:space="preserve"> van de financiële in</w:t>
      </w:r>
      <w:r>
        <w:rPr>
          <w:lang w:val="nl-BE"/>
        </w:rPr>
        <w:t>s</w:t>
      </w:r>
      <w:r w:rsidRPr="00285D90">
        <w:rPr>
          <w:lang w:val="nl-BE"/>
        </w:rPr>
        <w:t>t</w:t>
      </w:r>
      <w:r>
        <w:rPr>
          <w:lang w:val="nl-BE"/>
        </w:rPr>
        <w:t>e</w:t>
      </w:r>
      <w:r w:rsidRPr="00285D90">
        <w:rPr>
          <w:lang w:val="nl-BE"/>
        </w:rPr>
        <w:t>l</w:t>
      </w:r>
      <w:r>
        <w:rPr>
          <w:lang w:val="nl-BE"/>
        </w:rPr>
        <w:t>li</w:t>
      </w:r>
      <w:r w:rsidRPr="00285D90">
        <w:rPr>
          <w:lang w:val="nl-BE"/>
        </w:rPr>
        <w:t>ngen voor te zetten en te versterken.</w:t>
      </w:r>
    </w:p>
    <w:p w:rsidR="00FE339C" w:rsidRPr="00285D90" w:rsidRDefault="00FE339C" w:rsidP="00645BC0">
      <w:pPr>
        <w:spacing w:after="120"/>
        <w:jc w:val="both"/>
        <w:rPr>
          <w:lang w:val="nl-BE"/>
        </w:rPr>
      </w:pPr>
      <w:r w:rsidRPr="00ED0508">
        <w:rPr>
          <w:lang w:val="nl-BE"/>
        </w:rPr>
        <w:t>Dit is wat beoogd wordt met de periodieke vragenlijst</w:t>
      </w:r>
      <w:r w:rsidR="00840FCB" w:rsidRPr="00ED0508">
        <w:rPr>
          <w:lang w:val="nl-BE"/>
        </w:rPr>
        <w:t xml:space="preserve"> die voor </w:t>
      </w:r>
      <w:r w:rsidR="00A17A21" w:rsidRPr="00ED0508">
        <w:rPr>
          <w:lang w:val="nl-BE"/>
        </w:rPr>
        <w:t>het</w:t>
      </w:r>
      <w:r w:rsidR="00840FCB" w:rsidRPr="00ED0508">
        <w:rPr>
          <w:lang w:val="nl-BE"/>
        </w:rPr>
        <w:t xml:space="preserve"> </w:t>
      </w:r>
      <w:r w:rsidR="00BB5D8C" w:rsidRPr="00ED0508">
        <w:rPr>
          <w:lang w:val="nl-BE"/>
        </w:rPr>
        <w:t>eerst</w:t>
      </w:r>
      <w:r w:rsidR="00840FCB" w:rsidRPr="00ED0508">
        <w:rPr>
          <w:lang w:val="nl-BE"/>
        </w:rPr>
        <w:t xml:space="preserve"> in 2014 in werking werd gesteld</w:t>
      </w:r>
      <w:r w:rsidRPr="00ED0508">
        <w:rPr>
          <w:lang w:val="nl-BE"/>
        </w:rPr>
        <w:t xml:space="preserve">, </w:t>
      </w:r>
      <w:r w:rsidR="00BB5D8C" w:rsidRPr="00ED0508">
        <w:rPr>
          <w:lang w:val="nl-BE"/>
        </w:rPr>
        <w:t xml:space="preserve">en </w:t>
      </w:r>
      <w:r w:rsidRPr="00ED0508">
        <w:rPr>
          <w:lang w:val="nl-BE"/>
        </w:rPr>
        <w:t xml:space="preserve">die in het huidige stadium </w:t>
      </w:r>
      <w:r w:rsidR="00840FCB" w:rsidRPr="00ED0508">
        <w:rPr>
          <w:lang w:val="nl-BE"/>
        </w:rPr>
        <w:t xml:space="preserve">nog </w:t>
      </w:r>
      <w:r w:rsidRPr="00ED0508">
        <w:rPr>
          <w:lang w:val="nl-BE"/>
        </w:rPr>
        <w:t>voornamelijk focust op informatie over de conformiteit van de WW/FT-regelingen met de wettelijke en reglementaire verplichtingen.</w:t>
      </w:r>
      <w:r w:rsidRPr="00285D90">
        <w:rPr>
          <w:lang w:val="nl-BE"/>
        </w:rPr>
        <w:t xml:space="preserve"> </w:t>
      </w:r>
    </w:p>
    <w:p w:rsidR="00FE339C" w:rsidRPr="00285D90" w:rsidRDefault="00FE339C" w:rsidP="00645BC0">
      <w:pPr>
        <w:spacing w:after="120"/>
        <w:jc w:val="both"/>
        <w:rPr>
          <w:lang w:val="nl-BE"/>
        </w:rPr>
      </w:pPr>
      <w:r>
        <w:rPr>
          <w:lang w:val="nl-BE"/>
        </w:rPr>
        <w:t xml:space="preserve">De ingezamelde </w:t>
      </w:r>
      <w:r w:rsidRPr="00285D90">
        <w:rPr>
          <w:lang w:val="nl-BE"/>
        </w:rPr>
        <w:t>informatie dra</w:t>
      </w:r>
      <w:r w:rsidR="00840FCB">
        <w:rPr>
          <w:lang w:val="nl-BE"/>
        </w:rPr>
        <w:t>a</w:t>
      </w:r>
      <w:r w:rsidRPr="00285D90">
        <w:rPr>
          <w:lang w:val="nl-BE"/>
        </w:rPr>
        <w:t>g</w:t>
      </w:r>
      <w:r w:rsidR="00840FCB">
        <w:rPr>
          <w:lang w:val="nl-BE"/>
        </w:rPr>
        <w:t>t</w:t>
      </w:r>
      <w:r w:rsidRPr="00285D90">
        <w:rPr>
          <w:lang w:val="nl-BE"/>
        </w:rPr>
        <w:t xml:space="preserve"> </w:t>
      </w:r>
      <w:r w:rsidR="00BB5D8C">
        <w:rPr>
          <w:lang w:val="nl-BE"/>
        </w:rPr>
        <w:t xml:space="preserve">bij </w:t>
      </w:r>
      <w:r>
        <w:rPr>
          <w:lang w:val="nl-BE"/>
        </w:rPr>
        <w:t xml:space="preserve">tot een beter gedocumenteerde beoordeling van </w:t>
      </w:r>
      <w:r w:rsidRPr="00285D90">
        <w:rPr>
          <w:lang w:val="nl-BE"/>
        </w:rPr>
        <w:t xml:space="preserve">de </w:t>
      </w:r>
      <w:r>
        <w:rPr>
          <w:lang w:val="nl-BE"/>
        </w:rPr>
        <w:t xml:space="preserve">gevoeligheid </w:t>
      </w:r>
      <w:r w:rsidRPr="00285D90">
        <w:rPr>
          <w:lang w:val="nl-BE"/>
        </w:rPr>
        <w:t xml:space="preserve">/weerstand van elke instelling ten </w:t>
      </w:r>
      <w:r>
        <w:rPr>
          <w:lang w:val="nl-BE"/>
        </w:rPr>
        <w:t>aanzien</w:t>
      </w:r>
      <w:r w:rsidRPr="00285D90">
        <w:rPr>
          <w:lang w:val="nl-BE"/>
        </w:rPr>
        <w:t xml:space="preserve"> van het risico op witwassen van geld en financiering van terrorisme en proliferatie, en </w:t>
      </w:r>
      <w:r w:rsidR="00840FCB">
        <w:rPr>
          <w:lang w:val="nl-BE"/>
        </w:rPr>
        <w:t xml:space="preserve">stelt </w:t>
      </w:r>
      <w:r w:rsidRPr="00285D90">
        <w:rPr>
          <w:lang w:val="nl-BE"/>
        </w:rPr>
        <w:t xml:space="preserve">de NBB in staat haar controles </w:t>
      </w:r>
      <w:r w:rsidR="00840FCB" w:rsidRPr="00285D90">
        <w:rPr>
          <w:lang w:val="nl-BE"/>
        </w:rPr>
        <w:t>precie</w:t>
      </w:r>
      <w:r w:rsidR="00840FCB">
        <w:rPr>
          <w:lang w:val="nl-BE"/>
        </w:rPr>
        <w:t>s</w:t>
      </w:r>
      <w:r w:rsidR="00840FCB" w:rsidRPr="00285D90">
        <w:rPr>
          <w:lang w:val="nl-BE"/>
        </w:rPr>
        <w:t xml:space="preserve"> </w:t>
      </w:r>
      <w:r w:rsidRPr="00285D90">
        <w:rPr>
          <w:lang w:val="nl-BE"/>
        </w:rPr>
        <w:t>e</w:t>
      </w:r>
      <w:r>
        <w:rPr>
          <w:lang w:val="nl-BE"/>
        </w:rPr>
        <w:t>n</w:t>
      </w:r>
      <w:r w:rsidRPr="00285D90">
        <w:rPr>
          <w:lang w:val="nl-BE"/>
        </w:rPr>
        <w:t xml:space="preserve"> doeltreffend </w:t>
      </w:r>
      <w:r>
        <w:rPr>
          <w:lang w:val="nl-BE"/>
        </w:rPr>
        <w:t>te oriënteren</w:t>
      </w:r>
      <w:r w:rsidRPr="00285D90">
        <w:rPr>
          <w:lang w:val="nl-BE"/>
        </w:rPr>
        <w:t xml:space="preserve">, zodat haar controlemiddelen optimaal </w:t>
      </w:r>
      <w:r>
        <w:rPr>
          <w:lang w:val="nl-BE"/>
        </w:rPr>
        <w:t xml:space="preserve">kunnen </w:t>
      </w:r>
      <w:r w:rsidRPr="00285D90">
        <w:rPr>
          <w:lang w:val="nl-BE"/>
        </w:rPr>
        <w:t xml:space="preserve">worden </w:t>
      </w:r>
      <w:r>
        <w:rPr>
          <w:lang w:val="nl-BE"/>
        </w:rPr>
        <w:t>toegewezen</w:t>
      </w:r>
      <w:r w:rsidRPr="00285D90">
        <w:rPr>
          <w:lang w:val="nl-BE"/>
        </w:rPr>
        <w:t xml:space="preserve">. </w:t>
      </w:r>
    </w:p>
    <w:p w:rsidR="00FE339C" w:rsidRPr="00285D90" w:rsidRDefault="00FE339C" w:rsidP="00645BC0">
      <w:pPr>
        <w:spacing w:after="120"/>
        <w:jc w:val="both"/>
        <w:rPr>
          <w:lang w:val="nl-BE"/>
        </w:rPr>
      </w:pPr>
      <w:r w:rsidRPr="00285D90">
        <w:rPr>
          <w:lang w:val="nl-BE"/>
        </w:rPr>
        <w:t>De antwoorden op de vragenlijst</w:t>
      </w:r>
      <w:r>
        <w:rPr>
          <w:lang w:val="nl-BE"/>
        </w:rPr>
        <w:t xml:space="preserve"> </w:t>
      </w:r>
      <w:r w:rsidR="00840FCB">
        <w:rPr>
          <w:lang w:val="nl-BE"/>
        </w:rPr>
        <w:t>vormen</w:t>
      </w:r>
      <w:r w:rsidR="00840FCB" w:rsidRPr="00285D90">
        <w:rPr>
          <w:lang w:val="nl-BE"/>
        </w:rPr>
        <w:t xml:space="preserve"> </w:t>
      </w:r>
      <w:r w:rsidRPr="00285D90">
        <w:rPr>
          <w:lang w:val="nl-BE"/>
        </w:rPr>
        <w:t xml:space="preserve">dus een van de grondslagen </w:t>
      </w:r>
      <w:r>
        <w:rPr>
          <w:lang w:val="nl-BE"/>
        </w:rPr>
        <w:t>waarop de Bank zich base</w:t>
      </w:r>
      <w:r w:rsidR="00840FCB">
        <w:rPr>
          <w:lang w:val="nl-BE"/>
        </w:rPr>
        <w:t>ert</w:t>
      </w:r>
      <w:r>
        <w:rPr>
          <w:lang w:val="nl-BE"/>
        </w:rPr>
        <w:t xml:space="preserve"> om richting te geven aan de uitoefening van haar toezicht, zonder dat zij dit toezicht evenwel mag beperken tot het onderzoek van de antwoorden op de vragenlijst</w:t>
      </w:r>
      <w:r w:rsidRPr="00285D90">
        <w:rPr>
          <w:lang w:val="nl-BE"/>
        </w:rPr>
        <w:t>.</w:t>
      </w:r>
    </w:p>
    <w:p w:rsidR="00FE339C" w:rsidRPr="00285D90" w:rsidRDefault="00FE339C" w:rsidP="00645BC0">
      <w:pPr>
        <w:spacing w:after="120"/>
        <w:jc w:val="both"/>
        <w:rPr>
          <w:lang w:val="nl-BE"/>
        </w:rPr>
      </w:pPr>
      <w:r>
        <w:rPr>
          <w:lang w:val="nl-BE"/>
        </w:rPr>
        <w:t xml:space="preserve">De in deze geest opgezette vragenlijst moet dus worden gezien als een prudentieel instrument dat steunt op de bevoegdheid die door de prudentiële wetten </w:t>
      </w:r>
      <w:r w:rsidRPr="00285D90">
        <w:rPr>
          <w:lang w:val="nl-BE"/>
        </w:rPr>
        <w:t>[</w:t>
      </w:r>
      <w:r w:rsidRPr="00285D90">
        <w:rPr>
          <w:rStyle w:val="FootnoteReference"/>
          <w:lang w:val="nl-BE"/>
        </w:rPr>
        <w:footnoteReference w:id="5"/>
      </w:r>
      <w:r w:rsidRPr="00285D90">
        <w:rPr>
          <w:lang w:val="nl-BE"/>
        </w:rPr>
        <w:t xml:space="preserve">] </w:t>
      </w:r>
      <w:r>
        <w:rPr>
          <w:lang w:val="nl-BE"/>
        </w:rPr>
        <w:t xml:space="preserve">en de wet van </w:t>
      </w:r>
      <w:r w:rsidRPr="00285D90">
        <w:rPr>
          <w:lang w:val="nl-BE"/>
        </w:rPr>
        <w:t xml:space="preserve">11 </w:t>
      </w:r>
      <w:r>
        <w:rPr>
          <w:lang w:val="nl-BE"/>
        </w:rPr>
        <w:t xml:space="preserve">januari </w:t>
      </w:r>
      <w:r w:rsidRPr="00285D90">
        <w:rPr>
          <w:lang w:val="nl-BE"/>
        </w:rPr>
        <w:t>1993 [</w:t>
      </w:r>
      <w:r w:rsidRPr="00285D90">
        <w:rPr>
          <w:rStyle w:val="FootnoteReference"/>
          <w:lang w:val="nl-BE"/>
        </w:rPr>
        <w:footnoteReference w:id="6"/>
      </w:r>
      <w:r w:rsidRPr="00285D90">
        <w:rPr>
          <w:lang w:val="nl-BE"/>
        </w:rPr>
        <w:t>]</w:t>
      </w:r>
      <w:r>
        <w:rPr>
          <w:lang w:val="nl-BE"/>
        </w:rPr>
        <w:t xml:space="preserve"> aan de Bank </w:t>
      </w:r>
      <w:r>
        <w:rPr>
          <w:lang w:val="nl-BE"/>
        </w:rPr>
        <w:lastRenderedPageBreak/>
        <w:t>werd toegekend om zich alle inlichtingen te doen verstrekken die nodig zijn voor de uitoefening van haar toezichtsbevoegdheden</w:t>
      </w:r>
      <w:r w:rsidRPr="00285D90">
        <w:rPr>
          <w:lang w:val="nl-BE"/>
        </w:rPr>
        <w:t>.</w:t>
      </w:r>
      <w:r>
        <w:rPr>
          <w:lang w:val="nl-BE"/>
        </w:rPr>
        <w:t xml:space="preserve"> </w:t>
      </w:r>
    </w:p>
    <w:p w:rsidR="00FE339C" w:rsidRPr="00285D90" w:rsidRDefault="00FE339C" w:rsidP="00645BC0">
      <w:pPr>
        <w:spacing w:after="120"/>
        <w:jc w:val="both"/>
        <w:rPr>
          <w:color w:val="0070C0"/>
          <w:lang w:val="nl-BE"/>
        </w:rPr>
      </w:pPr>
      <w:r>
        <w:rPr>
          <w:lang w:val="nl-BE"/>
        </w:rPr>
        <w:t>In deze methodologische nota wordt nader ingegaan op de praktische modaliteiten van de bijgevoegde vragenlijst.</w:t>
      </w:r>
    </w:p>
    <w:p w:rsidR="002A4DA8" w:rsidRPr="00285D90" w:rsidRDefault="002A4DA8" w:rsidP="00645BC0">
      <w:pPr>
        <w:pStyle w:val="ListParagraph"/>
        <w:numPr>
          <w:ilvl w:val="0"/>
          <w:numId w:val="35"/>
        </w:numPr>
        <w:spacing w:before="240" w:after="120"/>
        <w:ind w:left="567" w:hanging="567"/>
        <w:contextualSpacing w:val="0"/>
        <w:rPr>
          <w:b/>
          <w:sz w:val="22"/>
          <w:u w:val="single"/>
          <w:lang w:val="nl-BE"/>
        </w:rPr>
      </w:pPr>
      <w:r>
        <w:rPr>
          <w:b/>
          <w:sz w:val="22"/>
          <w:u w:val="single"/>
          <w:lang w:val="nl-BE"/>
        </w:rPr>
        <w:t>Algemene presentatie van de vragenlijst</w:t>
      </w:r>
    </w:p>
    <w:p w:rsidR="002A4DA8" w:rsidRPr="00285D90" w:rsidRDefault="002A4DA8" w:rsidP="00645BC0">
      <w:pPr>
        <w:spacing w:before="240" w:after="60"/>
        <w:jc w:val="both"/>
        <w:rPr>
          <w:lang w:val="nl-BE"/>
        </w:rPr>
      </w:pPr>
      <w:r>
        <w:rPr>
          <w:lang w:val="nl-BE"/>
        </w:rPr>
        <w:t xml:space="preserve">De vragenlijst voor het jaar </w:t>
      </w:r>
      <w:r w:rsidRPr="00285D90">
        <w:rPr>
          <w:lang w:val="nl-BE"/>
        </w:rPr>
        <w:t>201</w:t>
      </w:r>
      <w:r w:rsidR="0099627C">
        <w:rPr>
          <w:lang w:val="nl-BE"/>
        </w:rPr>
        <w:t>7</w:t>
      </w:r>
      <w:r w:rsidRPr="00285D90">
        <w:rPr>
          <w:lang w:val="nl-BE"/>
        </w:rPr>
        <w:t xml:space="preserve"> </w:t>
      </w:r>
      <w:r>
        <w:rPr>
          <w:lang w:val="nl-BE"/>
        </w:rPr>
        <w:t>is onderverdeeld in zes hoofdstukken, die betrekking hebben op de belangrijkste wettelijke en reglementaire verplichtingen van de financiële instellingen op het vlak van WW</w:t>
      </w:r>
      <w:r w:rsidRPr="00285D90">
        <w:rPr>
          <w:lang w:val="nl-BE"/>
        </w:rPr>
        <w:t>/FT:</w:t>
      </w:r>
    </w:p>
    <w:p w:rsidR="002A4DA8" w:rsidRPr="00285D90" w:rsidRDefault="002A4DA8" w:rsidP="00645BC0">
      <w:pPr>
        <w:spacing w:after="60"/>
        <w:jc w:val="both"/>
        <w:rPr>
          <w:lang w:val="nl-BE"/>
        </w:rPr>
      </w:pPr>
      <w:r>
        <w:rPr>
          <w:lang w:val="nl-BE"/>
        </w:rPr>
        <w:t>Hoofdstuk</w:t>
      </w:r>
      <w:r w:rsidRPr="00285D90">
        <w:rPr>
          <w:lang w:val="nl-BE"/>
        </w:rPr>
        <w:t xml:space="preserve"> I</w:t>
      </w:r>
      <w:r>
        <w:rPr>
          <w:lang w:val="nl-BE"/>
        </w:rPr>
        <w:t>:</w:t>
      </w:r>
      <w:r w:rsidRPr="00285D90">
        <w:rPr>
          <w:lang w:val="nl-BE"/>
        </w:rPr>
        <w:t xml:space="preserve"> </w:t>
      </w:r>
      <w:r>
        <w:rPr>
          <w:lang w:val="nl-BE"/>
        </w:rPr>
        <w:t>Identificatie van de cliënten</w:t>
      </w:r>
      <w:r w:rsidRPr="00285D90">
        <w:rPr>
          <w:lang w:val="nl-BE"/>
        </w:rPr>
        <w:t>,</w:t>
      </w:r>
    </w:p>
    <w:p w:rsidR="002A4DA8" w:rsidRPr="00285D90" w:rsidRDefault="002A4DA8" w:rsidP="00645BC0">
      <w:pPr>
        <w:spacing w:after="60"/>
        <w:jc w:val="both"/>
        <w:rPr>
          <w:lang w:val="nl-BE"/>
        </w:rPr>
      </w:pPr>
      <w:r>
        <w:rPr>
          <w:lang w:val="nl-BE"/>
        </w:rPr>
        <w:t>Hoofdstuk</w:t>
      </w:r>
      <w:r w:rsidRPr="00285D90">
        <w:rPr>
          <w:lang w:val="nl-BE"/>
        </w:rPr>
        <w:t xml:space="preserve"> II</w:t>
      </w:r>
      <w:r>
        <w:rPr>
          <w:lang w:val="nl-BE"/>
        </w:rPr>
        <w:t>:</w:t>
      </w:r>
      <w:r w:rsidRPr="00285D90">
        <w:rPr>
          <w:lang w:val="nl-BE"/>
        </w:rPr>
        <w:t xml:space="preserve"> </w:t>
      </w:r>
      <w:r>
        <w:rPr>
          <w:lang w:val="nl-BE"/>
        </w:rPr>
        <w:t>Identificatie van de lasthebbers</w:t>
      </w:r>
      <w:r w:rsidRPr="00285D90">
        <w:rPr>
          <w:lang w:val="nl-BE"/>
        </w:rPr>
        <w:t>,</w:t>
      </w:r>
    </w:p>
    <w:p w:rsidR="002A4DA8" w:rsidRPr="00285D90" w:rsidRDefault="002A4DA8" w:rsidP="00645BC0">
      <w:pPr>
        <w:spacing w:after="60"/>
        <w:jc w:val="both"/>
        <w:rPr>
          <w:lang w:val="nl-BE"/>
        </w:rPr>
      </w:pPr>
      <w:r>
        <w:rPr>
          <w:lang w:val="nl-BE"/>
        </w:rPr>
        <w:t>Hoofdstuk</w:t>
      </w:r>
      <w:r w:rsidRPr="00285D90">
        <w:rPr>
          <w:lang w:val="nl-BE"/>
        </w:rPr>
        <w:t xml:space="preserve"> III</w:t>
      </w:r>
      <w:r>
        <w:rPr>
          <w:lang w:val="nl-BE"/>
        </w:rPr>
        <w:t>:</w:t>
      </w:r>
      <w:r w:rsidRPr="00285D90">
        <w:rPr>
          <w:lang w:val="nl-BE"/>
        </w:rPr>
        <w:t xml:space="preserve"> </w:t>
      </w:r>
      <w:r>
        <w:rPr>
          <w:lang w:val="nl-BE"/>
        </w:rPr>
        <w:t>Identificatie van de uiteindelijke begunstigden</w:t>
      </w:r>
      <w:r w:rsidRPr="00285D90">
        <w:rPr>
          <w:lang w:val="nl-BE"/>
        </w:rPr>
        <w:t>,</w:t>
      </w:r>
    </w:p>
    <w:p w:rsidR="002A4DA8" w:rsidRPr="00285D90" w:rsidRDefault="002A4DA8" w:rsidP="00645BC0">
      <w:pPr>
        <w:spacing w:after="60"/>
        <w:jc w:val="both"/>
        <w:rPr>
          <w:lang w:val="nl-BE"/>
        </w:rPr>
      </w:pPr>
      <w:r>
        <w:rPr>
          <w:lang w:val="nl-BE"/>
        </w:rPr>
        <w:t>Hoofdstuk</w:t>
      </w:r>
      <w:r w:rsidRPr="00285D90">
        <w:rPr>
          <w:lang w:val="nl-BE"/>
        </w:rPr>
        <w:t xml:space="preserve"> IV</w:t>
      </w:r>
      <w:r>
        <w:rPr>
          <w:lang w:val="nl-BE"/>
        </w:rPr>
        <w:t>:</w:t>
      </w:r>
      <w:r w:rsidRPr="00285D90">
        <w:rPr>
          <w:lang w:val="nl-BE"/>
        </w:rPr>
        <w:t xml:space="preserve"> </w:t>
      </w:r>
      <w:r>
        <w:rPr>
          <w:lang w:val="nl-BE"/>
        </w:rPr>
        <w:t>Cliëntacceptatiebeleid</w:t>
      </w:r>
      <w:r w:rsidRPr="00285D90">
        <w:rPr>
          <w:lang w:val="nl-BE"/>
        </w:rPr>
        <w:t>,</w:t>
      </w:r>
    </w:p>
    <w:p w:rsidR="002A4DA8" w:rsidRDefault="002A4DA8" w:rsidP="00645BC0">
      <w:pPr>
        <w:spacing w:after="60"/>
        <w:jc w:val="both"/>
        <w:rPr>
          <w:lang w:val="nl-BE"/>
        </w:rPr>
      </w:pPr>
      <w:r>
        <w:rPr>
          <w:lang w:val="nl-BE"/>
        </w:rPr>
        <w:t>Hoofdstuk</w:t>
      </w:r>
      <w:r w:rsidRPr="00285D90">
        <w:rPr>
          <w:lang w:val="nl-BE"/>
        </w:rPr>
        <w:t xml:space="preserve"> V</w:t>
      </w:r>
      <w:r>
        <w:rPr>
          <w:lang w:val="nl-BE"/>
        </w:rPr>
        <w:t>:</w:t>
      </w:r>
      <w:r w:rsidRPr="00285D90">
        <w:rPr>
          <w:lang w:val="nl-BE"/>
        </w:rPr>
        <w:t xml:space="preserve"> </w:t>
      </w:r>
      <w:r>
        <w:rPr>
          <w:lang w:val="nl-BE"/>
        </w:rPr>
        <w:t>Waakzaamheid ten aanzien van verrichtingen en zakenrelaties</w:t>
      </w:r>
      <w:r w:rsidRPr="00285D90">
        <w:rPr>
          <w:lang w:val="nl-BE"/>
        </w:rPr>
        <w:t>.</w:t>
      </w:r>
    </w:p>
    <w:p w:rsidR="002A4DA8" w:rsidRPr="00285D90" w:rsidRDefault="002A4DA8" w:rsidP="00645BC0">
      <w:pPr>
        <w:spacing w:after="120"/>
        <w:jc w:val="both"/>
        <w:rPr>
          <w:lang w:val="nl-BE"/>
        </w:rPr>
      </w:pPr>
      <w:r>
        <w:rPr>
          <w:lang w:val="nl-BE"/>
        </w:rPr>
        <w:t>Hoofdstuk VI: Elektronische geldovermakingen</w:t>
      </w:r>
    </w:p>
    <w:p w:rsidR="002A4DA8" w:rsidRPr="00285D90" w:rsidRDefault="002A4DA8" w:rsidP="00645BC0">
      <w:pPr>
        <w:spacing w:after="120"/>
        <w:jc w:val="both"/>
        <w:rPr>
          <w:lang w:val="nl-BE"/>
        </w:rPr>
      </w:pPr>
      <w:r>
        <w:rPr>
          <w:lang w:val="nl-BE"/>
        </w:rPr>
        <w:t>Elk van die hoofdstukken vangt aan met een algemene zelfbeoordelingsvraag over de conformiteit van de interne procedures van de antwoordende financiële instelling met de wettelijke en reglementaire verplichtingen ter zake</w:t>
      </w:r>
      <w:r w:rsidRPr="00285D90">
        <w:rPr>
          <w:lang w:val="nl-BE"/>
        </w:rPr>
        <w:t xml:space="preserve">, </w:t>
      </w:r>
      <w:r>
        <w:rPr>
          <w:lang w:val="nl-BE"/>
        </w:rPr>
        <w:t>en een algemene zelfbeoordelingsvraag over de doeltreffendheid van de praktische tenuitvoerlegging van die interne procedures</w:t>
      </w:r>
      <w:r w:rsidRPr="00285D90">
        <w:rPr>
          <w:lang w:val="nl-BE"/>
        </w:rPr>
        <w:t xml:space="preserve">. </w:t>
      </w:r>
      <w:r>
        <w:rPr>
          <w:lang w:val="nl-BE"/>
        </w:rPr>
        <w:t>Na deze eerste twee vragen volgen gedetailleerde vragen die voornamelijk bedoeld zijn om een duidelijker beeld te geven van de conformiteit van de bestaande interne procedures met de wettelijke en reglementaire verplichtingen ter zake</w:t>
      </w:r>
      <w:r w:rsidRPr="00285D90">
        <w:rPr>
          <w:lang w:val="nl-BE"/>
        </w:rPr>
        <w:t xml:space="preserve">. </w:t>
      </w:r>
    </w:p>
    <w:p w:rsidR="002A4DA8" w:rsidRPr="00285D90" w:rsidRDefault="002A4DA8" w:rsidP="00645BC0">
      <w:pPr>
        <w:spacing w:after="120"/>
        <w:jc w:val="both"/>
        <w:rPr>
          <w:color w:val="0070C0"/>
          <w:lang w:val="nl-BE"/>
        </w:rPr>
      </w:pPr>
      <w:r>
        <w:rPr>
          <w:lang w:val="nl-BE"/>
        </w:rPr>
        <w:t>Er zijn onderscheiden maar onderling samenhangende vragenlijsten opgesteld voor de kredietinstellingen en de beursvennootschappen, de verzekeringsondernemingen en de betalingsinstellingen en instellingen voor elektronisch geld</w:t>
      </w:r>
      <w:r w:rsidRPr="00285D90">
        <w:rPr>
          <w:lang w:val="nl-BE"/>
        </w:rPr>
        <w:t xml:space="preserve">. </w:t>
      </w:r>
      <w:r>
        <w:rPr>
          <w:lang w:val="nl-BE"/>
        </w:rPr>
        <w:t>Deze verschillende vragenlijsten onderscheiden zich van elkaar door het feit dat de vragen zonder relevantie voor de betrokken sector geneutraliseerd zijn en dus niet moeten worden</w:t>
      </w:r>
      <w:r w:rsidRPr="00285D90">
        <w:rPr>
          <w:lang w:val="nl-BE"/>
        </w:rPr>
        <w:t xml:space="preserve"> </w:t>
      </w:r>
      <w:r>
        <w:rPr>
          <w:lang w:val="nl-BE"/>
        </w:rPr>
        <w:t xml:space="preserve">beantwoord </w:t>
      </w:r>
      <w:r w:rsidRPr="00285D90">
        <w:rPr>
          <w:lang w:val="nl-BE"/>
        </w:rPr>
        <w:t xml:space="preserve">(cf. </w:t>
      </w:r>
      <w:r>
        <w:rPr>
          <w:lang w:val="nl-BE"/>
        </w:rPr>
        <w:t>de kleurcodering in de linkermarge van de vragenlijst</w:t>
      </w:r>
      <w:r w:rsidRPr="00285D90">
        <w:rPr>
          <w:lang w:val="nl-BE"/>
        </w:rPr>
        <w:t xml:space="preserve">). </w:t>
      </w:r>
    </w:p>
    <w:p w:rsidR="002A4DA8" w:rsidRPr="00285D90" w:rsidRDefault="002A4DA8" w:rsidP="00645BC0">
      <w:pPr>
        <w:spacing w:after="120"/>
        <w:jc w:val="both"/>
        <w:rPr>
          <w:lang w:val="nl-BE"/>
        </w:rPr>
      </w:pPr>
      <w:r>
        <w:rPr>
          <w:lang w:val="nl-BE"/>
        </w:rPr>
        <w:t xml:space="preserve">In het algemeen is de terminologie van de vragen afgestemd op die van de wet van </w:t>
      </w:r>
      <w:r w:rsidRPr="00285D90">
        <w:rPr>
          <w:lang w:val="nl-BE"/>
        </w:rPr>
        <w:t xml:space="preserve">11 </w:t>
      </w:r>
      <w:r>
        <w:rPr>
          <w:lang w:val="nl-BE"/>
        </w:rPr>
        <w:t xml:space="preserve">januari </w:t>
      </w:r>
      <w:r w:rsidRPr="00285D90">
        <w:rPr>
          <w:lang w:val="nl-BE"/>
        </w:rPr>
        <w:t xml:space="preserve">1993 </w:t>
      </w:r>
      <w:r w:rsidRPr="00A67795">
        <w:rPr>
          <w:bCs/>
          <w:lang w:val="nl-BE"/>
        </w:rPr>
        <w:t>tot voorkoming van het gebruik van het financiële stelsel voor het witwassen van geld en de financiering van terrorisme</w:t>
      </w:r>
      <w:r w:rsidRPr="00A67795">
        <w:rPr>
          <w:lang w:val="nl-BE"/>
        </w:rPr>
        <w:t xml:space="preserve"> </w:t>
      </w:r>
      <w:r w:rsidRPr="00285D90">
        <w:rPr>
          <w:lang w:val="nl-BE"/>
        </w:rPr>
        <w:t>("</w:t>
      </w:r>
      <w:r>
        <w:rPr>
          <w:lang w:val="nl-BE"/>
        </w:rPr>
        <w:t>de wet</w:t>
      </w:r>
      <w:r w:rsidRPr="00285D90">
        <w:rPr>
          <w:lang w:val="nl-BE"/>
        </w:rPr>
        <w:t xml:space="preserve">") </w:t>
      </w:r>
      <w:r>
        <w:rPr>
          <w:lang w:val="nl-BE"/>
        </w:rPr>
        <w:t xml:space="preserve">en op die van het reglement van de </w:t>
      </w:r>
      <w:r w:rsidRPr="00285D90">
        <w:rPr>
          <w:lang w:val="nl-BE"/>
        </w:rPr>
        <w:t xml:space="preserve">CBFA </w:t>
      </w:r>
      <w:r>
        <w:rPr>
          <w:lang w:val="nl-BE"/>
        </w:rPr>
        <w:t xml:space="preserve">van </w:t>
      </w:r>
      <w:r w:rsidRPr="00285D90">
        <w:rPr>
          <w:lang w:val="nl-BE"/>
        </w:rPr>
        <w:t xml:space="preserve">23 </w:t>
      </w:r>
      <w:r>
        <w:rPr>
          <w:lang w:val="nl-BE"/>
        </w:rPr>
        <w:t xml:space="preserve">februari </w:t>
      </w:r>
      <w:r w:rsidRPr="00285D90">
        <w:rPr>
          <w:lang w:val="nl-BE"/>
        </w:rPr>
        <w:t xml:space="preserve">2010 </w:t>
      </w:r>
      <w:r w:rsidRPr="00816D69">
        <w:rPr>
          <w:bCs/>
          <w:lang w:val="nl-BE"/>
        </w:rPr>
        <w:t>betreffende de voorkoming van het witwassen van</w:t>
      </w:r>
      <w:r>
        <w:rPr>
          <w:bCs/>
          <w:lang w:val="nl-BE"/>
        </w:rPr>
        <w:t xml:space="preserve"> </w:t>
      </w:r>
      <w:r w:rsidRPr="00816D69">
        <w:rPr>
          <w:bCs/>
          <w:lang w:val="nl-BE"/>
        </w:rPr>
        <w:t>geld en de financiering van terrorisme</w:t>
      </w:r>
      <w:r w:rsidRPr="00285D90">
        <w:rPr>
          <w:lang w:val="nl-BE"/>
        </w:rPr>
        <w:t xml:space="preserve"> ("</w:t>
      </w:r>
      <w:r>
        <w:rPr>
          <w:lang w:val="nl-BE"/>
        </w:rPr>
        <w:t>het reglement</w:t>
      </w:r>
      <w:r w:rsidRPr="00285D90">
        <w:rPr>
          <w:lang w:val="nl-BE"/>
        </w:rPr>
        <w:t xml:space="preserve">"). </w:t>
      </w:r>
      <w:r>
        <w:rPr>
          <w:lang w:val="nl-BE"/>
        </w:rPr>
        <w:t xml:space="preserve">Bij twijfel over de precieze strekking van de vragen wordt in de eerste plaats verwezen naar de verduidelijkingen die worden gegeven in de </w:t>
      </w:r>
      <w:r w:rsidRPr="00285D90">
        <w:rPr>
          <w:lang w:val="nl-BE"/>
        </w:rPr>
        <w:t xml:space="preserve">circulaire CBFA_2010_09 </w:t>
      </w:r>
      <w:r>
        <w:rPr>
          <w:lang w:val="nl-BE"/>
        </w:rPr>
        <w:t xml:space="preserve">van </w:t>
      </w:r>
      <w:r w:rsidRPr="00285D90">
        <w:rPr>
          <w:lang w:val="nl-BE"/>
        </w:rPr>
        <w:t xml:space="preserve">6 </w:t>
      </w:r>
      <w:r>
        <w:rPr>
          <w:lang w:val="nl-BE"/>
        </w:rPr>
        <w:t>april</w:t>
      </w:r>
      <w:r w:rsidRPr="00285D90">
        <w:rPr>
          <w:lang w:val="nl-BE"/>
        </w:rPr>
        <w:t xml:space="preserve"> 2010</w:t>
      </w:r>
      <w:r>
        <w:rPr>
          <w:lang w:val="nl-BE"/>
        </w:rPr>
        <w:t xml:space="preserve">, als gewijzigd bij de </w:t>
      </w:r>
      <w:r w:rsidRPr="00285D90">
        <w:rPr>
          <w:lang w:val="nl-BE"/>
        </w:rPr>
        <w:t>circulaire</w:t>
      </w:r>
      <w:r>
        <w:rPr>
          <w:lang w:val="nl-BE"/>
        </w:rPr>
        <w:t> </w:t>
      </w:r>
      <w:r w:rsidRPr="00285D90">
        <w:rPr>
          <w:lang w:val="nl-BE"/>
        </w:rPr>
        <w:t xml:space="preserve">CBFA_2011_09 </w:t>
      </w:r>
      <w:r>
        <w:rPr>
          <w:lang w:val="nl-BE"/>
        </w:rPr>
        <w:t xml:space="preserve">van </w:t>
      </w:r>
      <w:r w:rsidRPr="00285D90">
        <w:rPr>
          <w:lang w:val="nl-BE"/>
        </w:rPr>
        <w:t xml:space="preserve">1 </w:t>
      </w:r>
      <w:r>
        <w:rPr>
          <w:lang w:val="nl-BE"/>
        </w:rPr>
        <w:t>maart</w:t>
      </w:r>
      <w:r w:rsidRPr="00285D90">
        <w:rPr>
          <w:lang w:val="nl-BE"/>
        </w:rPr>
        <w:t xml:space="preserve"> 2011, </w:t>
      </w:r>
      <w:r w:rsidRPr="00816D69">
        <w:rPr>
          <w:bCs/>
          <w:lang w:val="nl-BE"/>
        </w:rPr>
        <w:t>betreffende de</w:t>
      </w:r>
      <w:r>
        <w:rPr>
          <w:bCs/>
          <w:lang w:val="nl-BE"/>
        </w:rPr>
        <w:t xml:space="preserve"> </w:t>
      </w:r>
      <w:r w:rsidRPr="00816D69">
        <w:rPr>
          <w:bCs/>
          <w:lang w:val="nl-BE"/>
        </w:rPr>
        <w:t>waakzaamheidsplicht ten aanzien van het cliënteel, de voorkoming</w:t>
      </w:r>
      <w:r>
        <w:rPr>
          <w:bCs/>
          <w:lang w:val="nl-BE"/>
        </w:rPr>
        <w:t xml:space="preserve"> </w:t>
      </w:r>
      <w:r w:rsidRPr="00816D69">
        <w:rPr>
          <w:bCs/>
          <w:lang w:val="nl-BE"/>
        </w:rPr>
        <w:t>van het gebruik van het financiële stelsel voor witwassen van geld en</w:t>
      </w:r>
      <w:r>
        <w:rPr>
          <w:bCs/>
          <w:lang w:val="nl-BE"/>
        </w:rPr>
        <w:t xml:space="preserve"> </w:t>
      </w:r>
      <w:r w:rsidRPr="00816D69">
        <w:rPr>
          <w:bCs/>
          <w:lang w:val="nl-BE"/>
        </w:rPr>
        <w:t>terrorismefinanciering, en de voorkoming van de</w:t>
      </w:r>
      <w:r>
        <w:rPr>
          <w:bCs/>
          <w:lang w:val="nl-BE"/>
        </w:rPr>
        <w:t xml:space="preserve"> </w:t>
      </w:r>
      <w:r w:rsidRPr="00816D69">
        <w:rPr>
          <w:bCs/>
          <w:lang w:val="nl-BE"/>
        </w:rPr>
        <w:t>financiering van de proliferatie</w:t>
      </w:r>
      <w:r>
        <w:rPr>
          <w:bCs/>
          <w:lang w:val="nl-BE"/>
        </w:rPr>
        <w:t xml:space="preserve"> </w:t>
      </w:r>
      <w:r w:rsidRPr="00816D69">
        <w:rPr>
          <w:bCs/>
          <w:lang w:val="nl-BE"/>
        </w:rPr>
        <w:t>van massavernietigingswapens</w:t>
      </w:r>
      <w:r w:rsidRPr="00285D90">
        <w:rPr>
          <w:lang w:val="nl-BE"/>
        </w:rPr>
        <w:t xml:space="preserve"> (</w:t>
      </w:r>
      <w:r>
        <w:rPr>
          <w:lang w:val="nl-BE"/>
        </w:rPr>
        <w:t>gecoördineerde versie</w:t>
      </w:r>
      <w:r w:rsidRPr="00285D90">
        <w:rPr>
          <w:lang w:val="nl-BE"/>
        </w:rPr>
        <w:t xml:space="preserve">). </w:t>
      </w:r>
    </w:p>
    <w:p w:rsidR="002A4DA8" w:rsidRPr="00285D90" w:rsidRDefault="002A4DA8" w:rsidP="00645BC0">
      <w:pPr>
        <w:spacing w:after="120"/>
        <w:jc w:val="both"/>
        <w:rPr>
          <w:lang w:val="nl-BE"/>
        </w:rPr>
      </w:pPr>
      <w:r>
        <w:rPr>
          <w:lang w:val="nl-BE"/>
        </w:rPr>
        <w:t>We benadrukken dat in de antwoorden rekening moet worden gehouden met alle activiteiten van de financiële instelling</w:t>
      </w:r>
      <w:r w:rsidRPr="00285D90">
        <w:rPr>
          <w:lang w:val="nl-BE"/>
        </w:rPr>
        <w:t xml:space="preserve">, </w:t>
      </w:r>
      <w:r>
        <w:rPr>
          <w:lang w:val="nl-BE"/>
        </w:rPr>
        <w:t>ook al vallen sommige van die activiteiten tegelijkertijd onder het toezicht van een andere autoriteit dan de NBB</w:t>
      </w:r>
      <w:r w:rsidRPr="00285D90">
        <w:rPr>
          <w:lang w:val="nl-BE"/>
        </w:rPr>
        <w:t xml:space="preserve">. </w:t>
      </w:r>
      <w:r>
        <w:rPr>
          <w:lang w:val="nl-BE"/>
        </w:rPr>
        <w:t>Zo moeten de kredietinstellingen in hun antwoorden rekening houden met hun activiteiten inzake bemiddeling in levensverzekeringen, en de levensverzekeringsondernemingen met hun activiteiten inzake hypothecaire leningen</w:t>
      </w:r>
      <w:r w:rsidRPr="00285D90">
        <w:rPr>
          <w:lang w:val="nl-BE"/>
        </w:rPr>
        <w:t>.</w:t>
      </w:r>
    </w:p>
    <w:p w:rsidR="002A4DA8" w:rsidRPr="00285D90" w:rsidRDefault="002A4DA8" w:rsidP="00645BC0">
      <w:pPr>
        <w:spacing w:line="240" w:lineRule="auto"/>
        <w:jc w:val="both"/>
        <w:rPr>
          <w:b/>
          <w:sz w:val="22"/>
          <w:u w:val="single"/>
          <w:lang w:val="nl-BE"/>
        </w:rPr>
      </w:pPr>
      <w:r w:rsidRPr="00285D90">
        <w:rPr>
          <w:b/>
          <w:sz w:val="22"/>
          <w:u w:val="single"/>
          <w:lang w:val="nl-BE"/>
        </w:rPr>
        <w:br w:type="page"/>
      </w:r>
    </w:p>
    <w:p w:rsidR="002A4DA8" w:rsidRPr="00285D90" w:rsidRDefault="002A4DA8" w:rsidP="00645BC0">
      <w:pPr>
        <w:pStyle w:val="ListParagraph"/>
        <w:numPr>
          <w:ilvl w:val="0"/>
          <w:numId w:val="35"/>
        </w:numPr>
        <w:spacing w:before="240" w:after="120"/>
        <w:ind w:left="567" w:hanging="567"/>
        <w:contextualSpacing w:val="0"/>
        <w:rPr>
          <w:b/>
          <w:sz w:val="22"/>
          <w:u w:val="single"/>
          <w:lang w:val="nl-BE"/>
        </w:rPr>
      </w:pPr>
      <w:r>
        <w:rPr>
          <w:b/>
          <w:sz w:val="22"/>
          <w:u w:val="single"/>
          <w:lang w:val="nl-BE"/>
        </w:rPr>
        <w:lastRenderedPageBreak/>
        <w:t>Aard van de antwoorden</w:t>
      </w:r>
    </w:p>
    <w:p w:rsidR="002A4DA8" w:rsidRPr="00285D90" w:rsidRDefault="002A4DA8" w:rsidP="00645BC0">
      <w:pPr>
        <w:pStyle w:val="ListParagraph"/>
        <w:numPr>
          <w:ilvl w:val="0"/>
          <w:numId w:val="38"/>
        </w:numPr>
        <w:spacing w:after="120"/>
        <w:ind w:left="567" w:hanging="283"/>
        <w:contextualSpacing w:val="0"/>
        <w:rPr>
          <w:u w:val="single"/>
          <w:lang w:val="nl-BE"/>
        </w:rPr>
      </w:pPr>
      <w:r>
        <w:rPr>
          <w:u w:val="single"/>
          <w:lang w:val="nl-BE"/>
        </w:rPr>
        <w:t>Zelfbeoordelingsvragen</w:t>
      </w:r>
    </w:p>
    <w:p w:rsidR="002A4DA8" w:rsidRPr="00285D90" w:rsidRDefault="002A4DA8" w:rsidP="00645BC0">
      <w:pPr>
        <w:spacing w:after="120"/>
        <w:ind w:left="567"/>
        <w:jc w:val="both"/>
        <w:rPr>
          <w:lang w:val="nl-BE"/>
        </w:rPr>
      </w:pPr>
      <w:r>
        <w:rPr>
          <w:lang w:val="nl-BE"/>
        </w:rPr>
        <w:t xml:space="preserve">De zelfbeoordelingsvragen inzake de conformiteit en de doeltreffendheid van de interne procedures kunnen beantwoord worden met </w:t>
      </w:r>
      <w:r w:rsidRPr="00285D90">
        <w:rPr>
          <w:lang w:val="nl-BE"/>
        </w:rPr>
        <w:t>"</w:t>
      </w:r>
      <w:r>
        <w:rPr>
          <w:lang w:val="nl-BE"/>
        </w:rPr>
        <w:t>volledig</w:t>
      </w:r>
      <w:r w:rsidRPr="00285D90">
        <w:rPr>
          <w:lang w:val="nl-BE"/>
        </w:rPr>
        <w:t>", "</w:t>
      </w:r>
      <w:r>
        <w:rPr>
          <w:lang w:val="nl-BE"/>
        </w:rPr>
        <w:t>grotendeels</w:t>
      </w:r>
      <w:r w:rsidRPr="00285D90">
        <w:rPr>
          <w:lang w:val="nl-BE"/>
        </w:rPr>
        <w:t>", "</w:t>
      </w:r>
      <w:r>
        <w:rPr>
          <w:lang w:val="nl-BE"/>
        </w:rPr>
        <w:t>gedeeltelijk</w:t>
      </w:r>
      <w:r w:rsidRPr="00285D90">
        <w:rPr>
          <w:lang w:val="nl-BE"/>
        </w:rPr>
        <w:t xml:space="preserve">" </w:t>
      </w:r>
      <w:r>
        <w:rPr>
          <w:lang w:val="nl-BE"/>
        </w:rPr>
        <w:t xml:space="preserve">en </w:t>
      </w:r>
      <w:r w:rsidRPr="00285D90">
        <w:rPr>
          <w:lang w:val="nl-BE"/>
        </w:rPr>
        <w:t>"</w:t>
      </w:r>
      <w:r>
        <w:rPr>
          <w:lang w:val="nl-BE"/>
        </w:rPr>
        <w:t>onvoldoende</w:t>
      </w:r>
      <w:r w:rsidRPr="00285D90">
        <w:rPr>
          <w:lang w:val="nl-BE"/>
        </w:rPr>
        <w:t xml:space="preserve">" conform </w:t>
      </w:r>
      <w:r>
        <w:rPr>
          <w:lang w:val="nl-BE"/>
        </w:rPr>
        <w:t>of doeltreffend</w:t>
      </w:r>
      <w:r w:rsidRPr="00285D90">
        <w:rPr>
          <w:lang w:val="nl-BE"/>
        </w:rPr>
        <w:t xml:space="preserve">. </w:t>
      </w:r>
      <w:r>
        <w:rPr>
          <w:lang w:val="nl-BE"/>
        </w:rPr>
        <w:t>Deze termen moeten als volgt worden opgevat</w:t>
      </w:r>
      <w:r w:rsidRPr="00285D90">
        <w:rPr>
          <w:lang w:val="nl-BE"/>
        </w:rPr>
        <w:t>:</w:t>
      </w:r>
    </w:p>
    <w:p w:rsidR="002A4DA8" w:rsidRPr="00285D90" w:rsidRDefault="002A4DA8" w:rsidP="00645BC0">
      <w:pPr>
        <w:spacing w:after="120"/>
        <w:ind w:left="567"/>
        <w:jc w:val="both"/>
        <w:rPr>
          <w:lang w:val="nl-BE"/>
        </w:rPr>
      </w:pPr>
      <w:r>
        <w:rPr>
          <w:u w:val="dotted"/>
          <w:lang w:val="nl-BE"/>
        </w:rPr>
        <w:t>Zelfbeoordeling van de conformiteit</w:t>
      </w:r>
      <w:r w:rsidRPr="00285D90">
        <w:rPr>
          <w:lang w:val="nl-BE"/>
        </w:rPr>
        <w:t>:</w:t>
      </w:r>
    </w:p>
    <w:tbl>
      <w:tblPr>
        <w:tblStyle w:val="TableGrid"/>
        <w:tblW w:w="0" w:type="auto"/>
        <w:tblInd w:w="709" w:type="dxa"/>
        <w:tblLook w:val="04A0" w:firstRow="1" w:lastRow="0" w:firstColumn="1" w:lastColumn="0" w:noHBand="0" w:noVBand="1"/>
      </w:tblPr>
      <w:tblGrid>
        <w:gridCol w:w="2660"/>
        <w:gridCol w:w="5636"/>
      </w:tblGrid>
      <w:tr w:rsidR="002A4DA8" w:rsidRPr="00285D90" w:rsidTr="00A26198">
        <w:tc>
          <w:tcPr>
            <w:tcW w:w="2660" w:type="dxa"/>
          </w:tcPr>
          <w:p w:rsidR="002A4DA8" w:rsidRPr="00285D90" w:rsidRDefault="002A4DA8" w:rsidP="00645BC0">
            <w:pPr>
              <w:spacing w:before="60" w:after="60"/>
              <w:jc w:val="both"/>
              <w:rPr>
                <w:lang w:val="nl-BE"/>
              </w:rPr>
            </w:pPr>
            <w:r w:rsidRPr="00285D90">
              <w:rPr>
                <w:lang w:val="nl-BE"/>
              </w:rPr>
              <w:t>"</w:t>
            </w:r>
            <w:r>
              <w:rPr>
                <w:lang w:val="nl-BE"/>
              </w:rPr>
              <w:t>Volledig</w:t>
            </w:r>
            <w:r w:rsidRPr="00285D90">
              <w:rPr>
                <w:lang w:val="nl-BE"/>
              </w:rPr>
              <w:t>" conform</w:t>
            </w:r>
          </w:p>
        </w:tc>
        <w:tc>
          <w:tcPr>
            <w:tcW w:w="5636" w:type="dxa"/>
          </w:tcPr>
          <w:p w:rsidR="002A4DA8" w:rsidRPr="00285D90" w:rsidRDefault="002A4DA8" w:rsidP="00645BC0">
            <w:pPr>
              <w:spacing w:before="60" w:after="60"/>
              <w:jc w:val="both"/>
              <w:rPr>
                <w:lang w:val="nl-BE"/>
              </w:rPr>
            </w:pPr>
            <w:r>
              <w:rPr>
                <w:lang w:val="nl-BE"/>
              </w:rPr>
              <w:t>De interne procedures vertonen volgens de financiële instelling geen enkele tekortkoming ten aanzien van de relevante wettelijke of reglementaire verplichtingen.</w:t>
            </w:r>
          </w:p>
        </w:tc>
      </w:tr>
      <w:tr w:rsidR="002A4DA8" w:rsidRPr="00285D90" w:rsidTr="00A26198">
        <w:tc>
          <w:tcPr>
            <w:tcW w:w="2660" w:type="dxa"/>
          </w:tcPr>
          <w:p w:rsidR="002A4DA8" w:rsidRPr="00285D90" w:rsidRDefault="002A4DA8" w:rsidP="00645BC0">
            <w:pPr>
              <w:spacing w:before="60" w:after="60"/>
              <w:jc w:val="both"/>
              <w:rPr>
                <w:lang w:val="nl-BE"/>
              </w:rPr>
            </w:pPr>
            <w:r w:rsidRPr="00285D90">
              <w:rPr>
                <w:lang w:val="nl-BE"/>
              </w:rPr>
              <w:t>"</w:t>
            </w:r>
            <w:r>
              <w:rPr>
                <w:lang w:val="nl-BE"/>
              </w:rPr>
              <w:t>Grotendeels</w:t>
            </w:r>
            <w:r w:rsidRPr="00285D90">
              <w:rPr>
                <w:lang w:val="nl-BE"/>
              </w:rPr>
              <w:t>" conform</w:t>
            </w:r>
          </w:p>
        </w:tc>
        <w:tc>
          <w:tcPr>
            <w:tcW w:w="5636" w:type="dxa"/>
          </w:tcPr>
          <w:p w:rsidR="002A4DA8" w:rsidRPr="00285D90" w:rsidRDefault="002A4DA8" w:rsidP="00645BC0">
            <w:pPr>
              <w:spacing w:before="60" w:after="60"/>
              <w:jc w:val="both"/>
              <w:rPr>
                <w:lang w:val="nl-BE"/>
              </w:rPr>
            </w:pPr>
            <w:r>
              <w:rPr>
                <w:lang w:val="nl-BE"/>
              </w:rPr>
              <w:t xml:space="preserve">De </w:t>
            </w:r>
            <w:r w:rsidRPr="00285D90">
              <w:rPr>
                <w:lang w:val="nl-BE"/>
              </w:rPr>
              <w:t>interne</w:t>
            </w:r>
            <w:r>
              <w:rPr>
                <w:lang w:val="nl-BE"/>
              </w:rPr>
              <w:t xml:space="preserve"> procedures vertonen volgens de financiële instelling geen ernstige tekortkomingen ten aanzien van de relevante wettelijke of reglementaire verplichtingen; de vastgestelde tekortkomingen kunnen zowel individueel als samen genomen als gering worden beschouwd</w:t>
            </w:r>
            <w:r w:rsidRPr="00285D90">
              <w:rPr>
                <w:lang w:val="nl-BE"/>
              </w:rPr>
              <w:t>.</w:t>
            </w:r>
          </w:p>
        </w:tc>
      </w:tr>
      <w:tr w:rsidR="002A4DA8" w:rsidRPr="00285D90" w:rsidTr="00A26198">
        <w:tc>
          <w:tcPr>
            <w:tcW w:w="2660" w:type="dxa"/>
          </w:tcPr>
          <w:p w:rsidR="002A4DA8" w:rsidRPr="00285D90" w:rsidRDefault="002A4DA8" w:rsidP="00645BC0">
            <w:pPr>
              <w:spacing w:before="60" w:after="60"/>
              <w:jc w:val="both"/>
              <w:rPr>
                <w:lang w:val="nl-BE"/>
              </w:rPr>
            </w:pPr>
            <w:r w:rsidRPr="00285D90">
              <w:rPr>
                <w:lang w:val="nl-BE"/>
              </w:rPr>
              <w:t>"</w:t>
            </w:r>
            <w:r>
              <w:rPr>
                <w:lang w:val="nl-BE"/>
              </w:rPr>
              <w:t>Gedeeltelijk" conform</w:t>
            </w:r>
          </w:p>
        </w:tc>
        <w:tc>
          <w:tcPr>
            <w:tcW w:w="5636" w:type="dxa"/>
            <w:tcBorders>
              <w:bottom w:val="single" w:sz="4" w:space="0" w:color="auto"/>
            </w:tcBorders>
          </w:tcPr>
          <w:p w:rsidR="002A4DA8" w:rsidRPr="00285D90" w:rsidRDefault="002A4DA8" w:rsidP="00645BC0">
            <w:pPr>
              <w:spacing w:before="60" w:after="60"/>
              <w:jc w:val="both"/>
              <w:rPr>
                <w:lang w:val="nl-BE"/>
              </w:rPr>
            </w:pPr>
            <w:r>
              <w:rPr>
                <w:lang w:val="nl-BE"/>
              </w:rPr>
              <w:t>De interne procedures vertonen volgens de financiële instelling belangrijke tekortkomingen ten aanzien van de relevante wettelijke en reglementaire verplichtingen</w:t>
            </w:r>
            <w:r w:rsidRPr="00285D90">
              <w:rPr>
                <w:lang w:val="nl-BE"/>
              </w:rPr>
              <w:t xml:space="preserve">, </w:t>
            </w:r>
            <w:r>
              <w:rPr>
                <w:lang w:val="nl-BE"/>
              </w:rPr>
              <w:t>die de risicogevoeligheid van de financiële instelling gevoelig kunnen doen toenemen</w:t>
            </w:r>
            <w:r w:rsidRPr="00285D90">
              <w:rPr>
                <w:lang w:val="nl-BE"/>
              </w:rPr>
              <w:t xml:space="preserve">; </w:t>
            </w:r>
            <w:r>
              <w:rPr>
                <w:lang w:val="nl-BE"/>
              </w:rPr>
              <w:t>dit oordeel kan gebaseerd zijn op de individuele draagwijdte van een of meer van de vastgestelde tekortkomingen of op de draagwijdte van alle tekortkomingen samen</w:t>
            </w:r>
            <w:r w:rsidRPr="00285D90">
              <w:rPr>
                <w:lang w:val="nl-BE"/>
              </w:rPr>
              <w:t>.</w:t>
            </w:r>
          </w:p>
        </w:tc>
      </w:tr>
      <w:tr w:rsidR="002A4DA8" w:rsidRPr="00285D90" w:rsidTr="00A26198">
        <w:tc>
          <w:tcPr>
            <w:tcW w:w="2660" w:type="dxa"/>
          </w:tcPr>
          <w:p w:rsidR="002A4DA8" w:rsidRPr="00285D90" w:rsidRDefault="002A4DA8" w:rsidP="00645BC0">
            <w:pPr>
              <w:spacing w:before="60" w:after="60"/>
              <w:jc w:val="both"/>
              <w:rPr>
                <w:lang w:val="nl-BE"/>
              </w:rPr>
            </w:pPr>
            <w:r w:rsidRPr="00285D90">
              <w:rPr>
                <w:lang w:val="nl-BE"/>
              </w:rPr>
              <w:t>"</w:t>
            </w:r>
            <w:r>
              <w:rPr>
                <w:lang w:val="nl-BE"/>
              </w:rPr>
              <w:t>Onvoldoende</w:t>
            </w:r>
            <w:r w:rsidRPr="00285D90">
              <w:rPr>
                <w:lang w:val="nl-BE"/>
              </w:rPr>
              <w:t>" conform</w:t>
            </w:r>
          </w:p>
        </w:tc>
        <w:tc>
          <w:tcPr>
            <w:tcW w:w="5636" w:type="dxa"/>
          </w:tcPr>
          <w:p w:rsidR="002A4DA8" w:rsidRPr="00285D90" w:rsidRDefault="002A4DA8" w:rsidP="00645BC0">
            <w:pPr>
              <w:spacing w:before="60" w:after="60"/>
              <w:jc w:val="both"/>
              <w:rPr>
                <w:lang w:val="nl-BE"/>
              </w:rPr>
            </w:pPr>
            <w:r>
              <w:rPr>
                <w:lang w:val="nl-BE"/>
              </w:rPr>
              <w:t>De interne procedures vertonen volgens de financiële instelling ernstige tekortkomingen ten aanzien van de relevante wettelijke en reglementaire verplichtingen</w:t>
            </w:r>
            <w:r w:rsidRPr="00285D90">
              <w:rPr>
                <w:lang w:val="nl-BE"/>
              </w:rPr>
              <w:t xml:space="preserve">, </w:t>
            </w:r>
            <w:r>
              <w:rPr>
                <w:lang w:val="nl-BE"/>
              </w:rPr>
              <w:t>die de gevoeligheid van de financiële instelling op onaanvaardbare wijze kunnen doen toenemen</w:t>
            </w:r>
            <w:r w:rsidRPr="00285D90">
              <w:rPr>
                <w:lang w:val="nl-BE"/>
              </w:rPr>
              <w:t xml:space="preserve">; </w:t>
            </w:r>
            <w:r>
              <w:rPr>
                <w:lang w:val="nl-BE"/>
              </w:rPr>
              <w:t>de ernst van de vastgestelde tekortkomingen kan gebaseerd zijn op de individuele draagwijdte van een of meer van die tekortkomingen of op de draagwijdte van alle tekortkomingen samen</w:t>
            </w:r>
            <w:r w:rsidRPr="00285D90">
              <w:rPr>
                <w:lang w:val="nl-BE"/>
              </w:rPr>
              <w:t>.</w:t>
            </w:r>
          </w:p>
        </w:tc>
      </w:tr>
    </w:tbl>
    <w:p w:rsidR="002A4DA8" w:rsidRPr="00285D90" w:rsidRDefault="002A4DA8" w:rsidP="00645BC0">
      <w:pPr>
        <w:spacing w:before="120" w:after="120"/>
        <w:ind w:left="709"/>
        <w:jc w:val="both"/>
        <w:rPr>
          <w:lang w:val="nl-BE"/>
        </w:rPr>
      </w:pPr>
      <w:r>
        <w:rPr>
          <w:u w:val="dotted"/>
          <w:lang w:val="nl-BE"/>
        </w:rPr>
        <w:t>Zelfbeoordeling van de doeltreffendheid:</w:t>
      </w:r>
    </w:p>
    <w:tbl>
      <w:tblPr>
        <w:tblStyle w:val="TableGrid"/>
        <w:tblW w:w="0" w:type="auto"/>
        <w:tblInd w:w="709" w:type="dxa"/>
        <w:tblLook w:val="04A0" w:firstRow="1" w:lastRow="0" w:firstColumn="1" w:lastColumn="0" w:noHBand="0" w:noVBand="1"/>
      </w:tblPr>
      <w:tblGrid>
        <w:gridCol w:w="2660"/>
        <w:gridCol w:w="5636"/>
      </w:tblGrid>
      <w:tr w:rsidR="002A4DA8" w:rsidRPr="00285D90" w:rsidTr="00A26198">
        <w:tc>
          <w:tcPr>
            <w:tcW w:w="2660" w:type="dxa"/>
          </w:tcPr>
          <w:p w:rsidR="002A4DA8" w:rsidRPr="00285D90" w:rsidRDefault="002A4DA8" w:rsidP="00645BC0">
            <w:pPr>
              <w:spacing w:before="60" w:after="60"/>
              <w:jc w:val="both"/>
              <w:rPr>
                <w:lang w:val="nl-BE"/>
              </w:rPr>
            </w:pPr>
            <w:r w:rsidRPr="00285D90">
              <w:rPr>
                <w:lang w:val="nl-BE"/>
              </w:rPr>
              <w:t>"</w:t>
            </w:r>
            <w:r>
              <w:rPr>
                <w:lang w:val="nl-BE"/>
              </w:rPr>
              <w:t>Volledig</w:t>
            </w:r>
            <w:r w:rsidRPr="00285D90">
              <w:rPr>
                <w:lang w:val="nl-BE"/>
              </w:rPr>
              <w:t xml:space="preserve">" </w:t>
            </w:r>
            <w:r>
              <w:rPr>
                <w:lang w:val="nl-BE"/>
              </w:rPr>
              <w:t>doeltreffend</w:t>
            </w:r>
          </w:p>
        </w:tc>
        <w:tc>
          <w:tcPr>
            <w:tcW w:w="5636" w:type="dxa"/>
          </w:tcPr>
          <w:p w:rsidR="002A4DA8" w:rsidRPr="00285D90" w:rsidRDefault="002A4DA8" w:rsidP="00645BC0">
            <w:pPr>
              <w:spacing w:before="60" w:after="60"/>
              <w:jc w:val="both"/>
              <w:rPr>
                <w:lang w:val="nl-BE"/>
              </w:rPr>
            </w:pPr>
            <w:r>
              <w:rPr>
                <w:lang w:val="nl-BE"/>
              </w:rPr>
              <w:t>De interne procedures worden volgens de financiële instelling effectief op passende wijze ten uitvoer gelegd in alle activiteitssectoren</w:t>
            </w:r>
            <w:r w:rsidRPr="00285D90">
              <w:rPr>
                <w:lang w:val="nl-BE"/>
              </w:rPr>
              <w:t>.</w:t>
            </w:r>
          </w:p>
        </w:tc>
      </w:tr>
      <w:tr w:rsidR="002A4DA8" w:rsidRPr="00285D90" w:rsidTr="00A26198">
        <w:tc>
          <w:tcPr>
            <w:tcW w:w="2660" w:type="dxa"/>
          </w:tcPr>
          <w:p w:rsidR="002A4DA8" w:rsidRPr="00285D90" w:rsidRDefault="002A4DA8" w:rsidP="00645BC0">
            <w:pPr>
              <w:spacing w:before="60" w:after="60"/>
              <w:jc w:val="both"/>
              <w:rPr>
                <w:lang w:val="nl-BE"/>
              </w:rPr>
            </w:pPr>
            <w:r w:rsidRPr="00285D90">
              <w:rPr>
                <w:lang w:val="nl-BE"/>
              </w:rPr>
              <w:t>"</w:t>
            </w:r>
            <w:r>
              <w:rPr>
                <w:lang w:val="nl-BE"/>
              </w:rPr>
              <w:t>Grotendeels</w:t>
            </w:r>
            <w:r w:rsidRPr="00285D90">
              <w:rPr>
                <w:lang w:val="nl-BE"/>
              </w:rPr>
              <w:t xml:space="preserve">" </w:t>
            </w:r>
            <w:r>
              <w:rPr>
                <w:lang w:val="nl-BE"/>
              </w:rPr>
              <w:t>doeltreffend</w:t>
            </w:r>
          </w:p>
        </w:tc>
        <w:tc>
          <w:tcPr>
            <w:tcW w:w="5636" w:type="dxa"/>
          </w:tcPr>
          <w:p w:rsidR="002A4DA8" w:rsidRPr="00285D90" w:rsidRDefault="002A4DA8" w:rsidP="00645BC0">
            <w:pPr>
              <w:spacing w:before="60" w:after="60"/>
              <w:jc w:val="both"/>
              <w:rPr>
                <w:lang w:val="nl-BE"/>
              </w:rPr>
            </w:pPr>
            <w:r>
              <w:rPr>
                <w:lang w:val="nl-BE"/>
              </w:rPr>
              <w:t>De tenuitvoerlegging van de interne procedures vertoont volgens de financiële instelling geen belangrijke tekortkomingen</w:t>
            </w:r>
            <w:r w:rsidRPr="00285D90">
              <w:rPr>
                <w:lang w:val="nl-BE"/>
              </w:rPr>
              <w:t xml:space="preserve">; </w:t>
            </w:r>
            <w:r>
              <w:rPr>
                <w:lang w:val="nl-BE"/>
              </w:rPr>
              <w:t>de vastgestelde tekortkomingen in de tenuitvoerlegging ervan kunnen zowel individueel als samen genomen als gering worden beschouwd</w:t>
            </w:r>
            <w:r w:rsidRPr="00285D90">
              <w:rPr>
                <w:lang w:val="nl-BE"/>
              </w:rPr>
              <w:t>.</w:t>
            </w:r>
          </w:p>
        </w:tc>
      </w:tr>
      <w:tr w:rsidR="002A4DA8" w:rsidRPr="00285D90" w:rsidTr="00A26198">
        <w:tc>
          <w:tcPr>
            <w:tcW w:w="2660" w:type="dxa"/>
          </w:tcPr>
          <w:p w:rsidR="002A4DA8" w:rsidRPr="00285D90" w:rsidRDefault="002A4DA8" w:rsidP="00645BC0">
            <w:pPr>
              <w:spacing w:before="60" w:after="60"/>
              <w:jc w:val="both"/>
              <w:rPr>
                <w:lang w:val="nl-BE"/>
              </w:rPr>
            </w:pPr>
            <w:r w:rsidRPr="00285D90">
              <w:rPr>
                <w:lang w:val="nl-BE"/>
              </w:rPr>
              <w:t>"</w:t>
            </w:r>
            <w:r>
              <w:rPr>
                <w:lang w:val="nl-BE"/>
              </w:rPr>
              <w:t>Gedeeltelijk</w:t>
            </w:r>
            <w:r w:rsidRPr="00285D90">
              <w:rPr>
                <w:lang w:val="nl-BE"/>
              </w:rPr>
              <w:t xml:space="preserve">" </w:t>
            </w:r>
            <w:r>
              <w:rPr>
                <w:lang w:val="nl-BE"/>
              </w:rPr>
              <w:t>doeltreffend</w:t>
            </w:r>
          </w:p>
        </w:tc>
        <w:tc>
          <w:tcPr>
            <w:tcW w:w="5636" w:type="dxa"/>
            <w:tcBorders>
              <w:bottom w:val="single" w:sz="4" w:space="0" w:color="auto"/>
            </w:tcBorders>
          </w:tcPr>
          <w:p w:rsidR="002A4DA8" w:rsidRPr="00285D90" w:rsidRDefault="002A4DA8" w:rsidP="00645BC0">
            <w:pPr>
              <w:spacing w:before="60" w:after="60"/>
              <w:jc w:val="both"/>
              <w:rPr>
                <w:lang w:val="nl-BE"/>
              </w:rPr>
            </w:pPr>
            <w:r>
              <w:rPr>
                <w:lang w:val="nl-BE"/>
              </w:rPr>
              <w:t>De tenuitvoerlegging van de interne procedures vertoont volgens de financiële instelling belangrijke tekortkomingen die de risicogevoeligheid van de financiële instelling aanzienlijk kunnen doen toenemen</w:t>
            </w:r>
            <w:r w:rsidRPr="00285D90">
              <w:rPr>
                <w:lang w:val="nl-BE"/>
              </w:rPr>
              <w:t xml:space="preserve">; </w:t>
            </w:r>
            <w:r>
              <w:rPr>
                <w:lang w:val="nl-BE"/>
              </w:rPr>
              <w:t>dit oordeel kan gebaseerd zijn op de individuele draagwijdte van een of meer van de vastgestelde tekortkomingen of op de draagwijdte van alle tekortkomingen samen</w:t>
            </w:r>
            <w:r w:rsidRPr="00285D90">
              <w:rPr>
                <w:lang w:val="nl-BE"/>
              </w:rPr>
              <w:t>.</w:t>
            </w:r>
          </w:p>
        </w:tc>
      </w:tr>
    </w:tbl>
    <w:p w:rsidR="002A4DA8" w:rsidRDefault="002A4DA8" w:rsidP="00645BC0">
      <w:pPr>
        <w:jc w:val="both"/>
      </w:pPr>
      <w:r>
        <w:br w:type="page"/>
      </w:r>
    </w:p>
    <w:tbl>
      <w:tblPr>
        <w:tblStyle w:val="TableGrid"/>
        <w:tblW w:w="0" w:type="auto"/>
        <w:tblInd w:w="709" w:type="dxa"/>
        <w:tblLook w:val="04A0" w:firstRow="1" w:lastRow="0" w:firstColumn="1" w:lastColumn="0" w:noHBand="0" w:noVBand="1"/>
      </w:tblPr>
      <w:tblGrid>
        <w:gridCol w:w="2660"/>
        <w:gridCol w:w="5636"/>
      </w:tblGrid>
      <w:tr w:rsidR="002A4DA8" w:rsidRPr="00285D90" w:rsidTr="00A26198">
        <w:tc>
          <w:tcPr>
            <w:tcW w:w="2660" w:type="dxa"/>
          </w:tcPr>
          <w:p w:rsidR="002A4DA8" w:rsidRPr="00285D90" w:rsidRDefault="002A4DA8" w:rsidP="00645BC0">
            <w:pPr>
              <w:spacing w:before="60" w:after="60"/>
              <w:jc w:val="both"/>
              <w:rPr>
                <w:lang w:val="nl-BE"/>
              </w:rPr>
            </w:pPr>
            <w:r w:rsidRPr="00285D90">
              <w:rPr>
                <w:lang w:val="nl-BE"/>
              </w:rPr>
              <w:lastRenderedPageBreak/>
              <w:br w:type="page"/>
              <w:t>"</w:t>
            </w:r>
            <w:r>
              <w:rPr>
                <w:lang w:val="nl-BE"/>
              </w:rPr>
              <w:t>Onvoldoende</w:t>
            </w:r>
            <w:r w:rsidRPr="00285D90">
              <w:rPr>
                <w:lang w:val="nl-BE"/>
              </w:rPr>
              <w:t xml:space="preserve">" </w:t>
            </w:r>
            <w:r>
              <w:rPr>
                <w:lang w:val="nl-BE"/>
              </w:rPr>
              <w:t>doeltreffend</w:t>
            </w:r>
          </w:p>
        </w:tc>
        <w:tc>
          <w:tcPr>
            <w:tcW w:w="5636" w:type="dxa"/>
          </w:tcPr>
          <w:p w:rsidR="002A4DA8" w:rsidRPr="00285D90" w:rsidRDefault="002A4DA8" w:rsidP="00645BC0">
            <w:pPr>
              <w:spacing w:before="60" w:after="60"/>
              <w:jc w:val="both"/>
              <w:rPr>
                <w:lang w:val="nl-BE"/>
              </w:rPr>
            </w:pPr>
            <w:r>
              <w:rPr>
                <w:lang w:val="nl-BE"/>
              </w:rPr>
              <w:t>De tenuitvoerlegging van de interne procedures vertoont volgens de financiële instelling ernstige tekortkomingen die de gevoeligheid van de financiële instelling op onaanvaardbare wijze kunnen doen toenemen; de ernst van de vastgestelde tekortkomingen kan gebaseerd zijn op de individuele draagwijdte van een of meer van die tekortkomingen of op de draagwijdte van alle tekortkomingen samen</w:t>
            </w:r>
            <w:r w:rsidRPr="00285D90">
              <w:rPr>
                <w:lang w:val="nl-BE"/>
              </w:rPr>
              <w:t>.</w:t>
            </w:r>
          </w:p>
        </w:tc>
      </w:tr>
    </w:tbl>
    <w:p w:rsidR="002A4DA8" w:rsidRPr="00285D90" w:rsidRDefault="002A4DA8" w:rsidP="00645BC0">
      <w:pPr>
        <w:spacing w:line="240" w:lineRule="auto"/>
        <w:jc w:val="both"/>
        <w:rPr>
          <w:u w:val="single"/>
          <w:lang w:val="nl-BE"/>
        </w:rPr>
      </w:pPr>
    </w:p>
    <w:p w:rsidR="002A4DA8" w:rsidRPr="00285D90" w:rsidRDefault="002A4DA8" w:rsidP="00645BC0">
      <w:pPr>
        <w:pStyle w:val="ListParagraph"/>
        <w:numPr>
          <w:ilvl w:val="0"/>
          <w:numId w:val="38"/>
        </w:numPr>
        <w:spacing w:after="120"/>
        <w:ind w:left="720"/>
        <w:contextualSpacing w:val="0"/>
        <w:rPr>
          <w:u w:val="single"/>
          <w:lang w:val="nl-BE"/>
        </w:rPr>
      </w:pPr>
      <w:r>
        <w:rPr>
          <w:u w:val="single"/>
          <w:lang w:val="nl-BE"/>
        </w:rPr>
        <w:t>Conformiteitsvragen</w:t>
      </w:r>
      <w:r w:rsidRPr="00285D90">
        <w:rPr>
          <w:lang w:val="nl-BE"/>
        </w:rPr>
        <w:t xml:space="preserve">: </w:t>
      </w:r>
      <w:r>
        <w:rPr>
          <w:lang w:val="nl-BE"/>
        </w:rPr>
        <w:t>aan de hand van de conformiteitsvragen wordt voornamelijk nagegaan of in de interne procedures rekening wordt gehouden met de verschillende elementen van de wettelijke en reglementaire verplichtingen</w:t>
      </w:r>
      <w:r w:rsidRPr="00285D90">
        <w:rPr>
          <w:lang w:val="nl-BE"/>
        </w:rPr>
        <w:t xml:space="preserve">. </w:t>
      </w:r>
      <w:r>
        <w:rPr>
          <w:lang w:val="nl-BE"/>
        </w:rPr>
        <w:t>Deze vragen kunnen over het algemeen met</w:t>
      </w:r>
      <w:r w:rsidRPr="00285D90">
        <w:rPr>
          <w:lang w:val="nl-BE"/>
        </w:rPr>
        <w:t xml:space="preserve"> "</w:t>
      </w:r>
      <w:r>
        <w:rPr>
          <w:lang w:val="nl-BE"/>
        </w:rPr>
        <w:t>ja</w:t>
      </w:r>
      <w:r w:rsidRPr="00285D90">
        <w:rPr>
          <w:lang w:val="nl-BE"/>
        </w:rPr>
        <w:t xml:space="preserve">" </w:t>
      </w:r>
      <w:r>
        <w:rPr>
          <w:lang w:val="nl-BE"/>
        </w:rPr>
        <w:t xml:space="preserve">of </w:t>
      </w:r>
      <w:r w:rsidRPr="00285D90">
        <w:rPr>
          <w:lang w:val="nl-BE"/>
        </w:rPr>
        <w:t>"</w:t>
      </w:r>
      <w:r>
        <w:rPr>
          <w:lang w:val="nl-BE"/>
        </w:rPr>
        <w:t>nee</w:t>
      </w:r>
      <w:r w:rsidRPr="00285D90">
        <w:rPr>
          <w:lang w:val="nl-BE"/>
        </w:rPr>
        <w:t>"</w:t>
      </w:r>
      <w:r>
        <w:rPr>
          <w:lang w:val="nl-BE"/>
        </w:rPr>
        <w:t xml:space="preserve"> worden beantwoord</w:t>
      </w:r>
      <w:r w:rsidRPr="00285D90">
        <w:rPr>
          <w:lang w:val="nl-BE"/>
        </w:rPr>
        <w:t xml:space="preserve">. </w:t>
      </w:r>
    </w:p>
    <w:p w:rsidR="002A4DA8" w:rsidRPr="00285D90" w:rsidRDefault="002A4DA8" w:rsidP="00645BC0">
      <w:pPr>
        <w:spacing w:after="120"/>
        <w:ind w:left="720"/>
        <w:jc w:val="both"/>
        <w:rPr>
          <w:lang w:val="nl-BE"/>
        </w:rPr>
      </w:pPr>
      <w:r>
        <w:rPr>
          <w:lang w:val="nl-BE"/>
        </w:rPr>
        <w:t>Indien er op het vlak van WW/FT verschillende interne procedures bestaan voor de verschillende activiteiten van eenzelfde financiële instelling of voor eenzelfde activiteit die via verschillende distributiekanalen wordt uitgeoefend</w:t>
      </w:r>
      <w:r w:rsidRPr="00285D90">
        <w:rPr>
          <w:lang w:val="nl-BE"/>
        </w:rPr>
        <w:t xml:space="preserve">, </w:t>
      </w:r>
      <w:r>
        <w:rPr>
          <w:lang w:val="nl-BE"/>
        </w:rPr>
        <w:t xml:space="preserve">kan het antwoord op eenzelfde conformiteitsvraag </w:t>
      </w:r>
      <w:r w:rsidRPr="00285D90">
        <w:rPr>
          <w:lang w:val="nl-BE"/>
        </w:rPr>
        <w:t>"</w:t>
      </w:r>
      <w:r>
        <w:rPr>
          <w:lang w:val="nl-BE"/>
        </w:rPr>
        <w:t>ja</w:t>
      </w:r>
      <w:r w:rsidRPr="00285D90">
        <w:rPr>
          <w:lang w:val="nl-BE"/>
        </w:rPr>
        <w:t xml:space="preserve">" </w:t>
      </w:r>
      <w:r>
        <w:rPr>
          <w:lang w:val="nl-BE"/>
        </w:rPr>
        <w:t>zijn voor bepaalde activiteiten of distributiekanalen en "nee" voor andere</w:t>
      </w:r>
      <w:r w:rsidRPr="00285D90">
        <w:rPr>
          <w:lang w:val="nl-BE"/>
        </w:rPr>
        <w:t xml:space="preserve">. </w:t>
      </w:r>
      <w:r>
        <w:rPr>
          <w:lang w:val="nl-BE"/>
        </w:rPr>
        <w:t>Indien een vraag uit verschillende onderdelen bestaat</w:t>
      </w:r>
      <w:r w:rsidRPr="00285D90">
        <w:rPr>
          <w:lang w:val="nl-BE"/>
        </w:rPr>
        <w:t xml:space="preserve"> [</w:t>
      </w:r>
      <w:r w:rsidRPr="00285D90">
        <w:rPr>
          <w:rStyle w:val="FootnoteReference"/>
          <w:lang w:val="nl-BE"/>
        </w:rPr>
        <w:footnoteReference w:id="7"/>
      </w:r>
      <w:r w:rsidRPr="00285D90">
        <w:rPr>
          <w:lang w:val="nl-BE"/>
        </w:rPr>
        <w:t xml:space="preserve">], </w:t>
      </w:r>
      <w:r>
        <w:rPr>
          <w:lang w:val="nl-BE"/>
        </w:rPr>
        <w:t>kan het globaal antwoord op deze vraag het resultaat zijn van de samenvoeging van bevestigende antwoorden voor sommige van die onderdelen en ontkennende antwoorden voor de andere onderdelen</w:t>
      </w:r>
      <w:r w:rsidRPr="00285D90">
        <w:rPr>
          <w:lang w:val="nl-BE"/>
        </w:rPr>
        <w:t xml:space="preserve">. </w:t>
      </w:r>
    </w:p>
    <w:p w:rsidR="002A4DA8" w:rsidRPr="00285D90" w:rsidRDefault="002A4DA8" w:rsidP="00645BC0">
      <w:pPr>
        <w:spacing w:after="120"/>
        <w:ind w:left="720"/>
        <w:jc w:val="both"/>
        <w:rPr>
          <w:color w:val="0070C0"/>
          <w:lang w:val="nl-BE"/>
        </w:rPr>
      </w:pPr>
      <w:r>
        <w:rPr>
          <w:lang w:val="nl-BE"/>
        </w:rPr>
        <w:t xml:space="preserve">In die gevallen dient de financiële instelling zelf te bepalen welk antwoord </w:t>
      </w:r>
      <w:r w:rsidRPr="00285D90">
        <w:rPr>
          <w:lang w:val="nl-BE"/>
        </w:rPr>
        <w:t>("</w:t>
      </w:r>
      <w:r>
        <w:rPr>
          <w:lang w:val="nl-BE"/>
        </w:rPr>
        <w:t>ja</w:t>
      </w:r>
      <w:r w:rsidRPr="00285D90">
        <w:rPr>
          <w:lang w:val="nl-BE"/>
        </w:rPr>
        <w:t xml:space="preserve">" </w:t>
      </w:r>
      <w:r>
        <w:rPr>
          <w:lang w:val="nl-BE"/>
        </w:rPr>
        <w:t>of</w:t>
      </w:r>
      <w:r w:rsidRPr="00285D90">
        <w:rPr>
          <w:lang w:val="nl-BE"/>
        </w:rPr>
        <w:t xml:space="preserve"> "</w:t>
      </w:r>
      <w:r>
        <w:rPr>
          <w:lang w:val="nl-BE"/>
        </w:rPr>
        <w:t>nee</w:t>
      </w:r>
      <w:r w:rsidRPr="00285D90">
        <w:rPr>
          <w:lang w:val="nl-BE"/>
        </w:rPr>
        <w:t xml:space="preserve">") </w:t>
      </w:r>
      <w:r>
        <w:rPr>
          <w:lang w:val="nl-BE"/>
        </w:rPr>
        <w:t>het best haar algemene situatie weergeeft</w:t>
      </w:r>
      <w:r w:rsidRPr="00285D90">
        <w:rPr>
          <w:lang w:val="nl-BE"/>
        </w:rPr>
        <w:t xml:space="preserve">, </w:t>
      </w:r>
      <w:r>
        <w:rPr>
          <w:lang w:val="nl-BE"/>
        </w:rPr>
        <w:t>rekening houdend met criteria zoals de omvang of het relatieve belang van de verschillende activiteiten of van de betrokken distributiekanalen</w:t>
      </w:r>
      <w:r w:rsidRPr="00285D90">
        <w:rPr>
          <w:lang w:val="nl-BE"/>
        </w:rPr>
        <w:t xml:space="preserve"> </w:t>
      </w:r>
      <w:r>
        <w:rPr>
          <w:lang w:val="nl-BE"/>
        </w:rPr>
        <w:t>of van de verschillende onderdelen van de vraag</w:t>
      </w:r>
      <w:r w:rsidRPr="00285D90">
        <w:rPr>
          <w:lang w:val="nl-BE"/>
        </w:rPr>
        <w:t xml:space="preserve">. </w:t>
      </w:r>
      <w:r>
        <w:rPr>
          <w:lang w:val="nl-BE"/>
        </w:rPr>
        <w:t>Een vraag mag maar met "ja" worden beantwoord als dit antwoord overeenstemt met de werkelijkheid die zich in de overgrote meerderheid van de gevallen voordoet</w:t>
      </w:r>
      <w:r w:rsidRPr="00285D90">
        <w:rPr>
          <w:lang w:val="nl-BE"/>
        </w:rPr>
        <w:t xml:space="preserve">, </w:t>
      </w:r>
      <w:r>
        <w:rPr>
          <w:lang w:val="nl-BE"/>
        </w:rPr>
        <w:t xml:space="preserve">en indien het tegendeel zich slechts in hoogst uitzonderlijke gevallen voordoet, zodat de financiële instelling ervan uitgaat dat ze in minstens </w:t>
      </w:r>
      <w:r w:rsidRPr="00285D90">
        <w:rPr>
          <w:lang w:val="nl-BE"/>
        </w:rPr>
        <w:t xml:space="preserve">90 % </w:t>
      </w:r>
      <w:r>
        <w:rPr>
          <w:lang w:val="nl-BE"/>
        </w:rPr>
        <w:t>van de gevallen voldoet of dat ze aan minstens 90% van de betrokken vereisten voldoet</w:t>
      </w:r>
      <w:r w:rsidRPr="00285D90">
        <w:rPr>
          <w:lang w:val="nl-BE"/>
        </w:rPr>
        <w:t xml:space="preserve">. </w:t>
      </w:r>
      <w:r>
        <w:rPr>
          <w:lang w:val="nl-BE"/>
        </w:rPr>
        <w:t>In alle andere gevallen moet het antwoord "nee" zijn</w:t>
      </w:r>
      <w:r w:rsidRPr="00285D90">
        <w:rPr>
          <w:lang w:val="nl-BE"/>
        </w:rPr>
        <w:t xml:space="preserve">. </w:t>
      </w:r>
      <w:r>
        <w:rPr>
          <w:lang w:val="nl-BE"/>
        </w:rPr>
        <w:t>Het antwoord</w:t>
      </w:r>
      <w:r w:rsidRPr="00285D90">
        <w:rPr>
          <w:lang w:val="nl-BE"/>
        </w:rPr>
        <w:t xml:space="preserve"> "</w:t>
      </w:r>
      <w:r>
        <w:rPr>
          <w:lang w:val="nl-BE"/>
        </w:rPr>
        <w:t>niet van toepassing</w:t>
      </w:r>
      <w:r w:rsidRPr="00285D90">
        <w:rPr>
          <w:lang w:val="nl-BE"/>
        </w:rPr>
        <w:t xml:space="preserve"> (N</w:t>
      </w:r>
      <w:r>
        <w:rPr>
          <w:lang w:val="nl-BE"/>
        </w:rPr>
        <w:t>VT</w:t>
      </w:r>
      <w:r w:rsidRPr="00285D90">
        <w:rPr>
          <w:lang w:val="nl-BE"/>
        </w:rPr>
        <w:t>)"</w:t>
      </w:r>
      <w:r>
        <w:rPr>
          <w:lang w:val="nl-BE"/>
        </w:rPr>
        <w:t xml:space="preserve"> is in dergelijke gevallen niet gepast</w:t>
      </w:r>
      <w:r w:rsidRPr="00285D90">
        <w:rPr>
          <w:lang w:val="nl-BE"/>
        </w:rPr>
        <w:t xml:space="preserve">. </w:t>
      </w:r>
      <w:r>
        <w:rPr>
          <w:lang w:val="nl-BE"/>
        </w:rPr>
        <w:t xml:space="preserve">Opdat de Bank zou kunnen begrijpen wat de precieze reikwijdte is van het antwoord </w:t>
      </w:r>
      <w:r w:rsidRPr="00285D90">
        <w:rPr>
          <w:lang w:val="nl-BE"/>
        </w:rPr>
        <w:t>("</w:t>
      </w:r>
      <w:r>
        <w:rPr>
          <w:lang w:val="nl-BE"/>
        </w:rPr>
        <w:t>ja</w:t>
      </w:r>
      <w:r w:rsidRPr="00285D90">
        <w:rPr>
          <w:lang w:val="nl-BE"/>
        </w:rPr>
        <w:t xml:space="preserve">" </w:t>
      </w:r>
      <w:r>
        <w:rPr>
          <w:lang w:val="nl-BE"/>
        </w:rPr>
        <w:t xml:space="preserve">of </w:t>
      </w:r>
      <w:r w:rsidRPr="00285D90">
        <w:rPr>
          <w:lang w:val="nl-BE"/>
        </w:rPr>
        <w:t>"</w:t>
      </w:r>
      <w:r>
        <w:rPr>
          <w:lang w:val="nl-BE"/>
        </w:rPr>
        <w:t>nee</w:t>
      </w:r>
      <w:r w:rsidRPr="00285D90">
        <w:rPr>
          <w:lang w:val="nl-BE"/>
        </w:rPr>
        <w:t xml:space="preserve">"), </w:t>
      </w:r>
      <w:r>
        <w:rPr>
          <w:lang w:val="nl-BE"/>
        </w:rPr>
        <w:t>wordt de financiële instelling verzocht haar antwoord beknopt te motiveren in het bijbehorende commentaarvak, door een beknopte uitleg te geven bij haar beoordeling</w:t>
      </w:r>
      <w:r w:rsidRPr="00285D90">
        <w:rPr>
          <w:lang w:val="nl-BE"/>
        </w:rPr>
        <w:t xml:space="preserve"> (</w:t>
      </w:r>
      <w:r>
        <w:rPr>
          <w:lang w:val="nl-BE"/>
        </w:rPr>
        <w:t>zie</w:t>
      </w:r>
      <w:r w:rsidRPr="00285D90">
        <w:rPr>
          <w:lang w:val="nl-BE"/>
        </w:rPr>
        <w:t xml:space="preserve"> </w:t>
      </w:r>
      <w:r>
        <w:rPr>
          <w:lang w:val="nl-BE"/>
        </w:rPr>
        <w:t>verder</w:t>
      </w:r>
      <w:r w:rsidRPr="00285D90">
        <w:rPr>
          <w:lang w:val="nl-BE"/>
        </w:rPr>
        <w:t>).</w:t>
      </w:r>
      <w:r w:rsidRPr="00285D90">
        <w:rPr>
          <w:color w:val="0070C0"/>
          <w:lang w:val="nl-BE"/>
        </w:rPr>
        <w:t xml:space="preserve"> </w:t>
      </w:r>
    </w:p>
    <w:p w:rsidR="002A4DA8" w:rsidRPr="00285D90" w:rsidRDefault="002A4DA8" w:rsidP="00645BC0">
      <w:pPr>
        <w:spacing w:after="120"/>
        <w:ind w:left="720"/>
        <w:jc w:val="both"/>
        <w:rPr>
          <w:lang w:val="nl-BE"/>
        </w:rPr>
      </w:pPr>
      <w:r>
        <w:rPr>
          <w:lang w:val="nl-BE"/>
        </w:rPr>
        <w:t xml:space="preserve">Het antwoord </w:t>
      </w:r>
      <w:r w:rsidRPr="00285D90">
        <w:rPr>
          <w:lang w:val="nl-BE"/>
        </w:rPr>
        <w:t>"</w:t>
      </w:r>
      <w:r>
        <w:rPr>
          <w:lang w:val="nl-BE"/>
        </w:rPr>
        <w:t>niet van toepassing</w:t>
      </w:r>
      <w:r w:rsidRPr="00285D90">
        <w:rPr>
          <w:lang w:val="nl-BE"/>
        </w:rPr>
        <w:t>" (N</w:t>
      </w:r>
      <w:r>
        <w:rPr>
          <w:lang w:val="nl-BE"/>
        </w:rPr>
        <w:t>VT</w:t>
      </w:r>
      <w:r w:rsidRPr="00285D90">
        <w:rPr>
          <w:lang w:val="nl-BE"/>
        </w:rPr>
        <w:t xml:space="preserve">) </w:t>
      </w:r>
      <w:r>
        <w:rPr>
          <w:lang w:val="nl-BE"/>
        </w:rPr>
        <w:t>wordt systematisch als derde mogelijke antwoord vermeld voor alle vragen die over het algemeen met</w:t>
      </w:r>
      <w:r w:rsidRPr="00285D90">
        <w:rPr>
          <w:lang w:val="nl-BE"/>
        </w:rPr>
        <w:t xml:space="preserve"> "</w:t>
      </w:r>
      <w:r>
        <w:rPr>
          <w:lang w:val="nl-BE"/>
        </w:rPr>
        <w:t>ja</w:t>
      </w:r>
      <w:r w:rsidRPr="00285D90">
        <w:rPr>
          <w:lang w:val="nl-BE"/>
        </w:rPr>
        <w:t xml:space="preserve">" </w:t>
      </w:r>
      <w:r>
        <w:rPr>
          <w:lang w:val="nl-BE"/>
        </w:rPr>
        <w:t>of "nee" kunnen worden beantwoord</w:t>
      </w:r>
      <w:r w:rsidRPr="00285D90">
        <w:rPr>
          <w:lang w:val="nl-BE"/>
        </w:rPr>
        <w:t xml:space="preserve">. </w:t>
      </w:r>
      <w:r>
        <w:rPr>
          <w:lang w:val="nl-BE"/>
        </w:rPr>
        <w:t xml:space="preserve">Dit antwoord </w:t>
      </w:r>
      <w:r w:rsidRPr="00285D90">
        <w:rPr>
          <w:lang w:val="nl-BE"/>
        </w:rPr>
        <w:t>"</w:t>
      </w:r>
      <w:r>
        <w:rPr>
          <w:lang w:val="nl-BE"/>
        </w:rPr>
        <w:t>NVT</w:t>
      </w:r>
      <w:r w:rsidRPr="00285D90">
        <w:rPr>
          <w:lang w:val="nl-BE"/>
        </w:rPr>
        <w:t xml:space="preserve">" </w:t>
      </w:r>
      <w:r>
        <w:rPr>
          <w:lang w:val="nl-BE"/>
        </w:rPr>
        <w:t>mag enkel worden gegeven indien de onderliggende regel van de vraag niet van toepassing is op de betrokken financiële instelling</w:t>
      </w:r>
      <w:r w:rsidRPr="00285D90">
        <w:rPr>
          <w:lang w:val="nl-BE"/>
        </w:rPr>
        <w:t xml:space="preserve">, </w:t>
      </w:r>
      <w:r>
        <w:rPr>
          <w:lang w:val="nl-BE"/>
        </w:rPr>
        <w:t>met name rekening houdend met de specifieke kenmerken van de activiteiten die zij uitoefent of met de wijze waarop zij die uitoefent</w:t>
      </w:r>
      <w:r w:rsidRPr="00285D90">
        <w:rPr>
          <w:lang w:val="nl-BE"/>
        </w:rPr>
        <w:t xml:space="preserve">. </w:t>
      </w:r>
      <w:r>
        <w:rPr>
          <w:lang w:val="nl-BE"/>
        </w:rPr>
        <w:lastRenderedPageBreak/>
        <w:t xml:space="preserve">Zo kan het antwoord "NVT" gerechtvaardigd zijn voor alle vragen die betrekking hebben op de identificatie van occasionele cliënten indien de interne procedures van de betrokken financiële instelling voorzien in een absoluut verbod, dat ook effectief wordt nageleefd, om verrichtingen uit te voeren met cliënten met wie zij geen zakenrelaties heeft aangeknoopt </w:t>
      </w:r>
      <w:r w:rsidRPr="00285D90">
        <w:rPr>
          <w:lang w:val="nl-BE"/>
        </w:rPr>
        <w:t>("</w:t>
      </w:r>
      <w:r>
        <w:rPr>
          <w:lang w:val="nl-BE"/>
        </w:rPr>
        <w:t>vaste cliënten</w:t>
      </w:r>
      <w:r w:rsidRPr="00285D90">
        <w:rPr>
          <w:lang w:val="nl-BE"/>
        </w:rPr>
        <w:t xml:space="preserve">"). </w:t>
      </w:r>
      <w:r>
        <w:rPr>
          <w:lang w:val="nl-BE"/>
        </w:rPr>
        <w:t>Ook wanneer een financiële instelling het bijhouden van genummerde rekeningen of het sluiten van genummerde overeenkomsten niet toelaat</w:t>
      </w:r>
      <w:r w:rsidRPr="00285D90">
        <w:rPr>
          <w:lang w:val="nl-BE"/>
        </w:rPr>
        <w:t xml:space="preserve">, </w:t>
      </w:r>
      <w:r>
        <w:rPr>
          <w:lang w:val="nl-BE"/>
        </w:rPr>
        <w:t>of wanneer een kredietinstelling niet tussenkomt in de verkoop van levensverzekeringsproducten</w:t>
      </w:r>
      <w:r w:rsidRPr="00285D90">
        <w:rPr>
          <w:lang w:val="nl-BE"/>
        </w:rPr>
        <w:t xml:space="preserve">, </w:t>
      </w:r>
      <w:r>
        <w:rPr>
          <w:lang w:val="nl-BE"/>
        </w:rPr>
        <w:t xml:space="preserve">is het antwoord </w:t>
      </w:r>
      <w:r w:rsidRPr="00285D90">
        <w:rPr>
          <w:lang w:val="nl-BE"/>
        </w:rPr>
        <w:t>"N</w:t>
      </w:r>
      <w:r>
        <w:rPr>
          <w:lang w:val="nl-BE"/>
        </w:rPr>
        <w:t>VT</w:t>
      </w:r>
      <w:r w:rsidRPr="00285D90">
        <w:rPr>
          <w:lang w:val="nl-BE"/>
        </w:rPr>
        <w:t xml:space="preserve">" </w:t>
      </w:r>
      <w:r>
        <w:rPr>
          <w:lang w:val="nl-BE"/>
        </w:rPr>
        <w:t>gerechtvaardigd voor wat betreft</w:t>
      </w:r>
      <w:r w:rsidRPr="00285D90">
        <w:rPr>
          <w:lang w:val="nl-BE"/>
        </w:rPr>
        <w:t xml:space="preserve">, </w:t>
      </w:r>
      <w:r>
        <w:rPr>
          <w:lang w:val="nl-BE"/>
        </w:rPr>
        <w:t>respectievelijk</w:t>
      </w:r>
      <w:r w:rsidRPr="00285D90">
        <w:rPr>
          <w:lang w:val="nl-BE"/>
        </w:rPr>
        <w:t xml:space="preserve">, </w:t>
      </w:r>
      <w:r>
        <w:rPr>
          <w:lang w:val="nl-BE"/>
        </w:rPr>
        <w:t>de vraag over de omkadering van die rekeningen of overeenkomsten of de vragen over de levensverzekeringsovereenkomsten</w:t>
      </w:r>
      <w:r w:rsidRPr="00285D90">
        <w:rPr>
          <w:lang w:val="nl-BE"/>
        </w:rPr>
        <w:t xml:space="preserve">. </w:t>
      </w:r>
      <w:r>
        <w:rPr>
          <w:lang w:val="nl-BE"/>
        </w:rPr>
        <w:t>Om een goed begrip van de antwoorden te garanderen</w:t>
      </w:r>
      <w:r w:rsidRPr="00285D90">
        <w:rPr>
          <w:lang w:val="nl-BE"/>
        </w:rPr>
        <w:t xml:space="preserve">, </w:t>
      </w:r>
      <w:r>
        <w:rPr>
          <w:lang w:val="nl-BE"/>
        </w:rPr>
        <w:t xml:space="preserve">moet voor ieder antwoord </w:t>
      </w:r>
      <w:r w:rsidRPr="00285D90">
        <w:rPr>
          <w:lang w:val="nl-BE"/>
        </w:rPr>
        <w:t>"</w:t>
      </w:r>
      <w:r>
        <w:rPr>
          <w:lang w:val="nl-BE"/>
        </w:rPr>
        <w:t>NVT"</w:t>
      </w:r>
      <w:r w:rsidRPr="00285D90">
        <w:rPr>
          <w:lang w:val="nl-BE"/>
        </w:rPr>
        <w:t xml:space="preserve"> </w:t>
      </w:r>
      <w:r>
        <w:rPr>
          <w:lang w:val="nl-BE"/>
        </w:rPr>
        <w:t>een beknopte motivering worden gegeven in het commentaarvak bij de betrokken vraag</w:t>
      </w:r>
      <w:r w:rsidRPr="00285D90">
        <w:rPr>
          <w:lang w:val="nl-BE"/>
        </w:rPr>
        <w:t>.</w:t>
      </w:r>
    </w:p>
    <w:p w:rsidR="002A4DA8" w:rsidRPr="00285D90" w:rsidRDefault="002A4DA8" w:rsidP="00645BC0">
      <w:pPr>
        <w:pStyle w:val="ListParagraph"/>
        <w:numPr>
          <w:ilvl w:val="0"/>
          <w:numId w:val="38"/>
        </w:numPr>
        <w:spacing w:after="120"/>
        <w:ind w:left="720"/>
        <w:contextualSpacing w:val="0"/>
        <w:rPr>
          <w:lang w:val="nl-BE"/>
        </w:rPr>
      </w:pPr>
      <w:r>
        <w:rPr>
          <w:u w:val="single"/>
          <w:lang w:val="nl-BE"/>
        </w:rPr>
        <w:t>Commentaarvakken</w:t>
      </w:r>
      <w:r w:rsidRPr="00285D90">
        <w:rPr>
          <w:lang w:val="nl-BE"/>
        </w:rPr>
        <w:t xml:space="preserve">: </w:t>
      </w:r>
      <w:r>
        <w:rPr>
          <w:lang w:val="nl-BE"/>
        </w:rPr>
        <w:t>Bij elk van de vragen hoort een commentaarvak waarin de antwoordende financiële instelling haar antwoord kan verduidelijken, nuanceren of, indien nodig, van een beknopte motivering kan voorzien</w:t>
      </w:r>
      <w:r w:rsidRPr="00285D90">
        <w:rPr>
          <w:lang w:val="nl-BE"/>
        </w:rPr>
        <w:t xml:space="preserve">. </w:t>
      </w:r>
      <w:r>
        <w:rPr>
          <w:lang w:val="nl-BE"/>
        </w:rPr>
        <w:t xml:space="preserve">Deze commentaarvakken zouden met name moeten worden gebruikt om een zeer beknopte uitleg te geven bij de bevestigende of ontkennende antwoorden die het resultaat zijn van een beoordeling van genuanceerde situaties als bedoeld in het tweede lid van punt </w:t>
      </w:r>
      <w:r w:rsidRPr="00285D90">
        <w:rPr>
          <w:lang w:val="nl-BE"/>
        </w:rPr>
        <w:t xml:space="preserve">(b) </w:t>
      </w:r>
      <w:r>
        <w:rPr>
          <w:lang w:val="nl-BE"/>
        </w:rPr>
        <w:t>hierboven</w:t>
      </w:r>
      <w:r w:rsidRPr="00285D90">
        <w:rPr>
          <w:lang w:val="nl-BE"/>
        </w:rPr>
        <w:t xml:space="preserve">. </w:t>
      </w:r>
    </w:p>
    <w:p w:rsidR="002A4DA8" w:rsidRPr="00285D90" w:rsidRDefault="002A4DA8" w:rsidP="00645BC0">
      <w:pPr>
        <w:spacing w:after="120"/>
        <w:ind w:left="720"/>
        <w:jc w:val="both"/>
        <w:rPr>
          <w:lang w:val="nl-BE"/>
        </w:rPr>
      </w:pPr>
      <w:r>
        <w:rPr>
          <w:lang w:val="nl-BE"/>
        </w:rPr>
        <w:t>Zoals reeds vermeld</w:t>
      </w:r>
      <w:r w:rsidRPr="00285D90">
        <w:rPr>
          <w:lang w:val="nl-BE"/>
        </w:rPr>
        <w:t xml:space="preserve">, </w:t>
      </w:r>
      <w:r>
        <w:rPr>
          <w:lang w:val="nl-BE"/>
        </w:rPr>
        <w:t>dient er voor elk antwoord "NVT" een beknopte rechtvaardiging te worden gegeven</w:t>
      </w:r>
      <w:r w:rsidRPr="00285D90">
        <w:rPr>
          <w:lang w:val="nl-BE"/>
        </w:rPr>
        <w:t>.</w:t>
      </w:r>
    </w:p>
    <w:p w:rsidR="002A4DA8" w:rsidRPr="00285D90" w:rsidRDefault="002A4DA8" w:rsidP="00645BC0">
      <w:pPr>
        <w:spacing w:after="120"/>
        <w:ind w:left="720"/>
        <w:jc w:val="both"/>
        <w:rPr>
          <w:lang w:val="nl-BE"/>
        </w:rPr>
      </w:pPr>
      <w:r>
        <w:rPr>
          <w:lang w:val="nl-BE"/>
        </w:rPr>
        <w:t xml:space="preserve">Tot slot dient nog opgemerkt te worden dat in de vragenlijst naast de conformiteitsvragen waarop met </w:t>
      </w:r>
      <w:r w:rsidRPr="00285D90">
        <w:rPr>
          <w:lang w:val="nl-BE"/>
        </w:rPr>
        <w:t>"</w:t>
      </w:r>
      <w:r>
        <w:rPr>
          <w:lang w:val="nl-BE"/>
        </w:rPr>
        <w:t>ja</w:t>
      </w:r>
      <w:r w:rsidRPr="00285D90">
        <w:rPr>
          <w:lang w:val="nl-BE"/>
        </w:rPr>
        <w:t>", "n</w:t>
      </w:r>
      <w:r>
        <w:rPr>
          <w:lang w:val="nl-BE"/>
        </w:rPr>
        <w:t>ee</w:t>
      </w:r>
      <w:r w:rsidRPr="00285D90">
        <w:rPr>
          <w:lang w:val="nl-BE"/>
        </w:rPr>
        <w:t xml:space="preserve">" </w:t>
      </w:r>
      <w:r>
        <w:rPr>
          <w:lang w:val="nl-BE"/>
        </w:rPr>
        <w:t>of</w:t>
      </w:r>
      <w:r w:rsidRPr="00285D90">
        <w:rPr>
          <w:lang w:val="nl-BE"/>
        </w:rPr>
        <w:t xml:space="preserve"> "N</w:t>
      </w:r>
      <w:r>
        <w:rPr>
          <w:lang w:val="nl-BE"/>
        </w:rPr>
        <w:t>VT</w:t>
      </w:r>
      <w:r w:rsidRPr="00285D90">
        <w:rPr>
          <w:lang w:val="nl-BE"/>
        </w:rPr>
        <w:t>"</w:t>
      </w:r>
      <w:r>
        <w:rPr>
          <w:lang w:val="nl-BE"/>
        </w:rPr>
        <w:t xml:space="preserve"> kan worden geantwoord</w:t>
      </w:r>
      <w:r w:rsidRPr="00285D90">
        <w:rPr>
          <w:lang w:val="nl-BE"/>
        </w:rPr>
        <w:t xml:space="preserve">, </w:t>
      </w:r>
      <w:r>
        <w:rPr>
          <w:lang w:val="nl-BE"/>
        </w:rPr>
        <w:t>ook een beperkt aantal specifieke feitelijke gegevens wordt opgevraagd</w:t>
      </w:r>
      <w:r w:rsidRPr="00285D90">
        <w:rPr>
          <w:lang w:val="nl-BE"/>
        </w:rPr>
        <w:t xml:space="preserve">, </w:t>
      </w:r>
      <w:r>
        <w:rPr>
          <w:lang w:val="nl-BE"/>
        </w:rPr>
        <w:t>zoals de datum van de laatste actualisering van bepaalde elementen van de interne procedures</w:t>
      </w:r>
      <w:r w:rsidRPr="00285D90">
        <w:rPr>
          <w:lang w:val="nl-BE"/>
        </w:rPr>
        <w:t xml:space="preserve">. </w:t>
      </w:r>
      <w:r>
        <w:rPr>
          <w:lang w:val="nl-BE"/>
        </w:rPr>
        <w:t xml:space="preserve">Deze inlichtingen moeten een beter begrip garanderen van de antwoorden op de conformiteitsvragen, waarbij zij in zekere zin een verplicht standaardcommentaar vormen. Dit is het geval voor de vragen </w:t>
      </w:r>
      <w:r w:rsidRPr="00285D90">
        <w:rPr>
          <w:lang w:val="nl-BE"/>
        </w:rPr>
        <w:t xml:space="preserve">1.8, 4.45, 5.10, 5.17 </w:t>
      </w:r>
      <w:r>
        <w:rPr>
          <w:lang w:val="nl-BE"/>
        </w:rPr>
        <w:t>en</w:t>
      </w:r>
      <w:r w:rsidRPr="00285D90">
        <w:rPr>
          <w:lang w:val="nl-BE"/>
        </w:rPr>
        <w:t xml:space="preserve"> 5.19</w:t>
      </w:r>
      <w:r>
        <w:rPr>
          <w:lang w:val="nl-BE"/>
        </w:rPr>
        <w:t>, waar de financiële instelling verzocht wordt om naargelang van het antwoord dat zij gegeven heeft, precieze bijkomende informatie te verstrekken in het bijbehorende commentaarvak</w:t>
      </w:r>
      <w:r w:rsidRPr="00285D90">
        <w:rPr>
          <w:lang w:val="nl-BE"/>
        </w:rPr>
        <w:t>.</w:t>
      </w:r>
    </w:p>
    <w:p w:rsidR="002A4DA8" w:rsidRPr="00285D90" w:rsidRDefault="002A4DA8" w:rsidP="00645BC0">
      <w:pPr>
        <w:spacing w:after="120"/>
        <w:ind w:left="720"/>
        <w:jc w:val="both"/>
        <w:rPr>
          <w:lang w:val="nl-BE"/>
        </w:rPr>
      </w:pPr>
      <w:r>
        <w:rPr>
          <w:lang w:val="nl-BE"/>
        </w:rPr>
        <w:t>We benadrukken echter dat het niet de bedoeling is om via de vragenlijst volledige informatie in te winnen over elk detail van de geldende interne procedures</w:t>
      </w:r>
      <w:r w:rsidRPr="00285D90">
        <w:rPr>
          <w:lang w:val="nl-BE"/>
        </w:rPr>
        <w:t xml:space="preserve">, </w:t>
      </w:r>
      <w:r>
        <w:rPr>
          <w:lang w:val="nl-BE"/>
        </w:rPr>
        <w:t>maar dat de vragenlijst de Bank in staat moet stellen een voldoende duidelijk beeld te krijgen van de preventiemaatregelen die de antwoordende financiële instelling heeft vastgelegd en die zij ook effectief toepast</w:t>
      </w:r>
      <w:r w:rsidRPr="00285D90">
        <w:rPr>
          <w:lang w:val="nl-BE"/>
        </w:rPr>
        <w:t xml:space="preserve">, </w:t>
      </w:r>
      <w:r>
        <w:rPr>
          <w:lang w:val="nl-BE"/>
        </w:rPr>
        <w:t>om de risico's op relevante wijze te kunnen beoordelen</w:t>
      </w:r>
      <w:r w:rsidRPr="00285D90">
        <w:rPr>
          <w:lang w:val="nl-BE"/>
        </w:rPr>
        <w:t xml:space="preserve">. </w:t>
      </w:r>
      <w:r>
        <w:rPr>
          <w:lang w:val="nl-BE"/>
        </w:rPr>
        <w:t>De commentaar die bij de antwoorden op de vragen wordt gegeven, moet dus beknopt zijn</w:t>
      </w:r>
      <w:r w:rsidRPr="00285D90">
        <w:rPr>
          <w:lang w:val="nl-BE"/>
        </w:rPr>
        <w:t xml:space="preserve">. </w:t>
      </w:r>
      <w:r>
        <w:rPr>
          <w:lang w:val="nl-BE"/>
        </w:rPr>
        <w:t>De vakken waarin dit commentaar gegeven moet worden, zijn dus ook beperkt in omvang</w:t>
      </w:r>
      <w:r w:rsidRPr="00285D90">
        <w:rPr>
          <w:lang w:val="nl-BE"/>
        </w:rPr>
        <w:t>.</w:t>
      </w:r>
      <w:r w:rsidRPr="00285D90">
        <w:rPr>
          <w:color w:val="0070C0"/>
          <w:lang w:val="nl-BE"/>
        </w:rPr>
        <w:t xml:space="preserve"> </w:t>
      </w:r>
    </w:p>
    <w:p w:rsidR="002A4DA8" w:rsidRPr="00285D90" w:rsidRDefault="002A4DA8" w:rsidP="00645BC0">
      <w:pPr>
        <w:spacing w:after="120"/>
        <w:ind w:left="720"/>
        <w:jc w:val="both"/>
        <w:rPr>
          <w:lang w:val="nl-BE"/>
        </w:rPr>
      </w:pPr>
      <w:r>
        <w:rPr>
          <w:lang w:val="nl-BE"/>
        </w:rPr>
        <w:t xml:space="preserve">Indien de financiële instelling in dit commentaar wil verwijzen naar interne documenten </w:t>
      </w:r>
      <w:r w:rsidRPr="00285D90">
        <w:rPr>
          <w:lang w:val="nl-BE"/>
        </w:rPr>
        <w:t>(</w:t>
      </w:r>
      <w:r>
        <w:rPr>
          <w:lang w:val="nl-BE"/>
        </w:rPr>
        <w:t>zoals het jaarlijks verslag van de verantwoordelijke voor de voorkoming van het witwassen van geld en de financiering van terrorisme</w:t>
      </w:r>
      <w:r w:rsidRPr="00285D90">
        <w:rPr>
          <w:lang w:val="nl-BE"/>
        </w:rPr>
        <w:t xml:space="preserve">) </w:t>
      </w:r>
      <w:r>
        <w:rPr>
          <w:lang w:val="nl-BE"/>
        </w:rPr>
        <w:t xml:space="preserve">of externe documenten </w:t>
      </w:r>
      <w:r w:rsidRPr="00285D90">
        <w:rPr>
          <w:lang w:val="nl-BE"/>
        </w:rPr>
        <w:t>(</w:t>
      </w:r>
      <w:r>
        <w:rPr>
          <w:lang w:val="nl-BE"/>
        </w:rPr>
        <w:t>zoals de sectorale codes voor goede praktijken</w:t>
      </w:r>
      <w:r w:rsidRPr="00285D90">
        <w:rPr>
          <w:lang w:val="nl-BE"/>
        </w:rPr>
        <w:t xml:space="preserve">), </w:t>
      </w:r>
      <w:r>
        <w:rPr>
          <w:lang w:val="nl-BE"/>
        </w:rPr>
        <w:t>dienen de antwoorden op zich voldoende duidelijk te zijn zonder dat de documenten waarnaar verwezen wordt, geraadpleegd of geanalyseerd dienen te worden</w:t>
      </w:r>
      <w:r w:rsidRPr="00285D90">
        <w:rPr>
          <w:lang w:val="nl-BE"/>
        </w:rPr>
        <w:t xml:space="preserve">. </w:t>
      </w:r>
      <w:r>
        <w:rPr>
          <w:lang w:val="nl-BE"/>
        </w:rPr>
        <w:t>Zoals eerder vermeld, is het de bedoeling dat de Bank aan de hand van de vragenlijst inlichtingen verkrijgt die haar in staat stellen haar toezichtsbevoegdheden op risicogeoriënteerde wijze uit te oefenen en dat er niet alleen beknopte en niet-gedetailleerde informatie wordt meegedeeld</w:t>
      </w:r>
      <w:r w:rsidRPr="00285D90">
        <w:rPr>
          <w:lang w:val="nl-BE"/>
        </w:rPr>
        <w:t xml:space="preserve">. </w:t>
      </w:r>
      <w:r>
        <w:rPr>
          <w:lang w:val="nl-BE"/>
        </w:rPr>
        <w:t>Indien de commentaar verwijzingen naar andere documenten bevat</w:t>
      </w:r>
      <w:r w:rsidRPr="00285D90">
        <w:rPr>
          <w:lang w:val="nl-BE"/>
        </w:rPr>
        <w:t xml:space="preserve">, </w:t>
      </w:r>
      <w:r>
        <w:rPr>
          <w:lang w:val="nl-BE"/>
        </w:rPr>
        <w:t>kunnen de toezichtsdiensten daar indien nodig kennis van nemen wanneer zij in een later stadium hun toezichtsbevoegdheden op afstand of ter plaatse uitoefenen</w:t>
      </w:r>
      <w:r w:rsidRPr="00285D90">
        <w:rPr>
          <w:lang w:val="nl-BE"/>
        </w:rPr>
        <w:t xml:space="preserve">, </w:t>
      </w:r>
      <w:r>
        <w:rPr>
          <w:lang w:val="nl-BE"/>
        </w:rPr>
        <w:t>om zich een preciezer oordeel te kunnen vormen over de exacte reikwijdte van het antwoord</w:t>
      </w:r>
      <w:r w:rsidRPr="00285D90">
        <w:rPr>
          <w:lang w:val="nl-BE"/>
        </w:rPr>
        <w:t xml:space="preserve">. </w:t>
      </w:r>
      <w:r>
        <w:rPr>
          <w:lang w:val="nl-BE"/>
        </w:rPr>
        <w:t>Die documenten zullen echter niet geanalyseerd worden in het stadium van de beoordeling van de risico's door de diensten van de NBB.</w:t>
      </w:r>
    </w:p>
    <w:p w:rsidR="00805C05" w:rsidRDefault="00805C05" w:rsidP="00645BC0">
      <w:pPr>
        <w:jc w:val="both"/>
      </w:pPr>
    </w:p>
    <w:p w:rsidR="00805C05" w:rsidRDefault="00805C05" w:rsidP="00645BC0">
      <w:pPr>
        <w:jc w:val="both"/>
      </w:pPr>
    </w:p>
    <w:p w:rsidR="00805C05" w:rsidRDefault="00805C05" w:rsidP="00645BC0">
      <w:pPr>
        <w:jc w:val="both"/>
      </w:pPr>
    </w:p>
    <w:p w:rsidR="00805C05" w:rsidRDefault="00805C05" w:rsidP="00645BC0">
      <w:pPr>
        <w:jc w:val="both"/>
      </w:pPr>
    </w:p>
    <w:p w:rsidR="002B7C10" w:rsidRPr="002B7C10" w:rsidRDefault="002B7C10" w:rsidP="00645BC0">
      <w:pPr>
        <w:pStyle w:val="ListParagraph"/>
        <w:spacing w:after="120"/>
        <w:rPr>
          <w:lang w:val="nl-BE"/>
        </w:rPr>
      </w:pPr>
    </w:p>
    <w:p w:rsidR="00FE339C" w:rsidRPr="00285D90" w:rsidRDefault="00FE339C" w:rsidP="00645BC0">
      <w:pPr>
        <w:pStyle w:val="ListParagraph"/>
        <w:numPr>
          <w:ilvl w:val="0"/>
          <w:numId w:val="35"/>
        </w:numPr>
        <w:spacing w:before="240" w:after="240"/>
        <w:ind w:left="567" w:hanging="567"/>
        <w:contextualSpacing w:val="0"/>
        <w:rPr>
          <w:b/>
          <w:sz w:val="22"/>
          <w:u w:val="single"/>
          <w:lang w:val="nl-BE"/>
        </w:rPr>
      </w:pPr>
      <w:r w:rsidRPr="00285D90">
        <w:rPr>
          <w:b/>
          <w:sz w:val="22"/>
          <w:u w:val="single"/>
          <w:lang w:val="nl-BE"/>
        </w:rPr>
        <w:lastRenderedPageBreak/>
        <w:t>P</w:t>
      </w:r>
      <w:r>
        <w:rPr>
          <w:b/>
          <w:sz w:val="22"/>
          <w:u w:val="single"/>
          <w:lang w:val="nl-BE"/>
        </w:rPr>
        <w:t>eriodiciteit van de antwoorden</w:t>
      </w:r>
      <w:r w:rsidRPr="00285D90">
        <w:rPr>
          <w:b/>
          <w:sz w:val="22"/>
          <w:u w:val="single"/>
          <w:lang w:val="nl-BE"/>
        </w:rPr>
        <w:t>:</w:t>
      </w:r>
    </w:p>
    <w:p w:rsidR="00FE339C" w:rsidRPr="00285D90" w:rsidRDefault="00FE339C" w:rsidP="00645BC0">
      <w:pPr>
        <w:spacing w:after="120"/>
        <w:jc w:val="both"/>
        <w:rPr>
          <w:lang w:val="nl-BE"/>
        </w:rPr>
      </w:pPr>
      <w:r>
        <w:rPr>
          <w:lang w:val="nl-BE"/>
        </w:rPr>
        <w:t>De financiële instellingen worden verzocht eenmaal per jaar te antwoorden op de periodieke vragenlijst over het witwassen van geld, de financiering van terrorisme</w:t>
      </w:r>
      <w:r w:rsidRPr="00285D90">
        <w:rPr>
          <w:lang w:val="nl-BE"/>
        </w:rPr>
        <w:t xml:space="preserve"> </w:t>
      </w:r>
      <w:r>
        <w:rPr>
          <w:lang w:val="nl-BE"/>
        </w:rPr>
        <w:t>en de proliferatie van massavernietigingswapens</w:t>
      </w:r>
      <w:r w:rsidRPr="00285D90">
        <w:rPr>
          <w:lang w:val="nl-BE"/>
        </w:rPr>
        <w:t xml:space="preserve">, </w:t>
      </w:r>
      <w:r>
        <w:rPr>
          <w:lang w:val="nl-BE"/>
        </w:rPr>
        <w:t xml:space="preserve">op grond van de situatie op </w:t>
      </w:r>
      <w:r w:rsidRPr="00285D90">
        <w:rPr>
          <w:lang w:val="nl-BE"/>
        </w:rPr>
        <w:t xml:space="preserve">31 </w:t>
      </w:r>
      <w:r>
        <w:rPr>
          <w:lang w:val="nl-BE"/>
        </w:rPr>
        <w:t>december van elk jaar</w:t>
      </w:r>
      <w:r w:rsidR="001C1FBB">
        <w:rPr>
          <w:lang w:val="nl-BE"/>
        </w:rPr>
        <w:t>.</w:t>
      </w:r>
    </w:p>
    <w:p w:rsidR="00FE339C" w:rsidRPr="00285D90" w:rsidRDefault="00FE339C" w:rsidP="00645BC0">
      <w:pPr>
        <w:spacing w:after="120"/>
        <w:jc w:val="both"/>
        <w:rPr>
          <w:lang w:val="nl-BE"/>
        </w:rPr>
      </w:pPr>
      <w:r>
        <w:rPr>
          <w:lang w:val="nl-BE"/>
        </w:rPr>
        <w:t xml:space="preserve">Hun antwoorden moeten uiterlijk op </w:t>
      </w:r>
      <w:r w:rsidRPr="00285D90">
        <w:rPr>
          <w:lang w:val="nl-BE"/>
        </w:rPr>
        <w:t xml:space="preserve">28 </w:t>
      </w:r>
      <w:r>
        <w:rPr>
          <w:lang w:val="nl-BE"/>
        </w:rPr>
        <w:t>februari van het daaropvolgende jaar aan de Bank worden overgemaakt</w:t>
      </w:r>
      <w:r w:rsidRPr="00285D90">
        <w:rPr>
          <w:lang w:val="nl-BE"/>
        </w:rPr>
        <w:t>.</w:t>
      </w:r>
    </w:p>
    <w:p w:rsidR="00FE339C" w:rsidRPr="00285D90" w:rsidRDefault="00FE339C" w:rsidP="00645BC0">
      <w:pPr>
        <w:spacing w:after="120"/>
        <w:jc w:val="both"/>
        <w:rPr>
          <w:lang w:val="nl-BE"/>
        </w:rPr>
      </w:pPr>
      <w:r>
        <w:rPr>
          <w:lang w:val="nl-BE"/>
        </w:rPr>
        <w:t>Vanaf het tweede jaar dient de vragenlijst te worden beantwoord op basis van een actualisering van de antwoorden van het vorige jaar</w:t>
      </w:r>
      <w:r w:rsidRPr="00285D90">
        <w:rPr>
          <w:lang w:val="nl-BE"/>
        </w:rPr>
        <w:t xml:space="preserve">. </w:t>
      </w:r>
      <w:r>
        <w:rPr>
          <w:lang w:val="nl-BE"/>
        </w:rPr>
        <w:t>Onverminderd de bijkomende vragen die geleidelijk zouden kunnen worden toegevoegd aan de vragenlijst</w:t>
      </w:r>
      <w:r w:rsidRPr="00285D90">
        <w:rPr>
          <w:lang w:val="nl-BE"/>
        </w:rPr>
        <w:t xml:space="preserve">, </w:t>
      </w:r>
      <w:r>
        <w:rPr>
          <w:lang w:val="nl-BE"/>
        </w:rPr>
        <w:t>volstaat het dus dat de antwoorden van het vorige jaar geactualiseerd worden</w:t>
      </w:r>
      <w:r w:rsidRPr="00285D90">
        <w:rPr>
          <w:lang w:val="nl-BE"/>
        </w:rPr>
        <w:t xml:space="preserve">, </w:t>
      </w:r>
      <w:r>
        <w:rPr>
          <w:lang w:val="nl-BE"/>
        </w:rPr>
        <w:t>en dat bevestigd wordt dat de ongewijzigde antwoorden van het vorige jaar geldig blijven</w:t>
      </w:r>
      <w:r w:rsidRPr="00285D90">
        <w:rPr>
          <w:lang w:val="nl-BE"/>
        </w:rPr>
        <w:t>.</w:t>
      </w:r>
    </w:p>
    <w:p w:rsidR="00FE339C" w:rsidRPr="00285D90" w:rsidRDefault="00FE339C" w:rsidP="00645BC0">
      <w:pPr>
        <w:pStyle w:val="ListParagraph"/>
        <w:numPr>
          <w:ilvl w:val="0"/>
          <w:numId w:val="35"/>
        </w:numPr>
        <w:spacing w:before="240" w:after="240"/>
        <w:ind w:left="567" w:hanging="567"/>
        <w:contextualSpacing w:val="0"/>
        <w:rPr>
          <w:b/>
          <w:sz w:val="22"/>
          <w:u w:val="single"/>
          <w:lang w:val="nl-BE"/>
        </w:rPr>
      </w:pPr>
      <w:r>
        <w:rPr>
          <w:b/>
          <w:sz w:val="22"/>
          <w:u w:val="single"/>
          <w:lang w:val="nl-BE"/>
        </w:rPr>
        <w:t>Verantwoordelijkheid voor de juistheid van de antwoorden en handtekening</w:t>
      </w:r>
    </w:p>
    <w:p w:rsidR="00FE339C" w:rsidRPr="00285D90" w:rsidRDefault="00FE339C" w:rsidP="00645BC0">
      <w:pPr>
        <w:spacing w:after="120"/>
        <w:jc w:val="both"/>
        <w:rPr>
          <w:lang w:val="nl-BE"/>
        </w:rPr>
      </w:pPr>
      <w:r>
        <w:rPr>
          <w:lang w:val="nl-BE"/>
        </w:rPr>
        <w:t>De antwoorden op de vragenlijst worden aan de Bank overgemaakt onder de eindverantwoordelijkheid van de effectieve leiding van de antwoordende financiële instelling</w:t>
      </w:r>
      <w:r w:rsidRPr="00285D90">
        <w:rPr>
          <w:lang w:val="nl-BE"/>
        </w:rPr>
        <w:t xml:space="preserve">. </w:t>
      </w:r>
    </w:p>
    <w:p w:rsidR="00FE339C" w:rsidRDefault="00FE339C" w:rsidP="00645BC0">
      <w:pPr>
        <w:spacing w:after="120"/>
        <w:jc w:val="both"/>
        <w:rPr>
          <w:rFonts w:cs="Arial"/>
          <w:iCs/>
          <w:lang w:val="nl-BE" w:eastAsia="nl-BE"/>
        </w:rPr>
      </w:pPr>
      <w:r>
        <w:rPr>
          <w:lang w:val="nl-BE"/>
        </w:rPr>
        <w:t xml:space="preserve">Er wordt evenwel aan herinnerd dat de verantwoordelijke die binnen elke financiële instelling wordt aangeduid conform artikel </w:t>
      </w:r>
      <w:r w:rsidRPr="00285D90">
        <w:rPr>
          <w:lang w:val="nl-BE"/>
        </w:rPr>
        <w:t xml:space="preserve">18 </w:t>
      </w:r>
      <w:r>
        <w:rPr>
          <w:lang w:val="nl-BE"/>
        </w:rPr>
        <w:t xml:space="preserve">van de wet van </w:t>
      </w:r>
      <w:r w:rsidRPr="00285D90">
        <w:rPr>
          <w:lang w:val="nl-BE"/>
        </w:rPr>
        <w:t xml:space="preserve">11 </w:t>
      </w:r>
      <w:r>
        <w:rPr>
          <w:lang w:val="nl-BE"/>
        </w:rPr>
        <w:t xml:space="preserve">januari </w:t>
      </w:r>
      <w:r w:rsidRPr="00285D90">
        <w:rPr>
          <w:lang w:val="nl-BE"/>
        </w:rPr>
        <w:t xml:space="preserve">1993, </w:t>
      </w:r>
      <w:r>
        <w:rPr>
          <w:lang w:val="nl-BE"/>
        </w:rPr>
        <w:t xml:space="preserve">krachtens diezelfde wettelijke bepaling niet alleen voornamelijk belast is met de analyse van de atypische verrichtingen om te bepalen of deze verrichtingen als verdacht moeten worden beschouwd en meegedeeld moeten worden aan de Cel voor </w:t>
      </w:r>
      <w:r w:rsidRPr="005131DD">
        <w:rPr>
          <w:bCs/>
        </w:rPr>
        <w:t>Financiële Informatieverwerking (CFI)</w:t>
      </w:r>
      <w:r w:rsidRPr="00285D90">
        <w:rPr>
          <w:lang w:val="nl-BE"/>
        </w:rPr>
        <w:t xml:space="preserve">, </w:t>
      </w:r>
      <w:r>
        <w:rPr>
          <w:lang w:val="nl-BE"/>
        </w:rPr>
        <w:t xml:space="preserve">maar ook met de toepassing van de beleidslijnen en procedures bedoeld in de artikelen </w:t>
      </w:r>
      <w:r w:rsidRPr="00285D90">
        <w:rPr>
          <w:lang w:val="nl-BE"/>
        </w:rPr>
        <w:t xml:space="preserve">16 </w:t>
      </w:r>
      <w:r>
        <w:rPr>
          <w:lang w:val="nl-BE"/>
        </w:rPr>
        <w:t xml:space="preserve">en </w:t>
      </w:r>
      <w:r w:rsidRPr="00285D90">
        <w:rPr>
          <w:lang w:val="nl-BE"/>
        </w:rPr>
        <w:t xml:space="preserve">17 </w:t>
      </w:r>
      <w:r>
        <w:rPr>
          <w:lang w:val="nl-BE"/>
        </w:rPr>
        <w:t>van de wet</w:t>
      </w:r>
      <w:r w:rsidRPr="00285D90">
        <w:rPr>
          <w:lang w:val="nl-BE"/>
        </w:rPr>
        <w:t xml:space="preserve">. </w:t>
      </w:r>
      <w:r>
        <w:rPr>
          <w:lang w:val="nl-BE"/>
        </w:rPr>
        <w:t>Hiermee worden in het bijzonder de internecontrolemaatregelen en -procedures bedoeld die nodig zijn om te garanderen dat de wet wordt nageleefd</w:t>
      </w:r>
      <w:r w:rsidRPr="00285D90">
        <w:rPr>
          <w:lang w:val="nl-BE"/>
        </w:rPr>
        <w:t xml:space="preserve">, </w:t>
      </w:r>
      <w:r>
        <w:rPr>
          <w:lang w:val="nl-BE"/>
        </w:rPr>
        <w:t xml:space="preserve">en die aan bod komen in de vragenlijst. Artikel </w:t>
      </w:r>
      <w:r w:rsidRPr="00285D90">
        <w:rPr>
          <w:lang w:val="nl-BE"/>
        </w:rPr>
        <w:t xml:space="preserve">35, § 3, </w:t>
      </w:r>
      <w:r>
        <w:rPr>
          <w:lang w:val="nl-BE"/>
        </w:rPr>
        <w:t xml:space="preserve">eerste lid van het Reglement van </w:t>
      </w:r>
      <w:r w:rsidRPr="00285D90">
        <w:rPr>
          <w:lang w:val="nl-BE"/>
        </w:rPr>
        <w:t>23</w:t>
      </w:r>
      <w:r w:rsidR="00D7324A">
        <w:rPr>
          <w:lang w:val="nl-BE"/>
        </w:rPr>
        <w:t> </w:t>
      </w:r>
      <w:r>
        <w:rPr>
          <w:lang w:val="nl-BE"/>
        </w:rPr>
        <w:t xml:space="preserve">februari </w:t>
      </w:r>
      <w:r w:rsidRPr="00285D90">
        <w:rPr>
          <w:lang w:val="nl-BE"/>
        </w:rPr>
        <w:t xml:space="preserve">2010 </w:t>
      </w:r>
      <w:r>
        <w:rPr>
          <w:lang w:val="nl-BE"/>
        </w:rPr>
        <w:t xml:space="preserve">van de </w:t>
      </w:r>
      <w:r w:rsidRPr="00285D90">
        <w:rPr>
          <w:lang w:val="nl-BE"/>
        </w:rPr>
        <w:t xml:space="preserve">CBFA </w:t>
      </w:r>
      <w:r>
        <w:rPr>
          <w:lang w:val="nl-BE"/>
        </w:rPr>
        <w:t>bepaalt eveneens dat deze verantwoordelijke er op een algemene wijze op toe moet zien dat de instelling al haar verplichtingen nakomt op het vlak van de voorkoming van witwassen van geld en de financiering van terrorisme</w:t>
      </w:r>
      <w:r w:rsidRPr="00285D90">
        <w:rPr>
          <w:rFonts w:cs="Arial"/>
          <w:iCs/>
          <w:lang w:val="nl-BE" w:eastAsia="nl-BE"/>
        </w:rPr>
        <w:t xml:space="preserve">, </w:t>
      </w:r>
      <w:r>
        <w:rPr>
          <w:rFonts w:cs="Arial"/>
          <w:iCs/>
          <w:lang w:val="nl-BE" w:eastAsia="nl-BE"/>
        </w:rPr>
        <w:t xml:space="preserve">en er meer in het bijzonder over moet waken dat de instelling zorgt voor een ter zake passende administratieve organisatie en internecontrolemaatregelen als vereist krachtens artikel </w:t>
      </w:r>
      <w:r w:rsidRPr="00285D90">
        <w:rPr>
          <w:rFonts w:cs="Arial"/>
          <w:iCs/>
          <w:lang w:val="nl-BE" w:eastAsia="nl-BE"/>
        </w:rPr>
        <w:t xml:space="preserve">16 </w:t>
      </w:r>
      <w:r>
        <w:rPr>
          <w:rFonts w:cs="Arial"/>
          <w:iCs/>
          <w:lang w:val="nl-BE" w:eastAsia="nl-BE"/>
        </w:rPr>
        <w:t>van de wet</w:t>
      </w:r>
      <w:r w:rsidRPr="00285D90">
        <w:rPr>
          <w:rFonts w:cs="Arial"/>
          <w:iCs/>
          <w:lang w:val="nl-BE" w:eastAsia="nl-BE"/>
        </w:rPr>
        <w:t xml:space="preserve">. </w:t>
      </w:r>
      <w:r>
        <w:rPr>
          <w:rFonts w:cs="Arial"/>
          <w:iCs/>
          <w:lang w:val="nl-BE" w:eastAsia="nl-BE"/>
        </w:rPr>
        <w:t>Die verantwoordelijke moet ook bevoegd zijn om op eigen initiatief alle ter zake nodige of nuttige maatregelen voor te stellen aan de effectieve leiding van de instelling, inclusief de vrijmaking van de nodige middelen</w:t>
      </w:r>
      <w:r w:rsidRPr="00285D90">
        <w:rPr>
          <w:rFonts w:cs="Arial"/>
          <w:iCs/>
          <w:lang w:val="nl-BE" w:eastAsia="nl-BE"/>
        </w:rPr>
        <w:t>.</w:t>
      </w:r>
    </w:p>
    <w:p w:rsidR="00FE339C" w:rsidRPr="00285D90" w:rsidRDefault="00FE339C" w:rsidP="00645BC0">
      <w:pPr>
        <w:spacing w:after="120"/>
        <w:jc w:val="both"/>
        <w:rPr>
          <w:b/>
          <w:color w:val="0070C0"/>
          <w:u w:val="single"/>
          <w:lang w:val="nl-BE"/>
        </w:rPr>
      </w:pPr>
      <w:r>
        <w:rPr>
          <w:lang w:val="nl-BE"/>
        </w:rPr>
        <w:t xml:space="preserve">De Bank verwacht dus dat de effectieve leiding van de financiële instelling beslist welke antwoorden er op de vragenlijst worden gegeven, op voorstel van de verantwoordelijke voor de voorkoming van het witwassen van geld en de financiering van </w:t>
      </w:r>
      <w:r w:rsidRPr="00285D90">
        <w:rPr>
          <w:lang w:val="nl-BE"/>
        </w:rPr>
        <w:t xml:space="preserve">terrorisme. </w:t>
      </w:r>
    </w:p>
    <w:p w:rsidR="00FE339C" w:rsidRPr="00285D90" w:rsidRDefault="00FE339C" w:rsidP="00645BC0">
      <w:pPr>
        <w:pStyle w:val="ListParagraph"/>
        <w:numPr>
          <w:ilvl w:val="0"/>
          <w:numId w:val="35"/>
        </w:numPr>
        <w:spacing w:before="240" w:after="240"/>
        <w:ind w:left="567" w:hanging="567"/>
        <w:contextualSpacing w:val="0"/>
        <w:rPr>
          <w:b/>
          <w:sz w:val="22"/>
          <w:u w:val="single"/>
          <w:lang w:val="nl-BE"/>
        </w:rPr>
      </w:pPr>
      <w:r>
        <w:rPr>
          <w:b/>
          <w:sz w:val="22"/>
          <w:u w:val="single"/>
          <w:lang w:val="nl-BE"/>
        </w:rPr>
        <w:t>Technische modaliteiten</w:t>
      </w:r>
    </w:p>
    <w:p w:rsidR="00FE339C" w:rsidRPr="00285D90" w:rsidRDefault="00FE339C" w:rsidP="00645BC0">
      <w:pPr>
        <w:spacing w:after="120" w:line="276" w:lineRule="auto"/>
        <w:jc w:val="both"/>
        <w:rPr>
          <w:lang w:val="nl-BE"/>
        </w:rPr>
      </w:pPr>
      <w:r>
        <w:rPr>
          <w:lang w:val="nl-BE"/>
        </w:rPr>
        <w:t xml:space="preserve">Voor de antwoorden op de vragenlijst zal uiterlijk in de eerste dagen van elk jaar een elektronisch formulier </w:t>
      </w:r>
      <w:r w:rsidRPr="00285D90">
        <w:rPr>
          <w:lang w:val="nl-BE"/>
        </w:rPr>
        <w:t xml:space="preserve">("webform") </w:t>
      </w:r>
      <w:r>
        <w:rPr>
          <w:lang w:val="nl-BE"/>
        </w:rPr>
        <w:t>ter beschikking worden gesteld van de financiële instellingen</w:t>
      </w:r>
      <w:r w:rsidRPr="00285D90">
        <w:rPr>
          <w:lang w:val="nl-BE"/>
        </w:rPr>
        <w:t>.</w:t>
      </w:r>
    </w:p>
    <w:p w:rsidR="00FE339C" w:rsidRPr="00285D90" w:rsidRDefault="00FE339C" w:rsidP="00645BC0">
      <w:pPr>
        <w:spacing w:after="120" w:line="276" w:lineRule="auto"/>
        <w:jc w:val="both"/>
        <w:rPr>
          <w:lang w:val="nl-BE"/>
        </w:rPr>
      </w:pPr>
      <w:r>
        <w:rPr>
          <w:lang w:val="nl-BE"/>
        </w:rPr>
        <w:t xml:space="preserve">Dit elektronisch formulier zal toegankelijk zijn via het </w:t>
      </w:r>
      <w:r w:rsidRPr="00285D90">
        <w:rPr>
          <w:lang w:val="nl-BE"/>
        </w:rPr>
        <w:t>"One Gate"</w:t>
      </w:r>
      <w:r>
        <w:rPr>
          <w:lang w:val="nl-BE"/>
        </w:rPr>
        <w:t>-systeem.</w:t>
      </w:r>
      <w:r w:rsidRPr="00285D90">
        <w:rPr>
          <w:lang w:val="nl-BE"/>
        </w:rPr>
        <w:t xml:space="preserve"> </w:t>
      </w:r>
    </w:p>
    <w:p w:rsidR="00FE339C" w:rsidRPr="00285D90" w:rsidRDefault="00FE339C" w:rsidP="00645BC0">
      <w:pPr>
        <w:spacing w:after="120" w:line="276" w:lineRule="auto"/>
        <w:jc w:val="both"/>
        <w:rPr>
          <w:lang w:val="nl-BE"/>
        </w:rPr>
      </w:pPr>
      <w:r>
        <w:rPr>
          <w:lang w:val="nl-BE"/>
        </w:rPr>
        <w:t>De financiële instellingen zullen interne procedures moeten vastleggen voor de validatie van de antwoorden</w:t>
      </w:r>
      <w:r w:rsidRPr="00285D90">
        <w:rPr>
          <w:lang w:val="nl-BE"/>
        </w:rPr>
        <w:t xml:space="preserve">. </w:t>
      </w:r>
    </w:p>
    <w:p w:rsidR="00FE339C" w:rsidRPr="00285D90" w:rsidRDefault="00FE339C" w:rsidP="00645BC0">
      <w:pPr>
        <w:spacing w:after="120" w:line="276" w:lineRule="auto"/>
        <w:jc w:val="both"/>
        <w:rPr>
          <w:lang w:val="nl-BE"/>
        </w:rPr>
      </w:pPr>
      <w:r>
        <w:rPr>
          <w:lang w:val="nl-BE"/>
        </w:rPr>
        <w:t>Er zal door de Bank een gebruikershandleiding worden opgesteld</w:t>
      </w:r>
      <w:r w:rsidRPr="00285D90">
        <w:rPr>
          <w:lang w:val="nl-BE"/>
        </w:rPr>
        <w:t>.</w:t>
      </w:r>
    </w:p>
    <w:p w:rsidR="00FE339C" w:rsidRPr="00285D90" w:rsidRDefault="00FE339C" w:rsidP="00645BC0">
      <w:pPr>
        <w:spacing w:after="120" w:line="276" w:lineRule="auto"/>
        <w:jc w:val="both"/>
        <w:rPr>
          <w:lang w:val="nl-BE"/>
        </w:rPr>
      </w:pPr>
      <w:r>
        <w:rPr>
          <w:lang w:val="nl-BE"/>
        </w:rPr>
        <w:t xml:space="preserve">Bovendien zal er een </w:t>
      </w:r>
      <w:r w:rsidRPr="00285D90">
        <w:rPr>
          <w:lang w:val="nl-BE"/>
        </w:rPr>
        <w:t xml:space="preserve">helpdesk </w:t>
      </w:r>
      <w:r>
        <w:rPr>
          <w:lang w:val="nl-BE"/>
        </w:rPr>
        <w:t>ter beschikking worden gesteld van de financiële instellingen om hen te helpen met de technische problemen die zij zouden kunnen ondervinden bij gebruikmaking van de tool</w:t>
      </w:r>
      <w:r w:rsidRPr="00285D90">
        <w:rPr>
          <w:lang w:val="nl-BE"/>
        </w:rPr>
        <w:t xml:space="preserve">. </w:t>
      </w:r>
    </w:p>
    <w:p w:rsidR="00B20AF5" w:rsidRDefault="00FE339C" w:rsidP="00645BC0">
      <w:pPr>
        <w:spacing w:line="276" w:lineRule="auto"/>
        <w:jc w:val="both"/>
        <w:rPr>
          <w:lang w:val="nl-BE"/>
        </w:rPr>
      </w:pPr>
      <w:r>
        <w:rPr>
          <w:lang w:val="nl-BE"/>
        </w:rPr>
        <w:t>Zodra de antwoorden definitief gevalideerd zijn door de financiële instelling</w:t>
      </w:r>
      <w:r w:rsidRPr="00285D90">
        <w:rPr>
          <w:lang w:val="nl-BE"/>
        </w:rPr>
        <w:t xml:space="preserve">, </w:t>
      </w:r>
      <w:r>
        <w:rPr>
          <w:lang w:val="nl-BE"/>
        </w:rPr>
        <w:t xml:space="preserve">zal er een geautomatiseerde preanalyse worden uitgevoerd van de antwoorden, om aan de toezichtsteams een </w:t>
      </w:r>
      <w:r w:rsidRPr="00285D90">
        <w:rPr>
          <w:lang w:val="nl-BE"/>
        </w:rPr>
        <w:t xml:space="preserve">dashboard </w:t>
      </w:r>
      <w:r>
        <w:rPr>
          <w:lang w:val="nl-BE"/>
        </w:rPr>
        <w:t>te kunnen leveren met de belangrijkste aandachtspunten die uit die antwoorden naar voor zijn gekomen. De antwoorden op de vragenlijst mogen dus niet op een andere manier worden overgemaakt</w:t>
      </w:r>
      <w:r w:rsidRPr="00285D90">
        <w:rPr>
          <w:lang w:val="nl-BE"/>
        </w:rPr>
        <w:t>.</w:t>
      </w:r>
    </w:p>
    <w:p w:rsidR="00B614D1" w:rsidRPr="001F711D" w:rsidRDefault="00EE095A" w:rsidP="00645BC0">
      <w:pPr>
        <w:spacing w:after="120" w:line="276" w:lineRule="auto"/>
        <w:jc w:val="both"/>
        <w:rPr>
          <w:lang w:val="nl-BE"/>
        </w:rPr>
      </w:pPr>
      <w:r>
        <w:rPr>
          <w:color w:val="0070C0"/>
          <w:lang w:val="fr-BE"/>
        </w:rPr>
        <w:pict>
          <v:rect id="_x0000_i1025" style="width:0;height:1.5pt" o:hralign="center" o:hrstd="t" o:hr="t" fillcolor="gray" stroked="f"/>
        </w:pict>
      </w:r>
    </w:p>
    <w:sectPr w:rsidR="00B614D1" w:rsidRPr="001F711D" w:rsidSect="00D850C8">
      <w:headerReference w:type="even" r:id="rId10"/>
      <w:headerReference w:type="default" r:id="rId11"/>
      <w:footerReference w:type="even" r:id="rId12"/>
      <w:footerReference w:type="default" r:id="rId13"/>
      <w:footerReference w:type="first" r:id="rId14"/>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9C" w:rsidRDefault="00FE339C">
      <w:r>
        <w:separator/>
      </w:r>
    </w:p>
  </w:endnote>
  <w:endnote w:type="continuationSeparator" w:id="0">
    <w:p w:rsidR="00FE339C" w:rsidRDefault="00FE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76" w:rsidRPr="00FE339C" w:rsidRDefault="00FE339C" w:rsidP="00E87276">
    <w:pPr>
      <w:pStyle w:val="Footer"/>
      <w:pBdr>
        <w:top w:val="single" w:sz="4" w:space="1" w:color="auto"/>
      </w:pBdr>
      <w:rPr>
        <w:b/>
        <w:sz w:val="16"/>
        <w:szCs w:val="16"/>
        <w:lang w:val="nl-BE"/>
      </w:rPr>
    </w:pPr>
    <w:r w:rsidRPr="00D75F5A">
      <w:rPr>
        <w:b/>
        <w:sz w:val="16"/>
        <w:szCs w:val="16"/>
        <w:lang w:val="nl-BE"/>
      </w:rPr>
      <w:t>Bijlage 2</w:t>
    </w:r>
    <w:r w:rsidRPr="00D75F5A">
      <w:rPr>
        <w:rFonts w:cs="Arial"/>
        <w:b/>
        <w:sz w:val="16"/>
        <w:szCs w:val="16"/>
        <w:lang w:val="nl-BE"/>
      </w:rPr>
      <w:t> </w:t>
    </w:r>
    <w:r w:rsidRPr="00D75F5A">
      <w:rPr>
        <w:rFonts w:cs="Arial"/>
        <w:b/>
        <w:sz w:val="16"/>
        <w:szCs w:val="16"/>
        <w:lang w:val="nl-BE"/>
      </w:rPr>
      <w:t>–</w:t>
    </w:r>
    <w:r w:rsidRPr="00D75F5A">
      <w:rPr>
        <w:rFonts w:cs="Arial"/>
        <w:b/>
        <w:sz w:val="16"/>
        <w:szCs w:val="16"/>
        <w:lang w:val="nl-BE"/>
      </w:rPr>
      <w:t> </w:t>
    </w:r>
    <w:r w:rsidRPr="00D75F5A">
      <w:rPr>
        <w:b/>
        <w:sz w:val="16"/>
        <w:szCs w:val="16"/>
        <w:lang w:val="nl-BE"/>
      </w:rPr>
      <w:t xml:space="preserve">Blz. </w:t>
    </w:r>
    <w:r w:rsidR="004E1221" w:rsidRPr="00D75F5A">
      <w:rPr>
        <w:b/>
        <w:sz w:val="16"/>
        <w:szCs w:val="16"/>
        <w:lang w:val="nl-BE"/>
      </w:rPr>
      <w:fldChar w:fldCharType="begin"/>
    </w:r>
    <w:r w:rsidRPr="00D75F5A">
      <w:rPr>
        <w:b/>
        <w:sz w:val="16"/>
        <w:szCs w:val="16"/>
        <w:lang w:val="nl-BE"/>
      </w:rPr>
      <w:instrText xml:space="preserve"> PAGE   </w:instrText>
    </w:r>
    <w:r w:rsidR="004E1221" w:rsidRPr="00D75F5A">
      <w:rPr>
        <w:b/>
        <w:sz w:val="16"/>
        <w:szCs w:val="16"/>
        <w:lang w:val="nl-BE"/>
      </w:rPr>
      <w:fldChar w:fldCharType="separate"/>
    </w:r>
    <w:r w:rsidR="00EE095A">
      <w:rPr>
        <w:b/>
        <w:noProof/>
        <w:sz w:val="16"/>
        <w:szCs w:val="16"/>
        <w:lang w:val="nl-BE"/>
      </w:rPr>
      <w:t>2</w:t>
    </w:r>
    <w:r w:rsidR="004E1221" w:rsidRPr="00D75F5A">
      <w:rPr>
        <w:b/>
        <w:sz w:val="16"/>
        <w:szCs w:val="16"/>
        <w:lang w:val="nl-BE"/>
      </w:rPr>
      <w:fldChar w:fldCharType="end"/>
    </w:r>
    <w:r w:rsidRPr="00D75F5A">
      <w:rPr>
        <w:b/>
        <w:sz w:val="16"/>
        <w:szCs w:val="16"/>
        <w:lang w:val="nl-BE"/>
      </w:rPr>
      <w:t>/</w:t>
    </w:r>
    <w:r w:rsidR="004E1221" w:rsidRPr="00D75F5A">
      <w:rPr>
        <w:b/>
        <w:sz w:val="16"/>
        <w:szCs w:val="16"/>
        <w:lang w:val="nl-BE"/>
      </w:rPr>
      <w:fldChar w:fldCharType="begin"/>
    </w:r>
    <w:r w:rsidRPr="00D75F5A">
      <w:rPr>
        <w:b/>
        <w:sz w:val="16"/>
        <w:szCs w:val="16"/>
        <w:lang w:val="nl-BE"/>
      </w:rPr>
      <w:instrText xml:space="preserve"> NUMPAGES   </w:instrText>
    </w:r>
    <w:r w:rsidR="004E1221" w:rsidRPr="00D75F5A">
      <w:rPr>
        <w:b/>
        <w:sz w:val="16"/>
        <w:szCs w:val="16"/>
        <w:lang w:val="nl-BE"/>
      </w:rPr>
      <w:fldChar w:fldCharType="separate"/>
    </w:r>
    <w:r w:rsidR="00EE095A">
      <w:rPr>
        <w:b/>
        <w:noProof/>
        <w:sz w:val="16"/>
        <w:szCs w:val="16"/>
        <w:lang w:val="nl-BE"/>
      </w:rPr>
      <w:t>8</w:t>
    </w:r>
    <w:r w:rsidR="004E1221" w:rsidRPr="00D75F5A">
      <w:rPr>
        <w:b/>
        <w:sz w:val="16"/>
        <w:szCs w:val="16"/>
        <w:lang w:val="nl-BE"/>
      </w:rPr>
      <w:fldChar w:fldCharType="end"/>
    </w:r>
    <w:r w:rsidRPr="00D75F5A">
      <w:rPr>
        <w:b/>
        <w:sz w:val="16"/>
        <w:szCs w:val="16"/>
        <w:lang w:val="nl-BE"/>
      </w:rPr>
      <w:tab/>
    </w:r>
    <w:r w:rsidR="00760BEE" w:rsidRPr="00AC692F">
      <w:rPr>
        <w:sz w:val="14"/>
        <w:szCs w:val="16"/>
        <w:lang w:val="nl-BE"/>
      </w:rPr>
      <w:t>NBB_2016_42</w:t>
    </w:r>
    <w:r w:rsidR="00760BEE" w:rsidRPr="00AC692F">
      <w:rPr>
        <w:rFonts w:cs="Arial"/>
        <w:sz w:val="14"/>
        <w:szCs w:val="16"/>
        <w:lang w:val="nl-BE"/>
      </w:rPr>
      <w:t> </w:t>
    </w:r>
    <w:r w:rsidR="00760BEE" w:rsidRPr="00AC692F">
      <w:rPr>
        <w:rFonts w:cs="Arial"/>
        <w:sz w:val="14"/>
        <w:szCs w:val="16"/>
        <w:lang w:val="nl-BE"/>
      </w:rPr>
      <w:t>–</w:t>
    </w:r>
    <w:r w:rsidR="00760BEE" w:rsidRPr="00AC692F">
      <w:rPr>
        <w:rFonts w:cs="Arial"/>
        <w:sz w:val="14"/>
        <w:szCs w:val="16"/>
        <w:lang w:val="nl-BE"/>
      </w:rPr>
      <w:t> </w:t>
    </w:r>
    <w:r w:rsidR="00760BEE" w:rsidRPr="00AC692F">
      <w:rPr>
        <w:sz w:val="14"/>
        <w:szCs w:val="16"/>
        <w:lang w:val="nl-BE"/>
      </w:rPr>
      <w:t>26 oktober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Pr="00FE339C" w:rsidRDefault="00FE339C" w:rsidP="00F64E38">
    <w:pPr>
      <w:pStyle w:val="Footer"/>
      <w:pBdr>
        <w:top w:val="single" w:sz="4" w:space="1" w:color="auto"/>
      </w:pBdr>
      <w:rPr>
        <w:b/>
        <w:sz w:val="16"/>
        <w:szCs w:val="14"/>
        <w:lang w:val="nl-BE"/>
      </w:rPr>
    </w:pPr>
    <w:r>
      <w:rPr>
        <w:b/>
        <w:sz w:val="16"/>
        <w:szCs w:val="14"/>
        <w:lang w:val="nl-BE"/>
      </w:rPr>
      <w:tab/>
    </w:r>
    <w:r w:rsidR="00760BEE" w:rsidRPr="00AC692F">
      <w:rPr>
        <w:sz w:val="14"/>
        <w:szCs w:val="16"/>
        <w:lang w:val="nl-BE"/>
      </w:rPr>
      <w:t>NBB_2016_42</w:t>
    </w:r>
    <w:r w:rsidR="00760BEE" w:rsidRPr="00AC692F">
      <w:rPr>
        <w:rFonts w:cs="Arial"/>
        <w:sz w:val="14"/>
        <w:szCs w:val="16"/>
        <w:lang w:val="nl-BE"/>
      </w:rPr>
      <w:t> </w:t>
    </w:r>
    <w:r w:rsidR="00760BEE" w:rsidRPr="00AC692F">
      <w:rPr>
        <w:rFonts w:cs="Arial"/>
        <w:sz w:val="14"/>
        <w:szCs w:val="16"/>
        <w:lang w:val="nl-BE"/>
      </w:rPr>
      <w:t>–</w:t>
    </w:r>
    <w:r w:rsidR="00760BEE" w:rsidRPr="00AC692F">
      <w:rPr>
        <w:rFonts w:cs="Arial"/>
        <w:sz w:val="14"/>
        <w:szCs w:val="16"/>
        <w:lang w:val="nl-BE"/>
      </w:rPr>
      <w:t> </w:t>
    </w:r>
    <w:r w:rsidR="00760BEE" w:rsidRPr="00AC692F">
      <w:rPr>
        <w:sz w:val="14"/>
        <w:szCs w:val="16"/>
        <w:lang w:val="nl-BE"/>
      </w:rPr>
      <w:t>26 oktober 2016</w:t>
    </w:r>
    <w:r w:rsidRPr="00D75F5A">
      <w:rPr>
        <w:b/>
        <w:sz w:val="16"/>
        <w:szCs w:val="14"/>
        <w:lang w:val="nl-BE"/>
      </w:rPr>
      <w:tab/>
      <w:t>Bijlage 2</w:t>
    </w:r>
    <w:r w:rsidRPr="00D75F5A">
      <w:rPr>
        <w:rFonts w:cs="Arial"/>
        <w:b/>
        <w:sz w:val="16"/>
        <w:szCs w:val="14"/>
        <w:lang w:val="nl-BE"/>
      </w:rPr>
      <w:t> </w:t>
    </w:r>
    <w:r w:rsidRPr="00D75F5A">
      <w:rPr>
        <w:rFonts w:cs="Arial"/>
        <w:b/>
        <w:sz w:val="16"/>
        <w:szCs w:val="14"/>
        <w:lang w:val="nl-BE"/>
      </w:rPr>
      <w:t>–</w:t>
    </w:r>
    <w:r w:rsidRPr="00D75F5A">
      <w:rPr>
        <w:rFonts w:cs="Arial"/>
        <w:b/>
        <w:sz w:val="16"/>
        <w:szCs w:val="14"/>
        <w:lang w:val="nl-BE"/>
      </w:rPr>
      <w:t> </w:t>
    </w:r>
    <w:r w:rsidRPr="00D75F5A">
      <w:rPr>
        <w:b/>
        <w:sz w:val="16"/>
        <w:szCs w:val="14"/>
        <w:lang w:val="nl-BE"/>
      </w:rPr>
      <w:t xml:space="preserve">Blz. </w:t>
    </w:r>
    <w:r w:rsidR="004E1221" w:rsidRPr="00D75F5A">
      <w:rPr>
        <w:b/>
        <w:sz w:val="16"/>
        <w:szCs w:val="14"/>
        <w:lang w:val="nl-BE"/>
      </w:rPr>
      <w:fldChar w:fldCharType="begin"/>
    </w:r>
    <w:r w:rsidRPr="00D75F5A">
      <w:rPr>
        <w:b/>
        <w:sz w:val="16"/>
        <w:szCs w:val="14"/>
        <w:lang w:val="nl-BE"/>
      </w:rPr>
      <w:instrText xml:space="preserve"> PAGE   </w:instrText>
    </w:r>
    <w:r w:rsidR="004E1221" w:rsidRPr="00D75F5A">
      <w:rPr>
        <w:b/>
        <w:sz w:val="16"/>
        <w:szCs w:val="14"/>
        <w:lang w:val="nl-BE"/>
      </w:rPr>
      <w:fldChar w:fldCharType="separate"/>
    </w:r>
    <w:r w:rsidR="00EE095A">
      <w:rPr>
        <w:b/>
        <w:noProof/>
        <w:sz w:val="16"/>
        <w:szCs w:val="14"/>
        <w:lang w:val="nl-BE"/>
      </w:rPr>
      <w:t>7</w:t>
    </w:r>
    <w:r w:rsidR="004E1221" w:rsidRPr="00D75F5A">
      <w:rPr>
        <w:b/>
        <w:sz w:val="16"/>
        <w:szCs w:val="14"/>
        <w:lang w:val="nl-BE"/>
      </w:rPr>
      <w:fldChar w:fldCharType="end"/>
    </w:r>
    <w:r w:rsidRPr="00D75F5A">
      <w:rPr>
        <w:b/>
        <w:sz w:val="16"/>
        <w:szCs w:val="14"/>
        <w:lang w:val="nl-BE"/>
      </w:rPr>
      <w:t>/</w:t>
    </w:r>
    <w:r w:rsidR="004E1221" w:rsidRPr="00D75F5A">
      <w:rPr>
        <w:b/>
        <w:sz w:val="16"/>
        <w:szCs w:val="14"/>
        <w:lang w:val="nl-BE"/>
      </w:rPr>
      <w:fldChar w:fldCharType="begin"/>
    </w:r>
    <w:r w:rsidRPr="00D75F5A">
      <w:rPr>
        <w:b/>
        <w:sz w:val="16"/>
        <w:szCs w:val="14"/>
        <w:lang w:val="nl-BE"/>
      </w:rPr>
      <w:instrText xml:space="preserve"> NUMPAGES   </w:instrText>
    </w:r>
    <w:r w:rsidR="004E1221" w:rsidRPr="00D75F5A">
      <w:rPr>
        <w:b/>
        <w:sz w:val="16"/>
        <w:szCs w:val="14"/>
        <w:lang w:val="nl-BE"/>
      </w:rPr>
      <w:fldChar w:fldCharType="separate"/>
    </w:r>
    <w:r w:rsidR="00EE095A">
      <w:rPr>
        <w:b/>
        <w:noProof/>
        <w:sz w:val="16"/>
        <w:szCs w:val="14"/>
        <w:lang w:val="nl-BE"/>
      </w:rPr>
      <w:t>7</w:t>
    </w:r>
    <w:r w:rsidR="004E1221" w:rsidRPr="00D75F5A">
      <w:rPr>
        <w:b/>
        <w:sz w:val="16"/>
        <w:szCs w:val="14"/>
        <w:lang w:val="nl-B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Pr="00FE339C" w:rsidRDefault="00FE339C" w:rsidP="00CB2202">
    <w:pPr>
      <w:pStyle w:val="Footer"/>
      <w:pBdr>
        <w:top w:val="single" w:sz="4" w:space="1" w:color="auto"/>
      </w:pBdr>
      <w:rPr>
        <w:b/>
        <w:sz w:val="16"/>
        <w:szCs w:val="16"/>
        <w:lang w:val="nl-BE"/>
      </w:rPr>
    </w:pPr>
    <w:r>
      <w:rPr>
        <w:b/>
        <w:sz w:val="16"/>
        <w:szCs w:val="16"/>
        <w:lang w:val="nl-BE"/>
      </w:rPr>
      <w:tab/>
    </w:r>
    <w:r w:rsidR="00AA0606" w:rsidRPr="00AC692F">
      <w:rPr>
        <w:sz w:val="14"/>
        <w:szCs w:val="16"/>
        <w:lang w:val="nl-BE"/>
      </w:rPr>
      <w:t>NBB_201</w:t>
    </w:r>
    <w:r w:rsidR="002A4DA8" w:rsidRPr="00AC692F">
      <w:rPr>
        <w:sz w:val="14"/>
        <w:szCs w:val="16"/>
        <w:lang w:val="nl-BE"/>
      </w:rPr>
      <w:t>6</w:t>
    </w:r>
    <w:r w:rsidR="00AA0606" w:rsidRPr="00AC692F">
      <w:rPr>
        <w:sz w:val="14"/>
        <w:szCs w:val="16"/>
        <w:lang w:val="nl-BE"/>
      </w:rPr>
      <w:t>_</w:t>
    </w:r>
    <w:r w:rsidR="00AC692F" w:rsidRPr="00AC692F">
      <w:rPr>
        <w:sz w:val="14"/>
        <w:szCs w:val="16"/>
        <w:lang w:val="nl-BE"/>
      </w:rPr>
      <w:t>42</w:t>
    </w:r>
    <w:r w:rsidR="00AA0606" w:rsidRPr="00AC692F">
      <w:rPr>
        <w:rFonts w:cs="Arial"/>
        <w:sz w:val="14"/>
        <w:szCs w:val="16"/>
        <w:lang w:val="nl-BE"/>
      </w:rPr>
      <w:t> </w:t>
    </w:r>
    <w:r w:rsidR="00AA0606" w:rsidRPr="00AC692F">
      <w:rPr>
        <w:rFonts w:cs="Arial"/>
        <w:sz w:val="14"/>
        <w:szCs w:val="16"/>
        <w:lang w:val="nl-BE"/>
      </w:rPr>
      <w:t>–</w:t>
    </w:r>
    <w:r w:rsidR="00AA0606" w:rsidRPr="00AC692F">
      <w:rPr>
        <w:rFonts w:cs="Arial"/>
        <w:sz w:val="14"/>
        <w:szCs w:val="16"/>
        <w:lang w:val="nl-BE"/>
      </w:rPr>
      <w:t> </w:t>
    </w:r>
    <w:r w:rsidR="00AC692F" w:rsidRPr="00AC692F">
      <w:rPr>
        <w:sz w:val="14"/>
        <w:szCs w:val="16"/>
        <w:lang w:val="nl-BE"/>
      </w:rPr>
      <w:t xml:space="preserve">26 oktober </w:t>
    </w:r>
    <w:r w:rsidR="00AA0606" w:rsidRPr="00AC692F">
      <w:rPr>
        <w:sz w:val="14"/>
        <w:szCs w:val="16"/>
        <w:lang w:val="nl-BE"/>
      </w:rPr>
      <w:t>201</w:t>
    </w:r>
    <w:r w:rsidR="002A4DA8" w:rsidRPr="00AC692F">
      <w:rPr>
        <w:sz w:val="14"/>
        <w:szCs w:val="16"/>
        <w:lang w:val="nl-BE"/>
      </w:rPr>
      <w:t>6</w:t>
    </w:r>
    <w:r w:rsidRPr="00D75F5A">
      <w:rPr>
        <w:b/>
        <w:sz w:val="16"/>
        <w:szCs w:val="16"/>
        <w:lang w:val="nl-BE"/>
      </w:rPr>
      <w:tab/>
      <w:t>Bijlage 2</w:t>
    </w:r>
    <w:r w:rsidRPr="00D75F5A">
      <w:rPr>
        <w:rFonts w:cs="Arial"/>
        <w:b/>
        <w:sz w:val="16"/>
        <w:szCs w:val="16"/>
        <w:lang w:val="nl-BE"/>
      </w:rPr>
      <w:t> </w:t>
    </w:r>
    <w:r w:rsidRPr="00D75F5A">
      <w:rPr>
        <w:rFonts w:cs="Arial"/>
        <w:b/>
        <w:sz w:val="16"/>
        <w:szCs w:val="16"/>
        <w:lang w:val="nl-BE"/>
      </w:rPr>
      <w:t>–</w:t>
    </w:r>
    <w:r w:rsidRPr="00D75F5A">
      <w:rPr>
        <w:rFonts w:cs="Arial"/>
        <w:b/>
        <w:sz w:val="16"/>
        <w:szCs w:val="16"/>
        <w:lang w:val="nl-BE"/>
      </w:rPr>
      <w:t> </w:t>
    </w:r>
    <w:r w:rsidRPr="00D75F5A">
      <w:rPr>
        <w:b/>
        <w:sz w:val="16"/>
        <w:szCs w:val="16"/>
        <w:lang w:val="nl-BE"/>
      </w:rPr>
      <w:t xml:space="preserve">Blz. </w:t>
    </w:r>
    <w:r w:rsidR="004E1221" w:rsidRPr="00D75F5A">
      <w:rPr>
        <w:b/>
        <w:sz w:val="16"/>
        <w:szCs w:val="16"/>
        <w:lang w:val="nl-BE"/>
      </w:rPr>
      <w:fldChar w:fldCharType="begin"/>
    </w:r>
    <w:r w:rsidRPr="00D75F5A">
      <w:rPr>
        <w:b/>
        <w:sz w:val="16"/>
        <w:szCs w:val="16"/>
        <w:lang w:val="nl-BE"/>
      </w:rPr>
      <w:instrText xml:space="preserve"> PAGE   </w:instrText>
    </w:r>
    <w:r w:rsidR="004E1221" w:rsidRPr="00D75F5A">
      <w:rPr>
        <w:b/>
        <w:sz w:val="16"/>
        <w:szCs w:val="16"/>
        <w:lang w:val="nl-BE"/>
      </w:rPr>
      <w:fldChar w:fldCharType="separate"/>
    </w:r>
    <w:r w:rsidR="00EE095A">
      <w:rPr>
        <w:b/>
        <w:noProof/>
        <w:sz w:val="16"/>
        <w:szCs w:val="16"/>
        <w:lang w:val="nl-BE"/>
      </w:rPr>
      <w:t>1</w:t>
    </w:r>
    <w:r w:rsidR="004E1221" w:rsidRPr="00D75F5A">
      <w:rPr>
        <w:b/>
        <w:sz w:val="16"/>
        <w:szCs w:val="16"/>
        <w:lang w:val="nl-BE"/>
      </w:rPr>
      <w:fldChar w:fldCharType="end"/>
    </w:r>
    <w:r w:rsidRPr="00D75F5A">
      <w:rPr>
        <w:b/>
        <w:sz w:val="16"/>
        <w:szCs w:val="16"/>
        <w:lang w:val="nl-BE"/>
      </w:rPr>
      <w:t>/</w:t>
    </w:r>
    <w:r w:rsidR="004E1221" w:rsidRPr="00D75F5A">
      <w:rPr>
        <w:b/>
        <w:sz w:val="16"/>
        <w:szCs w:val="16"/>
        <w:lang w:val="nl-BE"/>
      </w:rPr>
      <w:fldChar w:fldCharType="begin"/>
    </w:r>
    <w:r w:rsidRPr="00D75F5A">
      <w:rPr>
        <w:b/>
        <w:sz w:val="16"/>
        <w:szCs w:val="16"/>
        <w:lang w:val="nl-BE"/>
      </w:rPr>
      <w:instrText xml:space="preserve"> NUMPAGES   </w:instrText>
    </w:r>
    <w:r w:rsidR="004E1221" w:rsidRPr="00D75F5A">
      <w:rPr>
        <w:b/>
        <w:sz w:val="16"/>
        <w:szCs w:val="16"/>
        <w:lang w:val="nl-BE"/>
      </w:rPr>
      <w:fldChar w:fldCharType="separate"/>
    </w:r>
    <w:r w:rsidR="00EE095A">
      <w:rPr>
        <w:b/>
        <w:noProof/>
        <w:sz w:val="16"/>
        <w:szCs w:val="16"/>
        <w:lang w:val="nl-BE"/>
      </w:rPr>
      <w:t>8</w:t>
    </w:r>
    <w:r w:rsidR="004E1221" w:rsidRPr="00D75F5A">
      <w:rPr>
        <w:b/>
        <w:sz w:val="16"/>
        <w:szCs w:val="16"/>
        <w:lang w:val="nl-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9C" w:rsidRPr="00117F31" w:rsidRDefault="00FE339C" w:rsidP="00117F31">
      <w:pPr>
        <w:pStyle w:val="Footer"/>
      </w:pPr>
    </w:p>
  </w:footnote>
  <w:footnote w:type="continuationSeparator" w:id="0">
    <w:p w:rsidR="00FE339C" w:rsidRPr="00117F31" w:rsidRDefault="00FE339C" w:rsidP="00117F31">
      <w:pPr>
        <w:pStyle w:val="Footer"/>
      </w:pPr>
    </w:p>
  </w:footnote>
  <w:footnote w:type="continuationNotice" w:id="1">
    <w:p w:rsidR="00FE339C" w:rsidRDefault="00FE339C"/>
  </w:footnote>
  <w:footnote w:id="2">
    <w:p w:rsidR="00FE339C" w:rsidRPr="009E1DCE" w:rsidRDefault="00FE339C" w:rsidP="00645BC0">
      <w:pPr>
        <w:pStyle w:val="FootnoteText"/>
        <w:spacing w:after="60"/>
        <w:ind w:left="567" w:hanging="567"/>
        <w:jc w:val="both"/>
        <w:rPr>
          <w:lang w:val="en-US"/>
        </w:rPr>
      </w:pPr>
      <w:r>
        <w:rPr>
          <w:rStyle w:val="FootnoteReference"/>
        </w:rPr>
        <w:footnoteRef/>
      </w:r>
      <w:r>
        <w:t xml:space="preserve"> </w:t>
      </w:r>
      <w:r>
        <w:tab/>
        <w:t xml:space="preserve">cf. </w:t>
      </w:r>
      <w:r>
        <w:tab/>
      </w:r>
      <w:hyperlink r:id="rId1" w:history="1">
        <w:r w:rsidRPr="005D0425">
          <w:rPr>
            <w:rStyle w:val="Hyperlink"/>
          </w:rPr>
          <w:t>http://www.fatf-gafi.org/media/fatf/documents/recommendations/pdfs/FATF_Recommendations.pdf</w:t>
        </w:r>
      </w:hyperlink>
    </w:p>
  </w:footnote>
  <w:footnote w:id="3">
    <w:p w:rsidR="00FE339C" w:rsidRPr="005D0425" w:rsidRDefault="00FE339C" w:rsidP="00645BC0">
      <w:pPr>
        <w:pStyle w:val="FootnoteText"/>
        <w:spacing w:after="60"/>
        <w:ind w:left="567" w:hanging="567"/>
        <w:jc w:val="both"/>
      </w:pPr>
      <w:r>
        <w:rPr>
          <w:rStyle w:val="FootnoteReference"/>
        </w:rPr>
        <w:footnoteRef/>
      </w:r>
      <w:r>
        <w:t xml:space="preserve"> </w:t>
      </w:r>
      <w:r>
        <w:tab/>
        <w:t xml:space="preserve">cf. </w:t>
      </w:r>
      <w:r>
        <w:tab/>
      </w:r>
      <w:hyperlink r:id="rId2" w:history="1">
        <w:r w:rsidRPr="005D0425">
          <w:rPr>
            <w:rStyle w:val="Hyperlink"/>
          </w:rPr>
          <w:t>http://www.fatf-gafi.org/media/fatf/documents/methodology/FATF%20Methodology%2022%20Feb%202013.pdf</w:t>
        </w:r>
      </w:hyperlink>
    </w:p>
  </w:footnote>
  <w:footnote w:id="4">
    <w:p w:rsidR="00FE339C" w:rsidRPr="00147503" w:rsidRDefault="00FE339C" w:rsidP="00645BC0">
      <w:pPr>
        <w:pStyle w:val="FootnoteText"/>
        <w:ind w:left="567" w:hanging="567"/>
        <w:jc w:val="both"/>
        <w:rPr>
          <w:lang w:val="en-US"/>
        </w:rPr>
      </w:pPr>
      <w:r>
        <w:rPr>
          <w:rStyle w:val="FootnoteReference"/>
        </w:rPr>
        <w:footnoteRef/>
      </w:r>
      <w:r>
        <w:t xml:space="preserve"> </w:t>
      </w:r>
      <w:r>
        <w:tab/>
      </w:r>
      <w:r w:rsidRPr="00147503">
        <w:rPr>
          <w:lang w:val="en-US"/>
        </w:rPr>
        <w:t xml:space="preserve">cf. </w:t>
      </w:r>
      <w:r w:rsidRPr="00147503">
        <w:rPr>
          <w:lang w:val="en-US"/>
        </w:rPr>
        <w:tab/>
      </w:r>
      <w:r w:rsidR="0087226E">
        <w:t xml:space="preserve"> </w:t>
      </w:r>
      <w:r w:rsidR="000F3B92" w:rsidRPr="000F3B92">
        <w:t>http://eur-lex.europa.eu/legal-content/NL/TXT/PDF/?uri=CELEX:32015L0849&amp;from=NL</w:t>
      </w:r>
    </w:p>
  </w:footnote>
  <w:footnote w:id="5">
    <w:p w:rsidR="00FE339C" w:rsidRPr="00A758DB" w:rsidRDefault="00FE339C" w:rsidP="00645BC0">
      <w:pPr>
        <w:autoSpaceDE w:val="0"/>
        <w:autoSpaceDN w:val="0"/>
        <w:adjustRightInd w:val="0"/>
        <w:spacing w:after="60" w:line="240" w:lineRule="auto"/>
        <w:ind w:left="567" w:hanging="567"/>
        <w:jc w:val="both"/>
        <w:rPr>
          <w:sz w:val="16"/>
          <w:szCs w:val="16"/>
          <w:lang w:val="nl-BE"/>
        </w:rPr>
      </w:pPr>
      <w:r w:rsidRPr="005C4592">
        <w:rPr>
          <w:rStyle w:val="FootnoteReference"/>
        </w:rPr>
        <w:footnoteRef/>
      </w:r>
      <w:r w:rsidRPr="005C4592">
        <w:rPr>
          <w:sz w:val="16"/>
          <w:szCs w:val="16"/>
          <w:lang w:val="fr-BE"/>
        </w:rPr>
        <w:t xml:space="preserve"> </w:t>
      </w:r>
      <w:r w:rsidRPr="005C4592">
        <w:rPr>
          <w:sz w:val="16"/>
          <w:szCs w:val="16"/>
          <w:lang w:val="fr-BE"/>
        </w:rPr>
        <w:tab/>
      </w:r>
      <w:r w:rsidRPr="00A758DB">
        <w:rPr>
          <w:sz w:val="16"/>
          <w:szCs w:val="16"/>
          <w:lang w:val="nl-BE"/>
        </w:rPr>
        <w:t xml:space="preserve">Wet van </w:t>
      </w:r>
      <w:r w:rsidR="0087226E">
        <w:rPr>
          <w:sz w:val="16"/>
          <w:szCs w:val="16"/>
          <w:lang w:val="nl-BE"/>
        </w:rPr>
        <w:t>25 april 2014</w:t>
      </w:r>
      <w:r w:rsidRPr="00A758DB">
        <w:rPr>
          <w:sz w:val="16"/>
          <w:szCs w:val="16"/>
          <w:lang w:val="nl-BE"/>
        </w:rPr>
        <w:t xml:space="preserve"> op het statuut van en het toezicht op  kredietinstellingen, artikel </w:t>
      </w:r>
      <w:r w:rsidR="007A2A6A">
        <w:rPr>
          <w:sz w:val="16"/>
          <w:szCs w:val="16"/>
          <w:lang w:val="nl-BE"/>
        </w:rPr>
        <w:t>13</w:t>
      </w:r>
      <w:r w:rsidR="00DE7328">
        <w:rPr>
          <w:sz w:val="16"/>
          <w:szCs w:val="16"/>
          <w:lang w:val="nl-BE"/>
        </w:rPr>
        <w:t>5</w:t>
      </w:r>
      <w:r w:rsidR="007A2A6A">
        <w:rPr>
          <w:sz w:val="16"/>
          <w:szCs w:val="16"/>
          <w:lang w:val="nl-BE"/>
        </w:rPr>
        <w:t xml:space="preserve">, </w:t>
      </w:r>
      <w:r w:rsidR="00DE7328">
        <w:rPr>
          <w:sz w:val="16"/>
          <w:szCs w:val="16"/>
          <w:lang w:val="nl-BE"/>
        </w:rPr>
        <w:t>lid 1</w:t>
      </w:r>
      <w:r w:rsidRPr="00A758DB">
        <w:rPr>
          <w:sz w:val="16"/>
          <w:szCs w:val="16"/>
          <w:lang w:val="nl-BE"/>
        </w:rPr>
        <w:t>;</w:t>
      </w:r>
    </w:p>
    <w:p w:rsidR="00FE339C" w:rsidRPr="00A758DB" w:rsidRDefault="00FE339C" w:rsidP="00645BC0">
      <w:pPr>
        <w:autoSpaceDE w:val="0"/>
        <w:autoSpaceDN w:val="0"/>
        <w:adjustRightInd w:val="0"/>
        <w:spacing w:after="60" w:line="240" w:lineRule="auto"/>
        <w:ind w:left="567" w:hanging="567"/>
        <w:jc w:val="both"/>
        <w:rPr>
          <w:rStyle w:val="FootnoteReference"/>
          <w:lang w:val="nl-BE"/>
        </w:rPr>
      </w:pPr>
      <w:r w:rsidRPr="00A758DB">
        <w:rPr>
          <w:sz w:val="16"/>
          <w:szCs w:val="16"/>
          <w:lang w:val="nl-BE"/>
        </w:rPr>
        <w:tab/>
      </w:r>
      <w:r w:rsidRPr="00A758DB">
        <w:rPr>
          <w:rStyle w:val="FootnoteReference"/>
          <w:lang w:val="nl-BE"/>
        </w:rPr>
        <w:t xml:space="preserve">Wet van </w:t>
      </w:r>
      <w:r w:rsidR="00155D8B" w:rsidRPr="00155D8B">
        <w:rPr>
          <w:rStyle w:val="FootnoteReference"/>
          <w:lang w:val="nl-BE"/>
        </w:rPr>
        <w:t>13 maart 2016 op het statuut van en het toezicht op de verzekerings- of herverzekeringsondernemingen</w:t>
      </w:r>
      <w:r w:rsidRPr="00A758DB">
        <w:rPr>
          <w:rStyle w:val="FootnoteReference"/>
          <w:lang w:val="nl-BE"/>
        </w:rPr>
        <w:t xml:space="preserve">, </w:t>
      </w:r>
      <w:r w:rsidR="00155D8B" w:rsidRPr="00A758DB">
        <w:rPr>
          <w:rStyle w:val="FootnoteReference"/>
          <w:lang w:val="nl-BE"/>
        </w:rPr>
        <w:t>art</w:t>
      </w:r>
      <w:r w:rsidR="00155D8B">
        <w:rPr>
          <w:rStyle w:val="FootnoteReference"/>
          <w:lang w:val="nl-BE"/>
        </w:rPr>
        <w:t>.</w:t>
      </w:r>
      <w:r w:rsidR="00155D8B" w:rsidRPr="00A758DB">
        <w:rPr>
          <w:rStyle w:val="FootnoteReference"/>
          <w:lang w:val="nl-BE"/>
        </w:rPr>
        <w:t xml:space="preserve"> </w:t>
      </w:r>
      <w:r w:rsidR="00155D8B">
        <w:rPr>
          <w:rStyle w:val="FootnoteReference"/>
          <w:lang w:val="nl-BE"/>
        </w:rPr>
        <w:t>3</w:t>
      </w:r>
      <w:r w:rsidR="00155D8B" w:rsidRPr="00F40876">
        <w:rPr>
          <w:rStyle w:val="FootnoteReference"/>
        </w:rPr>
        <w:t>04</w:t>
      </w:r>
      <w:r w:rsidRPr="00A758DB">
        <w:rPr>
          <w:rStyle w:val="FootnoteReference"/>
          <w:lang w:val="nl-BE"/>
        </w:rPr>
        <w:t xml:space="preserve">, </w:t>
      </w:r>
      <w:r w:rsidR="00155D8B">
        <w:rPr>
          <w:rStyle w:val="FootnoteReference"/>
          <w:lang w:val="nl-BE"/>
        </w:rPr>
        <w:t>l</w:t>
      </w:r>
      <w:r w:rsidR="00155D8B" w:rsidRPr="00F40876">
        <w:rPr>
          <w:rStyle w:val="FootnoteReference"/>
        </w:rPr>
        <w:t>id 1</w:t>
      </w:r>
      <w:r w:rsidRPr="00A758DB">
        <w:rPr>
          <w:rStyle w:val="FootnoteReference"/>
          <w:lang w:val="nl-BE"/>
        </w:rPr>
        <w:t>;</w:t>
      </w:r>
    </w:p>
    <w:p w:rsidR="00FE339C" w:rsidRPr="00A758DB" w:rsidRDefault="00FE339C" w:rsidP="00645BC0">
      <w:pPr>
        <w:autoSpaceDE w:val="0"/>
        <w:autoSpaceDN w:val="0"/>
        <w:adjustRightInd w:val="0"/>
        <w:spacing w:after="60" w:line="240" w:lineRule="auto"/>
        <w:ind w:left="567" w:hanging="567"/>
        <w:jc w:val="both"/>
        <w:rPr>
          <w:rStyle w:val="FootnoteReference"/>
          <w:lang w:val="nl-BE"/>
        </w:rPr>
      </w:pPr>
      <w:r w:rsidRPr="00A758DB">
        <w:rPr>
          <w:rStyle w:val="FootnoteReference"/>
          <w:lang w:val="nl-BE"/>
        </w:rPr>
        <w:tab/>
        <w:t>Wet</w:t>
      </w:r>
      <w:r w:rsidR="00DE7328" w:rsidRPr="00F40876">
        <w:rPr>
          <w:rStyle w:val="FootnoteReference"/>
        </w:rPr>
        <w:t xml:space="preserve"> van 6 april 1995</w:t>
      </w:r>
      <w:r w:rsidRPr="00A758DB">
        <w:rPr>
          <w:rStyle w:val="FootnoteReference"/>
          <w:lang w:val="nl-BE"/>
        </w:rPr>
        <w:t xml:space="preserve"> inzake het statuut van en het toezicht op de beleggingsondernemingen, artikel 92, § 4;</w:t>
      </w:r>
    </w:p>
    <w:p w:rsidR="00FE339C" w:rsidRPr="00A758DB" w:rsidRDefault="00FE339C" w:rsidP="00645BC0">
      <w:pPr>
        <w:autoSpaceDE w:val="0"/>
        <w:autoSpaceDN w:val="0"/>
        <w:adjustRightInd w:val="0"/>
        <w:spacing w:after="60" w:line="240" w:lineRule="auto"/>
        <w:ind w:left="567" w:hanging="567"/>
        <w:jc w:val="both"/>
        <w:rPr>
          <w:rStyle w:val="FootnoteReference"/>
          <w:lang w:val="nl-BE"/>
        </w:rPr>
      </w:pPr>
      <w:r w:rsidRPr="00A758DB">
        <w:rPr>
          <w:rStyle w:val="FootnoteReference"/>
          <w:lang w:val="nl-BE"/>
        </w:rPr>
        <w:tab/>
        <w:t>Wet van 22 februari 1998 tot vaststelling van het organiek statuut van de Nationale Bank van</w:t>
      </w:r>
      <w:r>
        <w:rPr>
          <w:rStyle w:val="FootnoteReference"/>
          <w:lang w:val="nl-BE"/>
        </w:rPr>
        <w:t xml:space="preserve"> </w:t>
      </w:r>
      <w:r w:rsidRPr="00A758DB">
        <w:rPr>
          <w:rStyle w:val="FootnoteReference"/>
          <w:lang w:val="nl-BE"/>
        </w:rPr>
        <w:t>België,</w:t>
      </w:r>
      <w:r w:rsidRPr="00A758DB">
        <w:rPr>
          <w:szCs w:val="16"/>
          <w:lang w:val="nl-BE"/>
        </w:rPr>
        <w:t xml:space="preserve"> </w:t>
      </w:r>
      <w:r w:rsidRPr="00A758DB">
        <w:rPr>
          <w:rStyle w:val="FootnoteReference"/>
          <w:lang w:val="nl-BE"/>
        </w:rPr>
        <w:t>artikel 36/29;</w:t>
      </w:r>
    </w:p>
    <w:p w:rsidR="00FE339C" w:rsidRPr="00A758DB" w:rsidRDefault="00FE339C" w:rsidP="00645BC0">
      <w:pPr>
        <w:autoSpaceDE w:val="0"/>
        <w:autoSpaceDN w:val="0"/>
        <w:adjustRightInd w:val="0"/>
        <w:spacing w:after="60" w:line="240" w:lineRule="auto"/>
        <w:ind w:left="284" w:hanging="284"/>
        <w:jc w:val="both"/>
        <w:rPr>
          <w:rStyle w:val="FootnoteReference"/>
          <w:lang w:val="nl-BE"/>
        </w:rPr>
      </w:pPr>
      <w:r w:rsidRPr="00A758DB">
        <w:rPr>
          <w:rStyle w:val="FootnoteReference"/>
          <w:lang w:val="nl-BE"/>
        </w:rPr>
        <w:tab/>
        <w:t>Wet van 21 december 2009 op het statuut van de betalingsinstellingen en van de instellingen voor elektronisch geld, de toegang tot het bedrijf van betalingsdienstaanbieder en tot de activiteit van uitgifte van elektronisch geld en de toegang tot betalingssystemen, artikel 25, derde lid.</w:t>
      </w:r>
    </w:p>
  </w:footnote>
  <w:footnote w:id="6">
    <w:p w:rsidR="00FE339C" w:rsidRPr="00A758DB" w:rsidRDefault="00FE339C" w:rsidP="00645BC0">
      <w:pPr>
        <w:autoSpaceDE w:val="0"/>
        <w:autoSpaceDN w:val="0"/>
        <w:adjustRightInd w:val="0"/>
        <w:spacing w:line="240" w:lineRule="auto"/>
        <w:ind w:left="284" w:hanging="284"/>
        <w:jc w:val="both"/>
        <w:rPr>
          <w:sz w:val="16"/>
          <w:szCs w:val="16"/>
          <w:lang w:val="nl-BE"/>
        </w:rPr>
      </w:pPr>
      <w:r w:rsidRPr="00A758DB">
        <w:rPr>
          <w:rStyle w:val="FootnoteReference"/>
          <w:lang w:val="nl-BE"/>
        </w:rPr>
        <w:footnoteRef/>
      </w:r>
      <w:r w:rsidRPr="00A758DB">
        <w:rPr>
          <w:sz w:val="16"/>
          <w:szCs w:val="16"/>
          <w:lang w:val="nl-BE"/>
        </w:rPr>
        <w:t xml:space="preserve"> </w:t>
      </w:r>
      <w:r w:rsidRPr="00A758DB">
        <w:rPr>
          <w:sz w:val="16"/>
          <w:szCs w:val="16"/>
          <w:lang w:val="nl-BE"/>
        </w:rPr>
        <w:tab/>
        <w:t xml:space="preserve">Wet van 11 januari 1993 </w:t>
      </w:r>
      <w:r w:rsidRPr="00A758DB">
        <w:rPr>
          <w:bCs/>
          <w:sz w:val="16"/>
          <w:szCs w:val="16"/>
          <w:lang w:val="nl-BE"/>
        </w:rPr>
        <w:t>tot voorkoming van het gebruik van het financiële stelsel voor het witwassen van geld en de financiering van terrorisme</w:t>
      </w:r>
      <w:r w:rsidRPr="00A758DB">
        <w:rPr>
          <w:sz w:val="16"/>
          <w:szCs w:val="16"/>
          <w:lang w:val="nl-BE"/>
        </w:rPr>
        <w:t>, artikel 39, § 2, eerste lid.</w:t>
      </w:r>
    </w:p>
  </w:footnote>
  <w:footnote w:id="7">
    <w:p w:rsidR="002A4DA8" w:rsidRPr="00480B8F" w:rsidRDefault="002A4DA8" w:rsidP="00645BC0">
      <w:pPr>
        <w:spacing w:after="120" w:line="276" w:lineRule="auto"/>
        <w:ind w:left="284" w:hanging="284"/>
        <w:jc w:val="both"/>
        <w:rPr>
          <w:sz w:val="16"/>
          <w:szCs w:val="16"/>
          <w:lang w:val="nl-BE"/>
        </w:rPr>
      </w:pPr>
      <w:r w:rsidRPr="00A758DB">
        <w:rPr>
          <w:rStyle w:val="FootnoteReference"/>
          <w:lang w:val="nl-BE"/>
        </w:rPr>
        <w:footnoteRef/>
      </w:r>
      <w:r w:rsidRPr="00A758DB">
        <w:rPr>
          <w:sz w:val="16"/>
          <w:szCs w:val="16"/>
          <w:lang w:val="nl-BE"/>
        </w:rPr>
        <w:t xml:space="preserve"> </w:t>
      </w:r>
      <w:r w:rsidRPr="00A758DB">
        <w:rPr>
          <w:sz w:val="16"/>
          <w:szCs w:val="16"/>
          <w:lang w:val="nl-BE"/>
        </w:rPr>
        <w:tab/>
      </w:r>
      <w:r w:rsidRPr="00480B8F">
        <w:rPr>
          <w:sz w:val="16"/>
          <w:szCs w:val="16"/>
          <w:lang w:val="nl-BE"/>
        </w:rPr>
        <w:t>Vraag 4.2</w:t>
      </w:r>
      <w:r>
        <w:rPr>
          <w:sz w:val="16"/>
          <w:szCs w:val="16"/>
          <w:lang w:val="nl-BE"/>
        </w:rPr>
        <w:t>4</w:t>
      </w:r>
      <w:r w:rsidRPr="00480B8F">
        <w:rPr>
          <w:sz w:val="16"/>
          <w:szCs w:val="16"/>
          <w:lang w:val="nl-BE"/>
        </w:rPr>
        <w:t xml:space="preserve"> houdt bijvoorbeeld de volgende subvragen in:</w:t>
      </w:r>
    </w:p>
    <w:p w:rsidR="002A4DA8" w:rsidRPr="00480B8F" w:rsidRDefault="002A4DA8" w:rsidP="00645BC0">
      <w:pPr>
        <w:pStyle w:val="ListParagraph"/>
        <w:numPr>
          <w:ilvl w:val="0"/>
          <w:numId w:val="39"/>
        </w:numPr>
        <w:spacing w:after="120" w:line="276" w:lineRule="auto"/>
        <w:ind w:left="567" w:hanging="283"/>
        <w:rPr>
          <w:sz w:val="16"/>
          <w:szCs w:val="16"/>
          <w:lang w:val="nl-BE"/>
        </w:rPr>
      </w:pPr>
      <w:r w:rsidRPr="00480B8F">
        <w:rPr>
          <w:i/>
          <w:sz w:val="16"/>
          <w:szCs w:val="16"/>
          <w:lang w:val="nl-BE"/>
        </w:rPr>
        <w:t>Voorzien de interne procedures in de volgende maatregelen</w:t>
      </w:r>
      <w:r>
        <w:rPr>
          <w:i/>
          <w:sz w:val="16"/>
          <w:szCs w:val="16"/>
          <w:lang w:val="nl-BE"/>
        </w:rPr>
        <w:t>:</w:t>
      </w:r>
    </w:p>
    <w:p w:rsidR="002A4DA8" w:rsidRPr="00480B8F" w:rsidRDefault="002A4DA8" w:rsidP="00645BC0">
      <w:pPr>
        <w:pStyle w:val="ListParagraph"/>
        <w:numPr>
          <w:ilvl w:val="2"/>
          <w:numId w:val="39"/>
        </w:numPr>
        <w:spacing w:after="120" w:line="276" w:lineRule="auto"/>
        <w:ind w:left="851" w:hanging="284"/>
        <w:rPr>
          <w:i/>
          <w:sz w:val="16"/>
          <w:szCs w:val="16"/>
          <w:lang w:val="nl-BE"/>
        </w:rPr>
      </w:pPr>
      <w:r w:rsidRPr="00480B8F">
        <w:rPr>
          <w:bCs/>
          <w:i/>
          <w:sz w:val="16"/>
          <w:szCs w:val="16"/>
          <w:lang w:val="nl-BE"/>
        </w:rPr>
        <w:t>het in werking stellen van passende en geschikte procedures in functie van het risico om uit te maken of een cliënt of zijn uiteindelijke begunstigde een politiek prominent persoon is</w:t>
      </w:r>
      <w:r w:rsidRPr="00480B8F">
        <w:rPr>
          <w:i/>
          <w:sz w:val="16"/>
          <w:szCs w:val="16"/>
          <w:lang w:val="nl-BE"/>
        </w:rPr>
        <w:t>;</w:t>
      </w:r>
    </w:p>
    <w:p w:rsidR="002A4DA8" w:rsidRPr="00480B8F" w:rsidRDefault="002A4DA8" w:rsidP="00645BC0">
      <w:pPr>
        <w:pStyle w:val="ListParagraph"/>
        <w:numPr>
          <w:ilvl w:val="2"/>
          <w:numId w:val="39"/>
        </w:numPr>
        <w:spacing w:after="120" w:line="276" w:lineRule="auto"/>
        <w:ind w:left="851" w:hanging="284"/>
        <w:rPr>
          <w:i/>
          <w:sz w:val="16"/>
          <w:szCs w:val="16"/>
          <w:lang w:val="nl-BE"/>
        </w:rPr>
      </w:pPr>
      <w:r w:rsidRPr="00480B8F">
        <w:rPr>
          <w:bCs/>
          <w:i/>
          <w:sz w:val="16"/>
          <w:szCs w:val="16"/>
          <w:lang w:val="nl-BE"/>
        </w:rPr>
        <w:t>het verkrijgen van toestemming van personen op een passend hiërarchisch niveau alvorens zakelijke relaties met dergelijke cliënten aan te gaan;</w:t>
      </w:r>
    </w:p>
    <w:p w:rsidR="002A4DA8" w:rsidRPr="00480B8F" w:rsidRDefault="002A4DA8" w:rsidP="00645BC0">
      <w:pPr>
        <w:pStyle w:val="ListParagraph"/>
        <w:numPr>
          <w:ilvl w:val="2"/>
          <w:numId w:val="39"/>
        </w:numPr>
        <w:spacing w:after="120" w:line="276" w:lineRule="auto"/>
        <w:ind w:left="851" w:hanging="284"/>
        <w:rPr>
          <w:i/>
          <w:sz w:val="16"/>
          <w:szCs w:val="16"/>
          <w:lang w:val="nl-BE"/>
        </w:rPr>
      </w:pPr>
      <w:r w:rsidRPr="00480B8F">
        <w:rPr>
          <w:bCs/>
          <w:i/>
          <w:sz w:val="16"/>
          <w:szCs w:val="16"/>
          <w:lang w:val="nl-BE"/>
        </w:rPr>
        <w:t>het nemen van passende maatregelen naargelang de risicogevoeligheid, om de herkomst van het vermogen en van de fondsen vast te stellen die bij de zakelijke relatie of verrichting worden gebruikt;</w:t>
      </w:r>
    </w:p>
    <w:p w:rsidR="002A4DA8" w:rsidRPr="00480B8F" w:rsidRDefault="002A4DA8" w:rsidP="00645BC0">
      <w:pPr>
        <w:pStyle w:val="ListParagraph"/>
        <w:numPr>
          <w:ilvl w:val="0"/>
          <w:numId w:val="39"/>
        </w:numPr>
        <w:spacing w:after="120" w:line="276" w:lineRule="auto"/>
        <w:ind w:left="567" w:hanging="283"/>
        <w:rPr>
          <w:i/>
          <w:sz w:val="16"/>
          <w:szCs w:val="16"/>
          <w:lang w:val="nl-BE"/>
        </w:rPr>
      </w:pPr>
      <w:r w:rsidRPr="00480B8F">
        <w:rPr>
          <w:i/>
          <w:sz w:val="16"/>
          <w:szCs w:val="16"/>
          <w:lang w:val="nl-BE"/>
        </w:rPr>
        <w:t>Zijn deze procedures van toepassing wanneer een van de volgende personen als politiek prominent persoon moet worden beschouwd:</w:t>
      </w:r>
    </w:p>
    <w:p w:rsidR="002A4DA8" w:rsidRPr="00480B8F" w:rsidRDefault="002A4DA8" w:rsidP="00645BC0">
      <w:pPr>
        <w:pStyle w:val="ListParagraph"/>
        <w:numPr>
          <w:ilvl w:val="2"/>
          <w:numId w:val="39"/>
        </w:numPr>
        <w:spacing w:after="120" w:line="276" w:lineRule="auto"/>
        <w:ind w:left="851" w:hanging="284"/>
        <w:rPr>
          <w:i/>
          <w:sz w:val="16"/>
          <w:szCs w:val="16"/>
          <w:lang w:val="nl-BE"/>
        </w:rPr>
      </w:pPr>
      <w:r w:rsidRPr="00480B8F">
        <w:rPr>
          <w:i/>
          <w:sz w:val="16"/>
          <w:szCs w:val="16"/>
          <w:lang w:val="nl-BE"/>
        </w:rPr>
        <w:t>een cliënt</w:t>
      </w:r>
    </w:p>
    <w:p w:rsidR="002A4DA8" w:rsidRPr="00480B8F" w:rsidRDefault="002A4DA8" w:rsidP="00645BC0">
      <w:pPr>
        <w:pStyle w:val="ListParagraph"/>
        <w:numPr>
          <w:ilvl w:val="2"/>
          <w:numId w:val="39"/>
        </w:numPr>
        <w:spacing w:after="120" w:line="276" w:lineRule="auto"/>
        <w:ind w:left="851" w:hanging="284"/>
        <w:rPr>
          <w:i/>
          <w:sz w:val="16"/>
          <w:szCs w:val="16"/>
          <w:lang w:val="nl-BE"/>
        </w:rPr>
      </w:pPr>
      <w:r w:rsidRPr="00480B8F">
        <w:rPr>
          <w:i/>
          <w:sz w:val="16"/>
          <w:szCs w:val="16"/>
          <w:lang w:val="nl-BE"/>
        </w:rPr>
        <w:t>een lasthebber van de cliënt</w:t>
      </w:r>
    </w:p>
    <w:p w:rsidR="002A4DA8" w:rsidRPr="00480B8F" w:rsidRDefault="002A4DA8" w:rsidP="00645BC0">
      <w:pPr>
        <w:pStyle w:val="ListParagraph"/>
        <w:numPr>
          <w:ilvl w:val="2"/>
          <w:numId w:val="39"/>
        </w:numPr>
        <w:spacing w:after="120" w:line="276" w:lineRule="auto"/>
        <w:ind w:left="851" w:hanging="284"/>
        <w:rPr>
          <w:i/>
          <w:sz w:val="16"/>
          <w:szCs w:val="16"/>
          <w:lang w:val="nl-BE"/>
        </w:rPr>
      </w:pPr>
      <w:r w:rsidRPr="00480B8F">
        <w:rPr>
          <w:i/>
          <w:sz w:val="16"/>
          <w:szCs w:val="16"/>
          <w:lang w:val="nl-BE"/>
        </w:rPr>
        <w:t>een uiteindelijke begunstigde van de cliënt</w:t>
      </w:r>
    </w:p>
    <w:p w:rsidR="002A4DA8" w:rsidRPr="00480B8F" w:rsidRDefault="002A4DA8" w:rsidP="00645BC0">
      <w:pPr>
        <w:spacing w:after="120" w:line="276" w:lineRule="auto"/>
        <w:ind w:left="284"/>
        <w:jc w:val="both"/>
        <w:rPr>
          <w:sz w:val="16"/>
          <w:szCs w:val="16"/>
          <w:lang w:val="nl-BE"/>
        </w:rPr>
      </w:pPr>
      <w:r w:rsidRPr="00480B8F">
        <w:rPr>
          <w:sz w:val="16"/>
          <w:szCs w:val="16"/>
          <w:lang w:val="nl-BE"/>
        </w:rPr>
        <w:t>Deze vraag bestaat dus uit 9 impliciete subvragen, maar er kan maar één enkel antwoord worden gegeven.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Default="00450949" w:rsidP="00E829D6">
    <w:pPr>
      <w:pStyle w:val="Header"/>
      <w:tabs>
        <w:tab w:val="clear" w:pos="4394"/>
        <w:tab w:val="center" w:pos="4395"/>
      </w:tabs>
      <w:rPr>
        <w:lang w:val="nl-BE"/>
      </w:rPr>
    </w:pPr>
  </w:p>
  <w:p w:rsidR="00450949" w:rsidRPr="00BF29ED" w:rsidRDefault="00450949" w:rsidP="00E829D6">
    <w:pPr>
      <w:pStyle w:val="Header"/>
      <w:tabs>
        <w:tab w:val="clear" w:pos="4394"/>
        <w:tab w:val="center" w:pos="4395"/>
      </w:tabs>
      <w:rPr>
        <w:lang w:val="nl-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Default="00450949" w:rsidP="00D850C8">
    <w:pPr>
      <w:pStyle w:val="Header"/>
      <w:rPr>
        <w:lang w:val="nl-BE"/>
      </w:rPr>
    </w:pPr>
  </w:p>
  <w:p w:rsidR="00450949" w:rsidRPr="00D850C8" w:rsidRDefault="00450949" w:rsidP="00D850C8">
    <w:pPr>
      <w:pStyle w:val="Header"/>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C4C596"/>
    <w:lvl w:ilvl="0">
      <w:start w:val="1"/>
      <w:numFmt w:val="decimal"/>
      <w:lvlText w:val="%1."/>
      <w:lvlJc w:val="left"/>
      <w:pPr>
        <w:tabs>
          <w:tab w:val="num" w:pos="1492"/>
        </w:tabs>
        <w:ind w:left="1492" w:hanging="360"/>
      </w:pPr>
    </w:lvl>
  </w:abstractNum>
  <w:abstractNum w:abstractNumId="1">
    <w:nsid w:val="FFFFFF7D"/>
    <w:multiLevelType w:val="singleLevel"/>
    <w:tmpl w:val="B456B8EA"/>
    <w:lvl w:ilvl="0">
      <w:start w:val="1"/>
      <w:numFmt w:val="decimal"/>
      <w:lvlText w:val="%1."/>
      <w:lvlJc w:val="left"/>
      <w:pPr>
        <w:tabs>
          <w:tab w:val="num" w:pos="1209"/>
        </w:tabs>
        <w:ind w:left="1209" w:hanging="360"/>
      </w:pPr>
    </w:lvl>
  </w:abstractNum>
  <w:abstractNum w:abstractNumId="2">
    <w:nsid w:val="FFFFFF7E"/>
    <w:multiLevelType w:val="singleLevel"/>
    <w:tmpl w:val="FB5CC4CE"/>
    <w:lvl w:ilvl="0">
      <w:start w:val="1"/>
      <w:numFmt w:val="decimal"/>
      <w:lvlText w:val="%1."/>
      <w:lvlJc w:val="left"/>
      <w:pPr>
        <w:tabs>
          <w:tab w:val="num" w:pos="926"/>
        </w:tabs>
        <w:ind w:left="926" w:hanging="360"/>
      </w:pPr>
    </w:lvl>
  </w:abstractNum>
  <w:abstractNum w:abstractNumId="3">
    <w:nsid w:val="FFFFFF7F"/>
    <w:multiLevelType w:val="singleLevel"/>
    <w:tmpl w:val="5A54D732"/>
    <w:lvl w:ilvl="0">
      <w:start w:val="1"/>
      <w:numFmt w:val="decimal"/>
      <w:lvlText w:val="%1."/>
      <w:lvlJc w:val="left"/>
      <w:pPr>
        <w:tabs>
          <w:tab w:val="num" w:pos="643"/>
        </w:tabs>
        <w:ind w:left="643" w:hanging="360"/>
      </w:pPr>
    </w:lvl>
  </w:abstractNum>
  <w:abstractNum w:abstractNumId="4">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C288AE"/>
    <w:lvl w:ilvl="0">
      <w:start w:val="1"/>
      <w:numFmt w:val="decimal"/>
      <w:lvlText w:val="%1."/>
      <w:lvlJc w:val="left"/>
      <w:pPr>
        <w:tabs>
          <w:tab w:val="num" w:pos="360"/>
        </w:tabs>
        <w:ind w:left="360" w:hanging="360"/>
      </w:pPr>
    </w:lvl>
  </w:abstractNum>
  <w:abstractNum w:abstractNumId="9">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nsid w:val="025F1506"/>
    <w:multiLevelType w:val="hybridMultilevel"/>
    <w:tmpl w:val="6074B1E0"/>
    <w:lvl w:ilvl="0" w:tplc="0B04FA40">
      <w:start w:val="1"/>
      <w:numFmt w:val="lowerLetter"/>
      <w:lvlText w:val="%1."/>
      <w:lvlJc w:val="left"/>
      <w:pPr>
        <w:ind w:left="1429"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2">
    <w:nsid w:val="09C33116"/>
    <w:multiLevelType w:val="hybridMultilevel"/>
    <w:tmpl w:val="B77A43FC"/>
    <w:lvl w:ilvl="0" w:tplc="F5A41CFE">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B16D64"/>
    <w:multiLevelType w:val="hybridMultilevel"/>
    <w:tmpl w:val="8BBE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FC16BB"/>
    <w:multiLevelType w:val="hybridMultilevel"/>
    <w:tmpl w:val="176A7B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101812C0"/>
    <w:multiLevelType w:val="hybridMultilevel"/>
    <w:tmpl w:val="F99ED40C"/>
    <w:lvl w:ilvl="0" w:tplc="FECA281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7">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8">
    <w:nsid w:val="1BEA1C32"/>
    <w:multiLevelType w:val="hybridMultilevel"/>
    <w:tmpl w:val="A746CF5A"/>
    <w:lvl w:ilvl="0" w:tplc="68B2CEA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1E6C5DD4"/>
    <w:multiLevelType w:val="hybridMultilevel"/>
    <w:tmpl w:val="81AACFF8"/>
    <w:lvl w:ilvl="0" w:tplc="68B2CEA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0852410"/>
    <w:multiLevelType w:val="hybridMultilevel"/>
    <w:tmpl w:val="5C56BC9E"/>
    <w:lvl w:ilvl="0" w:tplc="7D7ED33C">
      <w:start w:val="1"/>
      <w:numFmt w:val="bullet"/>
      <w:lvlText w:val="-"/>
      <w:lvlJc w:val="left"/>
      <w:pPr>
        <w:ind w:left="720" w:hanging="360"/>
      </w:pPr>
      <w:rPr>
        <w:rFonts w:ascii="Arial" w:hAnsi="Arial" w:hint="default"/>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23">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4">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5">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6">
    <w:nsid w:val="38541ABA"/>
    <w:multiLevelType w:val="hybridMultilevel"/>
    <w:tmpl w:val="84588FCA"/>
    <w:lvl w:ilvl="0" w:tplc="AF8E66A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31A6EA1"/>
    <w:multiLevelType w:val="hybridMultilevel"/>
    <w:tmpl w:val="C95ED1D2"/>
    <w:lvl w:ilvl="0" w:tplc="C48CA52A">
      <w:start w:val="1"/>
      <w:numFmt w:val="upperLetter"/>
      <w:lvlText w:val="%1."/>
      <w:lvlJc w:val="left"/>
      <w:pPr>
        <w:ind w:left="1647" w:hanging="360"/>
      </w:pPr>
      <w:rPr>
        <w:rFonts w:hint="default"/>
        <w:b/>
        <w:sz w:val="22"/>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1">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5AC5C77"/>
    <w:multiLevelType w:val="multilevel"/>
    <w:tmpl w:val="B46AF446"/>
    <w:lvl w:ilvl="0">
      <w:start w:val="1"/>
      <w:numFmt w:val="decimal"/>
      <w:lvlText w:val="%1."/>
      <w:lvlJc w:val="left"/>
      <w:pPr>
        <w:ind w:left="720" w:hanging="360"/>
      </w:pPr>
    </w:lvl>
    <w:lvl w:ilvl="1">
      <w:start w:val="1"/>
      <w:numFmt w:val="decimal"/>
      <w:isLgl/>
      <w:lvlText w:val="%1.%2."/>
      <w:lvlJc w:val="left"/>
      <w:pPr>
        <w:ind w:left="1287" w:hanging="720"/>
      </w:pPr>
      <w:rPr>
        <w:rFonts w:hint="default"/>
        <w:b/>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3">
    <w:nsid w:val="56E30052"/>
    <w:multiLevelType w:val="hybridMultilevel"/>
    <w:tmpl w:val="B5A2760A"/>
    <w:lvl w:ilvl="0" w:tplc="F8581210">
      <w:start w:val="1"/>
      <w:numFmt w:val="bullet"/>
      <w:lvlText w:val="-"/>
      <w:lvlJc w:val="left"/>
      <w:pPr>
        <w:ind w:left="720" w:hanging="360"/>
      </w:pPr>
      <w:rPr>
        <w:rFonts w:ascii="Arial" w:hAnsi="Arial" w:hint="default"/>
        <w:b w:val="0"/>
        <w:sz w:val="20"/>
        <w:szCs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6">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5D62239"/>
    <w:multiLevelType w:val="hybridMultilevel"/>
    <w:tmpl w:val="3D24F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B584EA5"/>
    <w:multiLevelType w:val="multilevel"/>
    <w:tmpl w:val="C59A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nsid w:val="6E2A1137"/>
    <w:multiLevelType w:val="hybridMultilevel"/>
    <w:tmpl w:val="B77A43FC"/>
    <w:lvl w:ilvl="0" w:tplc="F5A41CFE">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3CE7AF1"/>
    <w:multiLevelType w:val="hybridMultilevel"/>
    <w:tmpl w:val="785A8588"/>
    <w:lvl w:ilvl="0" w:tplc="F41C627A">
      <w:start w:val="1"/>
      <w:numFmt w:val="lowerLetter"/>
      <w:lvlText w:val="(%1)"/>
      <w:lvlJc w:val="left"/>
      <w:pPr>
        <w:ind w:left="2135" w:hanging="360"/>
      </w:pPr>
      <w:rPr>
        <w:rFonts w:hint="default"/>
      </w:rPr>
    </w:lvl>
    <w:lvl w:ilvl="1" w:tplc="080C0019" w:tentative="1">
      <w:start w:val="1"/>
      <w:numFmt w:val="lowerLetter"/>
      <w:lvlText w:val="%2."/>
      <w:lvlJc w:val="left"/>
      <w:pPr>
        <w:ind w:left="2855" w:hanging="360"/>
      </w:pPr>
    </w:lvl>
    <w:lvl w:ilvl="2" w:tplc="080C001B" w:tentative="1">
      <w:start w:val="1"/>
      <w:numFmt w:val="lowerRoman"/>
      <w:lvlText w:val="%3."/>
      <w:lvlJc w:val="right"/>
      <w:pPr>
        <w:ind w:left="3575" w:hanging="180"/>
      </w:pPr>
    </w:lvl>
    <w:lvl w:ilvl="3" w:tplc="080C000F" w:tentative="1">
      <w:start w:val="1"/>
      <w:numFmt w:val="decimal"/>
      <w:lvlText w:val="%4."/>
      <w:lvlJc w:val="left"/>
      <w:pPr>
        <w:ind w:left="4295" w:hanging="360"/>
      </w:pPr>
    </w:lvl>
    <w:lvl w:ilvl="4" w:tplc="080C0019" w:tentative="1">
      <w:start w:val="1"/>
      <w:numFmt w:val="lowerLetter"/>
      <w:lvlText w:val="%5."/>
      <w:lvlJc w:val="left"/>
      <w:pPr>
        <w:ind w:left="5015" w:hanging="360"/>
      </w:pPr>
    </w:lvl>
    <w:lvl w:ilvl="5" w:tplc="080C001B" w:tentative="1">
      <w:start w:val="1"/>
      <w:numFmt w:val="lowerRoman"/>
      <w:lvlText w:val="%6."/>
      <w:lvlJc w:val="right"/>
      <w:pPr>
        <w:ind w:left="5735" w:hanging="180"/>
      </w:pPr>
    </w:lvl>
    <w:lvl w:ilvl="6" w:tplc="080C000F" w:tentative="1">
      <w:start w:val="1"/>
      <w:numFmt w:val="decimal"/>
      <w:lvlText w:val="%7."/>
      <w:lvlJc w:val="left"/>
      <w:pPr>
        <w:ind w:left="6455" w:hanging="360"/>
      </w:pPr>
    </w:lvl>
    <w:lvl w:ilvl="7" w:tplc="080C0019" w:tentative="1">
      <w:start w:val="1"/>
      <w:numFmt w:val="lowerLetter"/>
      <w:lvlText w:val="%8."/>
      <w:lvlJc w:val="left"/>
      <w:pPr>
        <w:ind w:left="7175" w:hanging="360"/>
      </w:pPr>
    </w:lvl>
    <w:lvl w:ilvl="8" w:tplc="080C001B" w:tentative="1">
      <w:start w:val="1"/>
      <w:numFmt w:val="lowerRoman"/>
      <w:lvlText w:val="%9."/>
      <w:lvlJc w:val="right"/>
      <w:pPr>
        <w:ind w:left="7895" w:hanging="180"/>
      </w:pPr>
    </w:lvl>
  </w:abstractNum>
  <w:abstractNum w:abstractNumId="44">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45">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6"/>
  </w:num>
  <w:num w:numId="12">
    <w:abstractNumId w:val="28"/>
  </w:num>
  <w:num w:numId="13">
    <w:abstractNumId w:val="42"/>
  </w:num>
  <w:num w:numId="14">
    <w:abstractNumId w:val="31"/>
  </w:num>
  <w:num w:numId="15">
    <w:abstractNumId w:val="27"/>
  </w:num>
  <w:num w:numId="16">
    <w:abstractNumId w:val="20"/>
  </w:num>
  <w:num w:numId="17">
    <w:abstractNumId w:val="44"/>
  </w:num>
  <w:num w:numId="18">
    <w:abstractNumId w:val="17"/>
  </w:num>
  <w:num w:numId="19">
    <w:abstractNumId w:val="22"/>
  </w:num>
  <w:num w:numId="20">
    <w:abstractNumId w:val="45"/>
  </w:num>
  <w:num w:numId="21">
    <w:abstractNumId w:val="16"/>
  </w:num>
  <w:num w:numId="22">
    <w:abstractNumId w:val="34"/>
  </w:num>
  <w:num w:numId="23">
    <w:abstractNumId w:val="38"/>
  </w:num>
  <w:num w:numId="24">
    <w:abstractNumId w:val="24"/>
  </w:num>
  <w:num w:numId="25">
    <w:abstractNumId w:val="23"/>
  </w:num>
  <w:num w:numId="26">
    <w:abstractNumId w:val="35"/>
  </w:num>
  <w:num w:numId="27">
    <w:abstractNumId w:val="11"/>
  </w:num>
  <w:num w:numId="28">
    <w:abstractNumId w:val="25"/>
  </w:num>
  <w:num w:numId="29">
    <w:abstractNumId w:val="40"/>
  </w:num>
  <w:num w:numId="30">
    <w:abstractNumId w:val="29"/>
  </w:num>
  <w:num w:numId="31">
    <w:abstractNumId w:val="33"/>
  </w:num>
  <w:num w:numId="32">
    <w:abstractNumId w:val="19"/>
  </w:num>
  <w:num w:numId="33">
    <w:abstractNumId w:val="18"/>
  </w:num>
  <w:num w:numId="34">
    <w:abstractNumId w:val="21"/>
  </w:num>
  <w:num w:numId="35">
    <w:abstractNumId w:val="32"/>
  </w:num>
  <w:num w:numId="36">
    <w:abstractNumId w:val="14"/>
  </w:num>
  <w:num w:numId="37">
    <w:abstractNumId w:val="39"/>
  </w:num>
  <w:num w:numId="38">
    <w:abstractNumId w:val="43"/>
  </w:num>
  <w:num w:numId="39">
    <w:abstractNumId w:val="10"/>
  </w:num>
  <w:num w:numId="40">
    <w:abstractNumId w:val="26"/>
  </w:num>
  <w:num w:numId="41">
    <w:abstractNumId w:val="30"/>
  </w:num>
  <w:num w:numId="42">
    <w:abstractNumId w:val="12"/>
  </w:num>
  <w:num w:numId="43">
    <w:abstractNumId w:val="41"/>
  </w:num>
  <w:num w:numId="44">
    <w:abstractNumId w:val="13"/>
  </w:num>
  <w:num w:numId="45">
    <w:abstractNumId w:val="3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3409">
      <o:colormenu v:ext="edit" fillcolor="none" strokecolor="none"/>
    </o:shapedefaults>
  </w:hdrShapeDefaults>
  <w:footnotePr>
    <w:numRestart w:val="eachSec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6"/>
    <w:rsid w:val="00012235"/>
    <w:rsid w:val="00024A9E"/>
    <w:rsid w:val="000327D2"/>
    <w:rsid w:val="0003333C"/>
    <w:rsid w:val="00036E81"/>
    <w:rsid w:val="00042773"/>
    <w:rsid w:val="0004319E"/>
    <w:rsid w:val="0004570B"/>
    <w:rsid w:val="00051F2C"/>
    <w:rsid w:val="00053EEF"/>
    <w:rsid w:val="0005494D"/>
    <w:rsid w:val="00062C1B"/>
    <w:rsid w:val="00064AC6"/>
    <w:rsid w:val="00082FA7"/>
    <w:rsid w:val="000869C2"/>
    <w:rsid w:val="00090275"/>
    <w:rsid w:val="00097598"/>
    <w:rsid w:val="000A1DA9"/>
    <w:rsid w:val="000B6441"/>
    <w:rsid w:val="000C35AA"/>
    <w:rsid w:val="000C37AB"/>
    <w:rsid w:val="000C55C0"/>
    <w:rsid w:val="000D10C0"/>
    <w:rsid w:val="000D405E"/>
    <w:rsid w:val="000D5D0F"/>
    <w:rsid w:val="000E0090"/>
    <w:rsid w:val="000E2A68"/>
    <w:rsid w:val="000F1EB6"/>
    <w:rsid w:val="000F3B92"/>
    <w:rsid w:val="000F7268"/>
    <w:rsid w:val="000F7C34"/>
    <w:rsid w:val="00103265"/>
    <w:rsid w:val="001126F5"/>
    <w:rsid w:val="00114821"/>
    <w:rsid w:val="00117F31"/>
    <w:rsid w:val="00124312"/>
    <w:rsid w:val="00124AA8"/>
    <w:rsid w:val="00133D4B"/>
    <w:rsid w:val="00145EF1"/>
    <w:rsid w:val="00147933"/>
    <w:rsid w:val="001516F5"/>
    <w:rsid w:val="0015337A"/>
    <w:rsid w:val="00154310"/>
    <w:rsid w:val="001548A9"/>
    <w:rsid w:val="00155349"/>
    <w:rsid w:val="00155CF5"/>
    <w:rsid w:val="00155D8B"/>
    <w:rsid w:val="00160D31"/>
    <w:rsid w:val="00167ACD"/>
    <w:rsid w:val="00172DAF"/>
    <w:rsid w:val="00175ADE"/>
    <w:rsid w:val="001763C2"/>
    <w:rsid w:val="001767CB"/>
    <w:rsid w:val="00185E44"/>
    <w:rsid w:val="0018615D"/>
    <w:rsid w:val="00186EC7"/>
    <w:rsid w:val="0019158E"/>
    <w:rsid w:val="00195887"/>
    <w:rsid w:val="00197FEB"/>
    <w:rsid w:val="001A1D68"/>
    <w:rsid w:val="001A7DC7"/>
    <w:rsid w:val="001B4EEE"/>
    <w:rsid w:val="001B7F21"/>
    <w:rsid w:val="001C1FBB"/>
    <w:rsid w:val="001D503F"/>
    <w:rsid w:val="001F1805"/>
    <w:rsid w:val="001F711D"/>
    <w:rsid w:val="00200D79"/>
    <w:rsid w:val="00202B0B"/>
    <w:rsid w:val="00204BE8"/>
    <w:rsid w:val="00215E02"/>
    <w:rsid w:val="0022021F"/>
    <w:rsid w:val="00221231"/>
    <w:rsid w:val="00223911"/>
    <w:rsid w:val="002307B0"/>
    <w:rsid w:val="00231694"/>
    <w:rsid w:val="002333AF"/>
    <w:rsid w:val="00233828"/>
    <w:rsid w:val="002406B2"/>
    <w:rsid w:val="002477FA"/>
    <w:rsid w:val="002554D2"/>
    <w:rsid w:val="00261D63"/>
    <w:rsid w:val="002754A4"/>
    <w:rsid w:val="00275C1C"/>
    <w:rsid w:val="00276804"/>
    <w:rsid w:val="00277EDB"/>
    <w:rsid w:val="002859A3"/>
    <w:rsid w:val="00287538"/>
    <w:rsid w:val="0028790D"/>
    <w:rsid w:val="002A09F5"/>
    <w:rsid w:val="002A4DA8"/>
    <w:rsid w:val="002B5743"/>
    <w:rsid w:val="002B7C10"/>
    <w:rsid w:val="002D5723"/>
    <w:rsid w:val="002D75B3"/>
    <w:rsid w:val="002E10A2"/>
    <w:rsid w:val="002E15B9"/>
    <w:rsid w:val="002E409B"/>
    <w:rsid w:val="002E5144"/>
    <w:rsid w:val="002F1611"/>
    <w:rsid w:val="003116AA"/>
    <w:rsid w:val="003135E6"/>
    <w:rsid w:val="003175D8"/>
    <w:rsid w:val="003209A7"/>
    <w:rsid w:val="00324806"/>
    <w:rsid w:val="003364D4"/>
    <w:rsid w:val="00336912"/>
    <w:rsid w:val="003419C5"/>
    <w:rsid w:val="00352B22"/>
    <w:rsid w:val="00353178"/>
    <w:rsid w:val="00353E3D"/>
    <w:rsid w:val="00354956"/>
    <w:rsid w:val="00362513"/>
    <w:rsid w:val="0036279E"/>
    <w:rsid w:val="00365065"/>
    <w:rsid w:val="00365FFE"/>
    <w:rsid w:val="00373355"/>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27BD2"/>
    <w:rsid w:val="00442A26"/>
    <w:rsid w:val="00442B06"/>
    <w:rsid w:val="004449B7"/>
    <w:rsid w:val="00450949"/>
    <w:rsid w:val="00451D31"/>
    <w:rsid w:val="004540E1"/>
    <w:rsid w:val="00454C65"/>
    <w:rsid w:val="00456DEB"/>
    <w:rsid w:val="004619EE"/>
    <w:rsid w:val="00464101"/>
    <w:rsid w:val="004679FA"/>
    <w:rsid w:val="00477F18"/>
    <w:rsid w:val="00485276"/>
    <w:rsid w:val="00485F3C"/>
    <w:rsid w:val="00497D61"/>
    <w:rsid w:val="004A477F"/>
    <w:rsid w:val="004A4C5C"/>
    <w:rsid w:val="004B400F"/>
    <w:rsid w:val="004C14FA"/>
    <w:rsid w:val="004C2424"/>
    <w:rsid w:val="004D12DD"/>
    <w:rsid w:val="004E1221"/>
    <w:rsid w:val="004E136D"/>
    <w:rsid w:val="004F04DA"/>
    <w:rsid w:val="004F0F6B"/>
    <w:rsid w:val="004F41BA"/>
    <w:rsid w:val="005033DA"/>
    <w:rsid w:val="0050792E"/>
    <w:rsid w:val="0051268A"/>
    <w:rsid w:val="00524D96"/>
    <w:rsid w:val="00551BC0"/>
    <w:rsid w:val="00552963"/>
    <w:rsid w:val="0055492B"/>
    <w:rsid w:val="00555B61"/>
    <w:rsid w:val="00557A3F"/>
    <w:rsid w:val="0056043D"/>
    <w:rsid w:val="005616A3"/>
    <w:rsid w:val="00561A9A"/>
    <w:rsid w:val="00567693"/>
    <w:rsid w:val="00571A24"/>
    <w:rsid w:val="00582D56"/>
    <w:rsid w:val="005905DD"/>
    <w:rsid w:val="00592469"/>
    <w:rsid w:val="00592957"/>
    <w:rsid w:val="005932C7"/>
    <w:rsid w:val="0059396D"/>
    <w:rsid w:val="005A3DA7"/>
    <w:rsid w:val="005A790B"/>
    <w:rsid w:val="005B4105"/>
    <w:rsid w:val="005B4C1C"/>
    <w:rsid w:val="005C1B25"/>
    <w:rsid w:val="005C3450"/>
    <w:rsid w:val="005C3F84"/>
    <w:rsid w:val="005E33F6"/>
    <w:rsid w:val="005F05E3"/>
    <w:rsid w:val="0061022D"/>
    <w:rsid w:val="006107D5"/>
    <w:rsid w:val="00610B4E"/>
    <w:rsid w:val="00611E02"/>
    <w:rsid w:val="00620180"/>
    <w:rsid w:val="00627358"/>
    <w:rsid w:val="00627AF2"/>
    <w:rsid w:val="0063089E"/>
    <w:rsid w:val="006316A4"/>
    <w:rsid w:val="00631E3C"/>
    <w:rsid w:val="00634558"/>
    <w:rsid w:val="00635AD7"/>
    <w:rsid w:val="00635DCE"/>
    <w:rsid w:val="006372C7"/>
    <w:rsid w:val="006376E3"/>
    <w:rsid w:val="00637777"/>
    <w:rsid w:val="00645BC0"/>
    <w:rsid w:val="006506E6"/>
    <w:rsid w:val="00651843"/>
    <w:rsid w:val="00652976"/>
    <w:rsid w:val="00653A88"/>
    <w:rsid w:val="006602F1"/>
    <w:rsid w:val="006626A0"/>
    <w:rsid w:val="00667481"/>
    <w:rsid w:val="006703F5"/>
    <w:rsid w:val="0067198D"/>
    <w:rsid w:val="0068065A"/>
    <w:rsid w:val="00683802"/>
    <w:rsid w:val="0069769C"/>
    <w:rsid w:val="00697F48"/>
    <w:rsid w:val="006A3829"/>
    <w:rsid w:val="006B6BFC"/>
    <w:rsid w:val="006C774A"/>
    <w:rsid w:val="006E7D13"/>
    <w:rsid w:val="0070209E"/>
    <w:rsid w:val="00702DA6"/>
    <w:rsid w:val="00706B32"/>
    <w:rsid w:val="0071004E"/>
    <w:rsid w:val="00714070"/>
    <w:rsid w:val="007148AA"/>
    <w:rsid w:val="00730DDA"/>
    <w:rsid w:val="00733829"/>
    <w:rsid w:val="00733DE9"/>
    <w:rsid w:val="00741E9C"/>
    <w:rsid w:val="007459B1"/>
    <w:rsid w:val="0074712B"/>
    <w:rsid w:val="00750B57"/>
    <w:rsid w:val="00752FC4"/>
    <w:rsid w:val="00760BEE"/>
    <w:rsid w:val="007654E7"/>
    <w:rsid w:val="0076604A"/>
    <w:rsid w:val="00766055"/>
    <w:rsid w:val="00766F4D"/>
    <w:rsid w:val="0077019B"/>
    <w:rsid w:val="00773E81"/>
    <w:rsid w:val="00785B6F"/>
    <w:rsid w:val="00787601"/>
    <w:rsid w:val="00796920"/>
    <w:rsid w:val="00797BED"/>
    <w:rsid w:val="007A0C8A"/>
    <w:rsid w:val="007A1C59"/>
    <w:rsid w:val="007A1F21"/>
    <w:rsid w:val="007A2A6A"/>
    <w:rsid w:val="007A3EF3"/>
    <w:rsid w:val="007A552B"/>
    <w:rsid w:val="007A6D1E"/>
    <w:rsid w:val="007B25F7"/>
    <w:rsid w:val="007B793B"/>
    <w:rsid w:val="007C6D45"/>
    <w:rsid w:val="007E0494"/>
    <w:rsid w:val="007E0667"/>
    <w:rsid w:val="007E6B0A"/>
    <w:rsid w:val="007E71C9"/>
    <w:rsid w:val="007E7E9A"/>
    <w:rsid w:val="007F0A8C"/>
    <w:rsid w:val="007F462A"/>
    <w:rsid w:val="007F4D2C"/>
    <w:rsid w:val="007F5AF5"/>
    <w:rsid w:val="007F78DB"/>
    <w:rsid w:val="00804480"/>
    <w:rsid w:val="00805AFA"/>
    <w:rsid w:val="00805C05"/>
    <w:rsid w:val="0081015C"/>
    <w:rsid w:val="00814FBE"/>
    <w:rsid w:val="0081513A"/>
    <w:rsid w:val="00821F74"/>
    <w:rsid w:val="00822375"/>
    <w:rsid w:val="00822549"/>
    <w:rsid w:val="00824A23"/>
    <w:rsid w:val="00836C05"/>
    <w:rsid w:val="00840FCB"/>
    <w:rsid w:val="008437C4"/>
    <w:rsid w:val="00843F25"/>
    <w:rsid w:val="00843F67"/>
    <w:rsid w:val="00847145"/>
    <w:rsid w:val="008503E8"/>
    <w:rsid w:val="0087226E"/>
    <w:rsid w:val="008837CF"/>
    <w:rsid w:val="00896CFE"/>
    <w:rsid w:val="008977A1"/>
    <w:rsid w:val="008A17B8"/>
    <w:rsid w:val="008C4032"/>
    <w:rsid w:val="008E1355"/>
    <w:rsid w:val="008E5948"/>
    <w:rsid w:val="008E6931"/>
    <w:rsid w:val="008F0626"/>
    <w:rsid w:val="0090354E"/>
    <w:rsid w:val="0090398E"/>
    <w:rsid w:val="00905D03"/>
    <w:rsid w:val="00914031"/>
    <w:rsid w:val="00932175"/>
    <w:rsid w:val="00935B26"/>
    <w:rsid w:val="00937808"/>
    <w:rsid w:val="00940C81"/>
    <w:rsid w:val="00942B19"/>
    <w:rsid w:val="00942EE2"/>
    <w:rsid w:val="009466D6"/>
    <w:rsid w:val="00950C45"/>
    <w:rsid w:val="0095386F"/>
    <w:rsid w:val="00954143"/>
    <w:rsid w:val="009600D3"/>
    <w:rsid w:val="0096661A"/>
    <w:rsid w:val="00974952"/>
    <w:rsid w:val="00983714"/>
    <w:rsid w:val="00985229"/>
    <w:rsid w:val="00987DEA"/>
    <w:rsid w:val="00991E7A"/>
    <w:rsid w:val="009939BE"/>
    <w:rsid w:val="00994BF4"/>
    <w:rsid w:val="0099627C"/>
    <w:rsid w:val="009A0346"/>
    <w:rsid w:val="009A140C"/>
    <w:rsid w:val="009B132A"/>
    <w:rsid w:val="009B6FA0"/>
    <w:rsid w:val="009C0BC7"/>
    <w:rsid w:val="009D10D0"/>
    <w:rsid w:val="009D1225"/>
    <w:rsid w:val="009D15BD"/>
    <w:rsid w:val="009D277D"/>
    <w:rsid w:val="009D2B84"/>
    <w:rsid w:val="009D2C3D"/>
    <w:rsid w:val="009D3040"/>
    <w:rsid w:val="009D3082"/>
    <w:rsid w:val="009D784B"/>
    <w:rsid w:val="009E2A0A"/>
    <w:rsid w:val="009E56DB"/>
    <w:rsid w:val="009F5117"/>
    <w:rsid w:val="00A01013"/>
    <w:rsid w:val="00A01D13"/>
    <w:rsid w:val="00A06B19"/>
    <w:rsid w:val="00A11F91"/>
    <w:rsid w:val="00A122B7"/>
    <w:rsid w:val="00A141C9"/>
    <w:rsid w:val="00A147E1"/>
    <w:rsid w:val="00A16F91"/>
    <w:rsid w:val="00A17571"/>
    <w:rsid w:val="00A17A21"/>
    <w:rsid w:val="00A23237"/>
    <w:rsid w:val="00A2514A"/>
    <w:rsid w:val="00A25A33"/>
    <w:rsid w:val="00A267AD"/>
    <w:rsid w:val="00A304E4"/>
    <w:rsid w:val="00A351FF"/>
    <w:rsid w:val="00A355E9"/>
    <w:rsid w:val="00A51FAA"/>
    <w:rsid w:val="00A55A96"/>
    <w:rsid w:val="00A56340"/>
    <w:rsid w:val="00A605D0"/>
    <w:rsid w:val="00A621A5"/>
    <w:rsid w:val="00A62501"/>
    <w:rsid w:val="00A679F2"/>
    <w:rsid w:val="00A709E5"/>
    <w:rsid w:val="00A7250C"/>
    <w:rsid w:val="00A73D60"/>
    <w:rsid w:val="00A876D8"/>
    <w:rsid w:val="00A912F7"/>
    <w:rsid w:val="00A973C8"/>
    <w:rsid w:val="00AA0606"/>
    <w:rsid w:val="00AA074E"/>
    <w:rsid w:val="00AB4D11"/>
    <w:rsid w:val="00AB5B67"/>
    <w:rsid w:val="00AB5F38"/>
    <w:rsid w:val="00AB6BD9"/>
    <w:rsid w:val="00AC619F"/>
    <w:rsid w:val="00AC692F"/>
    <w:rsid w:val="00AD5A5B"/>
    <w:rsid w:val="00AD7BAB"/>
    <w:rsid w:val="00AE028E"/>
    <w:rsid w:val="00AE0B0F"/>
    <w:rsid w:val="00AE0FA5"/>
    <w:rsid w:val="00AF0AC0"/>
    <w:rsid w:val="00AF77D2"/>
    <w:rsid w:val="00B04933"/>
    <w:rsid w:val="00B11BB2"/>
    <w:rsid w:val="00B144C0"/>
    <w:rsid w:val="00B20AF5"/>
    <w:rsid w:val="00B2656D"/>
    <w:rsid w:val="00B338D7"/>
    <w:rsid w:val="00B34FEF"/>
    <w:rsid w:val="00B352D4"/>
    <w:rsid w:val="00B402AF"/>
    <w:rsid w:val="00B404A0"/>
    <w:rsid w:val="00B41942"/>
    <w:rsid w:val="00B428A6"/>
    <w:rsid w:val="00B44C6F"/>
    <w:rsid w:val="00B44D45"/>
    <w:rsid w:val="00B46BAE"/>
    <w:rsid w:val="00B52F2E"/>
    <w:rsid w:val="00B614D1"/>
    <w:rsid w:val="00B63B89"/>
    <w:rsid w:val="00B661C8"/>
    <w:rsid w:val="00B80CFD"/>
    <w:rsid w:val="00B82A8B"/>
    <w:rsid w:val="00B87A00"/>
    <w:rsid w:val="00B908B1"/>
    <w:rsid w:val="00B92424"/>
    <w:rsid w:val="00B97B40"/>
    <w:rsid w:val="00BB215F"/>
    <w:rsid w:val="00BB5D8C"/>
    <w:rsid w:val="00BC351F"/>
    <w:rsid w:val="00BD3337"/>
    <w:rsid w:val="00BD7A38"/>
    <w:rsid w:val="00BE0CD8"/>
    <w:rsid w:val="00BE4F14"/>
    <w:rsid w:val="00BF29ED"/>
    <w:rsid w:val="00BF39EA"/>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964F0"/>
    <w:rsid w:val="00CA5A74"/>
    <w:rsid w:val="00CB2202"/>
    <w:rsid w:val="00CB30C8"/>
    <w:rsid w:val="00CB4A52"/>
    <w:rsid w:val="00CC0365"/>
    <w:rsid w:val="00CC4296"/>
    <w:rsid w:val="00CE5D84"/>
    <w:rsid w:val="00CF196A"/>
    <w:rsid w:val="00CF6318"/>
    <w:rsid w:val="00CF63B4"/>
    <w:rsid w:val="00D0021A"/>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56460"/>
    <w:rsid w:val="00D62D9B"/>
    <w:rsid w:val="00D63DA6"/>
    <w:rsid w:val="00D650B1"/>
    <w:rsid w:val="00D718C9"/>
    <w:rsid w:val="00D7324A"/>
    <w:rsid w:val="00D75B6C"/>
    <w:rsid w:val="00D75F5A"/>
    <w:rsid w:val="00D82C98"/>
    <w:rsid w:val="00D850C8"/>
    <w:rsid w:val="00DB0699"/>
    <w:rsid w:val="00DB31C8"/>
    <w:rsid w:val="00DC0B0F"/>
    <w:rsid w:val="00DC1B28"/>
    <w:rsid w:val="00DC3006"/>
    <w:rsid w:val="00DC727C"/>
    <w:rsid w:val="00DD1D39"/>
    <w:rsid w:val="00DD2826"/>
    <w:rsid w:val="00DE7328"/>
    <w:rsid w:val="00DF3B32"/>
    <w:rsid w:val="00DF6A6C"/>
    <w:rsid w:val="00DF758C"/>
    <w:rsid w:val="00DF7D48"/>
    <w:rsid w:val="00E04E63"/>
    <w:rsid w:val="00E07CCE"/>
    <w:rsid w:val="00E13E2F"/>
    <w:rsid w:val="00E13E61"/>
    <w:rsid w:val="00E162FC"/>
    <w:rsid w:val="00E16B13"/>
    <w:rsid w:val="00E2089D"/>
    <w:rsid w:val="00E22E1D"/>
    <w:rsid w:val="00E23C8E"/>
    <w:rsid w:val="00E26ABD"/>
    <w:rsid w:val="00E348BA"/>
    <w:rsid w:val="00E34A80"/>
    <w:rsid w:val="00E36D9F"/>
    <w:rsid w:val="00E471A8"/>
    <w:rsid w:val="00E52C71"/>
    <w:rsid w:val="00E65C86"/>
    <w:rsid w:val="00E66CEF"/>
    <w:rsid w:val="00E73749"/>
    <w:rsid w:val="00E759E4"/>
    <w:rsid w:val="00E77B8A"/>
    <w:rsid w:val="00E829D6"/>
    <w:rsid w:val="00E87276"/>
    <w:rsid w:val="00E9511F"/>
    <w:rsid w:val="00E966D1"/>
    <w:rsid w:val="00EA2226"/>
    <w:rsid w:val="00EA33BE"/>
    <w:rsid w:val="00EB13F8"/>
    <w:rsid w:val="00EB2076"/>
    <w:rsid w:val="00EB28A5"/>
    <w:rsid w:val="00EB3741"/>
    <w:rsid w:val="00EB3F3D"/>
    <w:rsid w:val="00EB6DE0"/>
    <w:rsid w:val="00ED0508"/>
    <w:rsid w:val="00ED0728"/>
    <w:rsid w:val="00ED10C8"/>
    <w:rsid w:val="00ED1B50"/>
    <w:rsid w:val="00ED275B"/>
    <w:rsid w:val="00ED445E"/>
    <w:rsid w:val="00ED687C"/>
    <w:rsid w:val="00ED6928"/>
    <w:rsid w:val="00EE095A"/>
    <w:rsid w:val="00EE3C1C"/>
    <w:rsid w:val="00EE46E7"/>
    <w:rsid w:val="00EE5676"/>
    <w:rsid w:val="00F01DE1"/>
    <w:rsid w:val="00F063BF"/>
    <w:rsid w:val="00F120C3"/>
    <w:rsid w:val="00F158CD"/>
    <w:rsid w:val="00F21513"/>
    <w:rsid w:val="00F24DB0"/>
    <w:rsid w:val="00F31133"/>
    <w:rsid w:val="00F32E26"/>
    <w:rsid w:val="00F35F9D"/>
    <w:rsid w:val="00F40876"/>
    <w:rsid w:val="00F43FDC"/>
    <w:rsid w:val="00F55AC8"/>
    <w:rsid w:val="00F563E2"/>
    <w:rsid w:val="00F57B63"/>
    <w:rsid w:val="00F62B97"/>
    <w:rsid w:val="00F63335"/>
    <w:rsid w:val="00F64E38"/>
    <w:rsid w:val="00F65486"/>
    <w:rsid w:val="00F7014A"/>
    <w:rsid w:val="00F747FC"/>
    <w:rsid w:val="00F76523"/>
    <w:rsid w:val="00F8549F"/>
    <w:rsid w:val="00F917ED"/>
    <w:rsid w:val="00FA14B8"/>
    <w:rsid w:val="00FA56DE"/>
    <w:rsid w:val="00FD392C"/>
    <w:rsid w:val="00FE222C"/>
    <w:rsid w:val="00FE24A6"/>
    <w:rsid w:val="00FE339C"/>
    <w:rsid w:val="00FF53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qFormat/>
    <w:rsid w:val="004D12DD"/>
    <w:pPr>
      <w:keepNext/>
      <w:keepLines/>
      <w:tabs>
        <w:tab w:val="left" w:pos="964"/>
      </w:tabs>
      <w:jc w:val="both"/>
      <w:outlineLvl w:val="4"/>
    </w:pPr>
  </w:style>
  <w:style w:type="paragraph" w:styleId="Heading6">
    <w:name w:val="heading 6"/>
    <w:basedOn w:val="Normal"/>
    <w:next w:val="Normal"/>
    <w:qFormat/>
    <w:rsid w:val="004D12DD"/>
    <w:pPr>
      <w:keepNext/>
      <w:keepLines/>
      <w:tabs>
        <w:tab w:val="left" w:pos="1049"/>
      </w:tabs>
      <w:jc w:val="both"/>
      <w:outlineLvl w:val="5"/>
    </w:pPr>
  </w:style>
  <w:style w:type="paragraph" w:styleId="Heading7">
    <w:name w:val="heading 7"/>
    <w:basedOn w:val="Normal"/>
    <w:next w:val="Normal"/>
    <w:qFormat/>
    <w:rsid w:val="004D12DD"/>
    <w:pPr>
      <w:keepNext/>
      <w:keepLines/>
      <w:tabs>
        <w:tab w:val="left" w:pos="1219"/>
      </w:tabs>
      <w:jc w:val="both"/>
      <w:outlineLvl w:val="6"/>
    </w:pPr>
  </w:style>
  <w:style w:type="paragraph" w:styleId="Heading8">
    <w:name w:val="heading 8"/>
    <w:basedOn w:val="Normal"/>
    <w:next w:val="Normal"/>
    <w:qFormat/>
    <w:rsid w:val="004D12DD"/>
    <w:pPr>
      <w:keepNext/>
      <w:keepLines/>
      <w:tabs>
        <w:tab w:val="left" w:pos="1378"/>
      </w:tabs>
      <w:jc w:val="both"/>
      <w:outlineLvl w:val="7"/>
    </w:pPr>
  </w:style>
  <w:style w:type="paragraph" w:styleId="Heading9">
    <w:name w:val="heading 9"/>
    <w:basedOn w:val="Normal"/>
    <w:next w:val="Normal"/>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rsid w:val="00147933"/>
    <w:pPr>
      <w:tabs>
        <w:tab w:val="clear" w:pos="284"/>
        <w:tab w:val="center" w:pos="4678"/>
        <w:tab w:val="right" w:pos="9356"/>
      </w:tabs>
      <w:spacing w:line="240" w:lineRule="auto"/>
    </w:pPr>
    <w:rPr>
      <w:sz w:val="18"/>
    </w:rPr>
  </w:style>
  <w:style w:type="paragraph" w:styleId="Header">
    <w:name w:val="header"/>
    <w:basedOn w:val="Normal"/>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rsid w:val="00571A24"/>
    <w:rPr>
      <w:color w:val="0000FF"/>
      <w:u w:val="single"/>
    </w:rPr>
  </w:style>
  <w:style w:type="paragraph" w:customStyle="1" w:styleId="DpartementDepartement">
    <w:name w:val="Département/Departement"/>
    <w:next w:val="Normal"/>
    <w:semiHidden/>
    <w:rsid w:val="00E04E63"/>
    <w:pPr>
      <w:spacing w:line="240" w:lineRule="exact"/>
    </w:pPr>
    <w:rPr>
      <w:rFonts w:ascii="Arial" w:hAnsi="Arial"/>
      <w:b/>
      <w:noProof/>
      <w:sz w:val="18"/>
      <w:szCs w:val="16"/>
      <w:lang w:val="fr-FR" w:eastAsia="en-US"/>
    </w:rPr>
  </w:style>
  <w:style w:type="paragraph" w:customStyle="1" w:styleId="ServiceDienst">
    <w:name w:val="Service/Dienst"/>
    <w:next w:val="Normal"/>
    <w:semiHidden/>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65065"/>
    <w:rPr>
      <w:rFonts w:ascii="Tahoma" w:hAnsi="Tahoma" w:cs="Tahoma"/>
      <w:sz w:val="16"/>
      <w:szCs w:val="16"/>
      <w:lang w:val="en-GB" w:eastAsia="en-US"/>
    </w:rPr>
  </w:style>
  <w:style w:type="paragraph" w:customStyle="1" w:styleId="BoiteVakje">
    <w:name w:val="Boite/Vakje"/>
    <w:semiHidden/>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semiHidden/>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FE339C"/>
    <w:pPr>
      <w:spacing w:line="260" w:lineRule="atLeast"/>
    </w:pPr>
    <w:rPr>
      <w:rFonts w:ascii="Arial" w:hAnsi="Arial"/>
      <w:b/>
      <w:noProof/>
      <w:sz w:val="24"/>
      <w:szCs w:val="16"/>
      <w:lang w:val="fr-FR" w:eastAsia="en-US"/>
    </w:rPr>
  </w:style>
  <w:style w:type="paragraph" w:styleId="NormalIndent">
    <w:name w:val="Normal Indent"/>
    <w:basedOn w:val="Normal"/>
    <w:rsid w:val="00FE339C"/>
    <w:pPr>
      <w:tabs>
        <w:tab w:val="clear" w:pos="284"/>
        <w:tab w:val="left" w:pos="567"/>
      </w:tabs>
      <w:spacing w:line="260" w:lineRule="atLeast"/>
      <w:ind w:left="284"/>
      <w:jc w:val="both"/>
    </w:pPr>
  </w:style>
  <w:style w:type="paragraph" w:customStyle="1" w:styleId="auteurs">
    <w:name w:val="auteurs"/>
    <w:basedOn w:val="Normal"/>
    <w:rsid w:val="00FE339C"/>
    <w:pPr>
      <w:tabs>
        <w:tab w:val="clear" w:pos="284"/>
        <w:tab w:val="center" w:pos="1985"/>
        <w:tab w:val="center" w:pos="6521"/>
      </w:tabs>
      <w:spacing w:line="260" w:lineRule="atLeast"/>
    </w:pPr>
  </w:style>
  <w:style w:type="paragraph" w:styleId="DocumentMap">
    <w:name w:val="Document Map"/>
    <w:basedOn w:val="Normal"/>
    <w:link w:val="DocumentMapChar"/>
    <w:rsid w:val="00FE339C"/>
    <w:pPr>
      <w:shd w:val="clear" w:color="auto" w:fill="000080"/>
      <w:tabs>
        <w:tab w:val="clear" w:pos="284"/>
      </w:tabs>
      <w:spacing w:line="260" w:lineRule="atLeast"/>
      <w:jc w:val="both"/>
    </w:pPr>
    <w:rPr>
      <w:rFonts w:ascii="Tahoma" w:hAnsi="Tahoma"/>
    </w:rPr>
  </w:style>
  <w:style w:type="character" w:customStyle="1" w:styleId="DocumentMapChar">
    <w:name w:val="Document Map Char"/>
    <w:basedOn w:val="DefaultParagraphFont"/>
    <w:link w:val="DocumentMap"/>
    <w:rsid w:val="00FE339C"/>
    <w:rPr>
      <w:rFonts w:ascii="Tahoma" w:hAnsi="Tahoma"/>
      <w:shd w:val="clear" w:color="auto" w:fill="000080"/>
      <w:lang w:val="en-GB" w:eastAsia="en-US"/>
    </w:rPr>
  </w:style>
  <w:style w:type="paragraph" w:styleId="ListParagraph">
    <w:name w:val="List Paragraph"/>
    <w:basedOn w:val="Normal"/>
    <w:uiPriority w:val="34"/>
    <w:qFormat/>
    <w:rsid w:val="00FE339C"/>
    <w:pPr>
      <w:tabs>
        <w:tab w:val="clear" w:pos="284"/>
      </w:tabs>
      <w:spacing w:line="260" w:lineRule="atLeast"/>
      <w:ind w:left="720"/>
      <w:contextualSpacing/>
      <w:jc w:val="both"/>
    </w:pPr>
  </w:style>
  <w:style w:type="paragraph" w:customStyle="1" w:styleId="Default">
    <w:name w:val="Default"/>
    <w:rsid w:val="00FE339C"/>
    <w:pPr>
      <w:autoSpaceDE w:val="0"/>
      <w:autoSpaceDN w:val="0"/>
      <w:adjustRightInd w:val="0"/>
    </w:pPr>
    <w:rPr>
      <w:rFonts w:ascii="Arial" w:hAnsi="Arial" w:cs="Arial"/>
      <w:color w:val="000000"/>
      <w:sz w:val="24"/>
      <w:szCs w:val="24"/>
    </w:rPr>
  </w:style>
  <w:style w:type="paragraph" w:styleId="NormalWeb">
    <w:name w:val="Normal (Web)"/>
    <w:basedOn w:val="Normal"/>
    <w:rsid w:val="00FE339C"/>
    <w:pPr>
      <w:tabs>
        <w:tab w:val="clear" w:pos="284"/>
      </w:tabs>
      <w:spacing w:line="260" w:lineRule="atLeast"/>
      <w:jc w:val="both"/>
    </w:pPr>
    <w:rPr>
      <w:rFonts w:ascii="Times New Roman" w:hAnsi="Times New Roman"/>
      <w:sz w:val="24"/>
      <w:szCs w:val="24"/>
    </w:rPr>
  </w:style>
  <w:style w:type="character" w:styleId="FollowedHyperlink">
    <w:name w:val="FollowedHyperlink"/>
    <w:basedOn w:val="DefaultParagraphFont"/>
    <w:rsid w:val="0087226E"/>
    <w:rPr>
      <w:color w:val="800080" w:themeColor="followedHyperlink"/>
      <w:u w:val="single"/>
    </w:rPr>
  </w:style>
  <w:style w:type="character" w:styleId="CommentReference">
    <w:name w:val="annotation reference"/>
    <w:basedOn w:val="DefaultParagraphFont"/>
    <w:rsid w:val="00B82A8B"/>
    <w:rPr>
      <w:sz w:val="16"/>
      <w:szCs w:val="16"/>
    </w:rPr>
  </w:style>
  <w:style w:type="paragraph" w:styleId="CommentText">
    <w:name w:val="annotation text"/>
    <w:basedOn w:val="Normal"/>
    <w:link w:val="CommentTextChar"/>
    <w:rsid w:val="00B82A8B"/>
    <w:pPr>
      <w:spacing w:line="240" w:lineRule="auto"/>
    </w:pPr>
  </w:style>
  <w:style w:type="character" w:customStyle="1" w:styleId="CommentTextChar">
    <w:name w:val="Comment Text Char"/>
    <w:basedOn w:val="DefaultParagraphFont"/>
    <w:link w:val="CommentText"/>
    <w:rsid w:val="00B82A8B"/>
    <w:rPr>
      <w:rFonts w:ascii="Arial" w:hAnsi="Arial"/>
      <w:lang w:val="en-GB" w:eastAsia="en-US"/>
    </w:rPr>
  </w:style>
  <w:style w:type="paragraph" w:styleId="CommentSubject">
    <w:name w:val="annotation subject"/>
    <w:basedOn w:val="CommentText"/>
    <w:next w:val="CommentText"/>
    <w:link w:val="CommentSubjectChar"/>
    <w:rsid w:val="00B82A8B"/>
    <w:rPr>
      <w:b/>
      <w:bCs/>
    </w:rPr>
  </w:style>
  <w:style w:type="character" w:customStyle="1" w:styleId="CommentSubjectChar">
    <w:name w:val="Comment Subject Char"/>
    <w:basedOn w:val="CommentTextChar"/>
    <w:link w:val="CommentSubject"/>
    <w:rsid w:val="00B82A8B"/>
    <w:rPr>
      <w:rFonts w:ascii="Arial" w:hAnsi="Arial"/>
      <w:b/>
      <w:bCs/>
      <w:lang w:val="en-GB" w:eastAsia="en-US"/>
    </w:rPr>
  </w:style>
  <w:style w:type="paragraph" w:styleId="Revision">
    <w:name w:val="Revision"/>
    <w:hidden/>
    <w:uiPriority w:val="99"/>
    <w:semiHidden/>
    <w:rsid w:val="00B82A8B"/>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qFormat/>
    <w:rsid w:val="004D12DD"/>
    <w:pPr>
      <w:keepNext/>
      <w:keepLines/>
      <w:tabs>
        <w:tab w:val="left" w:pos="964"/>
      </w:tabs>
      <w:jc w:val="both"/>
      <w:outlineLvl w:val="4"/>
    </w:pPr>
  </w:style>
  <w:style w:type="paragraph" w:styleId="Heading6">
    <w:name w:val="heading 6"/>
    <w:basedOn w:val="Normal"/>
    <w:next w:val="Normal"/>
    <w:qFormat/>
    <w:rsid w:val="004D12DD"/>
    <w:pPr>
      <w:keepNext/>
      <w:keepLines/>
      <w:tabs>
        <w:tab w:val="left" w:pos="1049"/>
      </w:tabs>
      <w:jc w:val="both"/>
      <w:outlineLvl w:val="5"/>
    </w:pPr>
  </w:style>
  <w:style w:type="paragraph" w:styleId="Heading7">
    <w:name w:val="heading 7"/>
    <w:basedOn w:val="Normal"/>
    <w:next w:val="Normal"/>
    <w:qFormat/>
    <w:rsid w:val="004D12DD"/>
    <w:pPr>
      <w:keepNext/>
      <w:keepLines/>
      <w:tabs>
        <w:tab w:val="left" w:pos="1219"/>
      </w:tabs>
      <w:jc w:val="both"/>
      <w:outlineLvl w:val="6"/>
    </w:pPr>
  </w:style>
  <w:style w:type="paragraph" w:styleId="Heading8">
    <w:name w:val="heading 8"/>
    <w:basedOn w:val="Normal"/>
    <w:next w:val="Normal"/>
    <w:qFormat/>
    <w:rsid w:val="004D12DD"/>
    <w:pPr>
      <w:keepNext/>
      <w:keepLines/>
      <w:tabs>
        <w:tab w:val="left" w:pos="1378"/>
      </w:tabs>
      <w:jc w:val="both"/>
      <w:outlineLvl w:val="7"/>
    </w:pPr>
  </w:style>
  <w:style w:type="paragraph" w:styleId="Heading9">
    <w:name w:val="heading 9"/>
    <w:basedOn w:val="Normal"/>
    <w:next w:val="Normal"/>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rsid w:val="00147933"/>
    <w:pPr>
      <w:tabs>
        <w:tab w:val="clear" w:pos="284"/>
        <w:tab w:val="center" w:pos="4678"/>
        <w:tab w:val="right" w:pos="9356"/>
      </w:tabs>
      <w:spacing w:line="240" w:lineRule="auto"/>
    </w:pPr>
    <w:rPr>
      <w:sz w:val="18"/>
    </w:rPr>
  </w:style>
  <w:style w:type="paragraph" w:styleId="Header">
    <w:name w:val="header"/>
    <w:basedOn w:val="Normal"/>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rsid w:val="00571A24"/>
    <w:rPr>
      <w:color w:val="0000FF"/>
      <w:u w:val="single"/>
    </w:rPr>
  </w:style>
  <w:style w:type="paragraph" w:customStyle="1" w:styleId="DpartementDepartement">
    <w:name w:val="Département/Departement"/>
    <w:next w:val="Normal"/>
    <w:semiHidden/>
    <w:rsid w:val="00E04E63"/>
    <w:pPr>
      <w:spacing w:line="240" w:lineRule="exact"/>
    </w:pPr>
    <w:rPr>
      <w:rFonts w:ascii="Arial" w:hAnsi="Arial"/>
      <w:b/>
      <w:noProof/>
      <w:sz w:val="18"/>
      <w:szCs w:val="16"/>
      <w:lang w:val="fr-FR" w:eastAsia="en-US"/>
    </w:rPr>
  </w:style>
  <w:style w:type="paragraph" w:customStyle="1" w:styleId="ServiceDienst">
    <w:name w:val="Service/Dienst"/>
    <w:next w:val="Normal"/>
    <w:semiHidden/>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65065"/>
    <w:rPr>
      <w:rFonts w:ascii="Tahoma" w:hAnsi="Tahoma" w:cs="Tahoma"/>
      <w:sz w:val="16"/>
      <w:szCs w:val="16"/>
      <w:lang w:val="en-GB" w:eastAsia="en-US"/>
    </w:rPr>
  </w:style>
  <w:style w:type="paragraph" w:customStyle="1" w:styleId="BoiteVakje">
    <w:name w:val="Boite/Vakje"/>
    <w:semiHidden/>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semiHidden/>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FE339C"/>
    <w:pPr>
      <w:spacing w:line="260" w:lineRule="atLeast"/>
    </w:pPr>
    <w:rPr>
      <w:rFonts w:ascii="Arial" w:hAnsi="Arial"/>
      <w:b/>
      <w:noProof/>
      <w:sz w:val="24"/>
      <w:szCs w:val="16"/>
      <w:lang w:val="fr-FR" w:eastAsia="en-US"/>
    </w:rPr>
  </w:style>
  <w:style w:type="paragraph" w:styleId="NormalIndent">
    <w:name w:val="Normal Indent"/>
    <w:basedOn w:val="Normal"/>
    <w:rsid w:val="00FE339C"/>
    <w:pPr>
      <w:tabs>
        <w:tab w:val="clear" w:pos="284"/>
        <w:tab w:val="left" w:pos="567"/>
      </w:tabs>
      <w:spacing w:line="260" w:lineRule="atLeast"/>
      <w:ind w:left="284"/>
      <w:jc w:val="both"/>
    </w:pPr>
  </w:style>
  <w:style w:type="paragraph" w:customStyle="1" w:styleId="auteurs">
    <w:name w:val="auteurs"/>
    <w:basedOn w:val="Normal"/>
    <w:rsid w:val="00FE339C"/>
    <w:pPr>
      <w:tabs>
        <w:tab w:val="clear" w:pos="284"/>
        <w:tab w:val="center" w:pos="1985"/>
        <w:tab w:val="center" w:pos="6521"/>
      </w:tabs>
      <w:spacing w:line="260" w:lineRule="atLeast"/>
    </w:pPr>
  </w:style>
  <w:style w:type="paragraph" w:styleId="DocumentMap">
    <w:name w:val="Document Map"/>
    <w:basedOn w:val="Normal"/>
    <w:link w:val="DocumentMapChar"/>
    <w:rsid w:val="00FE339C"/>
    <w:pPr>
      <w:shd w:val="clear" w:color="auto" w:fill="000080"/>
      <w:tabs>
        <w:tab w:val="clear" w:pos="284"/>
      </w:tabs>
      <w:spacing w:line="260" w:lineRule="atLeast"/>
      <w:jc w:val="both"/>
    </w:pPr>
    <w:rPr>
      <w:rFonts w:ascii="Tahoma" w:hAnsi="Tahoma"/>
    </w:rPr>
  </w:style>
  <w:style w:type="character" w:customStyle="1" w:styleId="DocumentMapChar">
    <w:name w:val="Document Map Char"/>
    <w:basedOn w:val="DefaultParagraphFont"/>
    <w:link w:val="DocumentMap"/>
    <w:rsid w:val="00FE339C"/>
    <w:rPr>
      <w:rFonts w:ascii="Tahoma" w:hAnsi="Tahoma"/>
      <w:shd w:val="clear" w:color="auto" w:fill="000080"/>
      <w:lang w:val="en-GB" w:eastAsia="en-US"/>
    </w:rPr>
  </w:style>
  <w:style w:type="paragraph" w:styleId="ListParagraph">
    <w:name w:val="List Paragraph"/>
    <w:basedOn w:val="Normal"/>
    <w:uiPriority w:val="34"/>
    <w:qFormat/>
    <w:rsid w:val="00FE339C"/>
    <w:pPr>
      <w:tabs>
        <w:tab w:val="clear" w:pos="284"/>
      </w:tabs>
      <w:spacing w:line="260" w:lineRule="atLeast"/>
      <w:ind w:left="720"/>
      <w:contextualSpacing/>
      <w:jc w:val="both"/>
    </w:pPr>
  </w:style>
  <w:style w:type="paragraph" w:customStyle="1" w:styleId="Default">
    <w:name w:val="Default"/>
    <w:rsid w:val="00FE339C"/>
    <w:pPr>
      <w:autoSpaceDE w:val="0"/>
      <w:autoSpaceDN w:val="0"/>
      <w:adjustRightInd w:val="0"/>
    </w:pPr>
    <w:rPr>
      <w:rFonts w:ascii="Arial" w:hAnsi="Arial" w:cs="Arial"/>
      <w:color w:val="000000"/>
      <w:sz w:val="24"/>
      <w:szCs w:val="24"/>
    </w:rPr>
  </w:style>
  <w:style w:type="paragraph" w:styleId="NormalWeb">
    <w:name w:val="Normal (Web)"/>
    <w:basedOn w:val="Normal"/>
    <w:rsid w:val="00FE339C"/>
    <w:pPr>
      <w:tabs>
        <w:tab w:val="clear" w:pos="284"/>
      </w:tabs>
      <w:spacing w:line="260" w:lineRule="atLeast"/>
      <w:jc w:val="both"/>
    </w:pPr>
    <w:rPr>
      <w:rFonts w:ascii="Times New Roman" w:hAnsi="Times New Roman"/>
      <w:sz w:val="24"/>
      <w:szCs w:val="24"/>
    </w:rPr>
  </w:style>
  <w:style w:type="character" w:styleId="FollowedHyperlink">
    <w:name w:val="FollowedHyperlink"/>
    <w:basedOn w:val="DefaultParagraphFont"/>
    <w:rsid w:val="0087226E"/>
    <w:rPr>
      <w:color w:val="800080" w:themeColor="followedHyperlink"/>
      <w:u w:val="single"/>
    </w:rPr>
  </w:style>
  <w:style w:type="character" w:styleId="CommentReference">
    <w:name w:val="annotation reference"/>
    <w:basedOn w:val="DefaultParagraphFont"/>
    <w:rsid w:val="00B82A8B"/>
    <w:rPr>
      <w:sz w:val="16"/>
      <w:szCs w:val="16"/>
    </w:rPr>
  </w:style>
  <w:style w:type="paragraph" w:styleId="CommentText">
    <w:name w:val="annotation text"/>
    <w:basedOn w:val="Normal"/>
    <w:link w:val="CommentTextChar"/>
    <w:rsid w:val="00B82A8B"/>
    <w:pPr>
      <w:spacing w:line="240" w:lineRule="auto"/>
    </w:pPr>
  </w:style>
  <w:style w:type="character" w:customStyle="1" w:styleId="CommentTextChar">
    <w:name w:val="Comment Text Char"/>
    <w:basedOn w:val="DefaultParagraphFont"/>
    <w:link w:val="CommentText"/>
    <w:rsid w:val="00B82A8B"/>
    <w:rPr>
      <w:rFonts w:ascii="Arial" w:hAnsi="Arial"/>
      <w:lang w:val="en-GB" w:eastAsia="en-US"/>
    </w:rPr>
  </w:style>
  <w:style w:type="paragraph" w:styleId="CommentSubject">
    <w:name w:val="annotation subject"/>
    <w:basedOn w:val="CommentText"/>
    <w:next w:val="CommentText"/>
    <w:link w:val="CommentSubjectChar"/>
    <w:rsid w:val="00B82A8B"/>
    <w:rPr>
      <w:b/>
      <w:bCs/>
    </w:rPr>
  </w:style>
  <w:style w:type="character" w:customStyle="1" w:styleId="CommentSubjectChar">
    <w:name w:val="Comment Subject Char"/>
    <w:basedOn w:val="CommentTextChar"/>
    <w:link w:val="CommentSubject"/>
    <w:rsid w:val="00B82A8B"/>
    <w:rPr>
      <w:rFonts w:ascii="Arial" w:hAnsi="Arial"/>
      <w:b/>
      <w:bCs/>
      <w:lang w:val="en-GB" w:eastAsia="en-US"/>
    </w:rPr>
  </w:style>
  <w:style w:type="paragraph" w:styleId="Revision">
    <w:name w:val="Revision"/>
    <w:hidden/>
    <w:uiPriority w:val="99"/>
    <w:semiHidden/>
    <w:rsid w:val="00B82A8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media/fatf/documents/methodology/FATF%20Methodology%2022%20Feb%202013.pdf" TargetMode="External"/><Relationship Id="rId1" Type="http://schemas.openxmlformats.org/officeDocument/2006/relationships/hyperlink" Target="http://www.fatf-gafi.org/media/fatf/documents/recommendations/pdfs/FATF_Recommend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22A9-FC34-4A46-9840-F13E33FA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1</TotalTime>
  <Pages>8</Pages>
  <Words>3539</Words>
  <Characters>21312</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Dufrane Maïté</dc:creator>
  <cp:lastModifiedBy>Arys Viviane</cp:lastModifiedBy>
  <cp:revision>2</cp:revision>
  <cp:lastPrinted>2016-10-26T09:25:00Z</cp:lastPrinted>
  <dcterms:created xsi:type="dcterms:W3CDTF">2016-11-08T08:48:00Z</dcterms:created>
  <dcterms:modified xsi:type="dcterms:W3CDTF">2016-11-08T08:48:00Z</dcterms:modified>
</cp:coreProperties>
</file>