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6B7F19" w:rsidRPr="006B7F19" w:rsidTr="00682F2F">
        <w:trPr>
          <w:cantSplit/>
          <w:trHeight w:val="1077"/>
        </w:trPr>
        <w:tc>
          <w:tcPr>
            <w:tcW w:w="6067" w:type="dxa"/>
            <w:vAlign w:val="center"/>
          </w:tcPr>
          <w:p w:rsidR="005D16AE" w:rsidRPr="006B7F19" w:rsidRDefault="005D16AE" w:rsidP="007B7965">
            <w:pPr>
              <w:pStyle w:val="AdresseAdres"/>
              <w:spacing w:before="300"/>
            </w:pPr>
            <w:r w:rsidRPr="006B7F19">
              <w:t>boulevard de Berlaimont 14 – BE-1000 Bruxelles</w:t>
            </w:r>
          </w:p>
          <w:p w:rsidR="005D16AE" w:rsidRPr="006B7F19" w:rsidRDefault="005D16AE" w:rsidP="00F07FD0">
            <w:pPr>
              <w:pStyle w:val="AdresseAdres"/>
            </w:pPr>
            <w:r w:rsidRPr="006B7F19">
              <w:t xml:space="preserve">tél. +32 2 221 </w:t>
            </w:r>
            <w:r w:rsidR="00BF37D6">
              <w:t>38 12</w:t>
            </w:r>
            <w:r w:rsidRPr="006B7F19">
              <w:t xml:space="preserve"> – fax + 32 2 221 </w:t>
            </w:r>
            <w:r w:rsidR="00BF37D6">
              <w:t>31 04</w:t>
            </w:r>
          </w:p>
          <w:p w:rsidR="005D16AE" w:rsidRPr="006B7F19" w:rsidRDefault="005D16AE" w:rsidP="00F07FD0">
            <w:pPr>
              <w:pStyle w:val="AdresseAdres"/>
            </w:pPr>
            <w:r w:rsidRPr="006B7F19">
              <w:t>numéro d’entreprise: 0203.201.340</w:t>
            </w:r>
          </w:p>
          <w:p w:rsidR="005D16AE" w:rsidRPr="006B7F19" w:rsidRDefault="005D16AE" w:rsidP="00F07FD0">
            <w:pPr>
              <w:pStyle w:val="AdresseAdres"/>
            </w:pPr>
            <w:r w:rsidRPr="006B7F19">
              <w:t>RPM Bruxelles</w:t>
            </w:r>
          </w:p>
          <w:p w:rsidR="005D16AE" w:rsidRPr="006B7F19" w:rsidRDefault="005D16AE" w:rsidP="005D16AE">
            <w:pPr>
              <w:pStyle w:val="AdresseAdres"/>
              <w:rPr>
                <w:lang w:val="fr-BE"/>
              </w:rPr>
            </w:pPr>
            <w:r w:rsidRPr="006B7F19">
              <w:t>www.bnb.be</w:t>
            </w:r>
          </w:p>
        </w:tc>
        <w:tc>
          <w:tcPr>
            <w:tcW w:w="3856" w:type="dxa"/>
            <w:gridSpan w:val="2"/>
            <w:shd w:val="clear" w:color="auto" w:fill="auto"/>
            <w:vAlign w:val="center"/>
          </w:tcPr>
          <w:p w:rsidR="005D16AE" w:rsidRPr="006B7F19" w:rsidRDefault="005D16AE" w:rsidP="00682F2F">
            <w:pPr>
              <w:spacing w:line="260" w:lineRule="atLeast"/>
              <w:rPr>
                <w:sz w:val="16"/>
                <w:szCs w:val="16"/>
                <w:lang w:val="fr-BE"/>
              </w:rPr>
            </w:pPr>
            <w:r w:rsidRPr="006B7F19">
              <w:rPr>
                <w:noProof/>
                <w:sz w:val="16"/>
                <w:szCs w:val="16"/>
                <w:lang w:val="fr-BE" w:eastAsia="fr-BE"/>
              </w:rPr>
              <w:drawing>
                <wp:inline distT="0" distB="0" distL="0" distR="0" wp14:anchorId="27A534A6" wp14:editId="07E17C6E">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6B7F19" w:rsidRPr="006B7F19" w:rsidTr="00682F2F">
        <w:trPr>
          <w:cantSplit/>
          <w:trHeight w:hRule="exact" w:val="850"/>
        </w:trPr>
        <w:tc>
          <w:tcPr>
            <w:tcW w:w="6067" w:type="dxa"/>
            <w:shd w:val="clear" w:color="auto" w:fill="auto"/>
          </w:tcPr>
          <w:p w:rsidR="005D16AE" w:rsidRPr="006B7F19" w:rsidRDefault="005D16AE"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5D16AE" w:rsidRPr="006B7F19" w:rsidRDefault="005D16AE" w:rsidP="00620BFC">
            <w:pPr>
              <w:pStyle w:val="TitreTitel"/>
              <w:keepLines/>
              <w:tabs>
                <w:tab w:val="left" w:pos="284"/>
                <w:tab w:val="right" w:leader="dot" w:pos="9639"/>
              </w:tabs>
              <w:spacing w:after="170"/>
              <w:ind w:left="397" w:right="567" w:hanging="397"/>
            </w:pPr>
            <w:r w:rsidRPr="006B7F19">
              <w:t>C</w:t>
            </w:r>
            <w:r w:rsidR="00620BFC" w:rsidRPr="006B7F19">
              <w:t>irculaire</w:t>
            </w:r>
          </w:p>
        </w:tc>
      </w:tr>
      <w:tr w:rsidR="006B7F19" w:rsidRPr="006B7F19" w:rsidTr="00682F2F">
        <w:trPr>
          <w:cantSplit/>
          <w:trHeight w:hRule="exact" w:val="794"/>
        </w:trPr>
        <w:tc>
          <w:tcPr>
            <w:tcW w:w="6067" w:type="dxa"/>
            <w:vMerge w:val="restart"/>
            <w:shd w:val="clear" w:color="auto" w:fill="auto"/>
          </w:tcPr>
          <w:p w:rsidR="005D16AE" w:rsidRPr="006B7F19" w:rsidRDefault="005D16AE" w:rsidP="00682F2F">
            <w:pPr>
              <w:pStyle w:val="AdresseAdres"/>
              <w:rPr>
                <w:lang w:val="fr-BE"/>
              </w:rPr>
            </w:pPr>
          </w:p>
        </w:tc>
        <w:tc>
          <w:tcPr>
            <w:tcW w:w="3856" w:type="dxa"/>
            <w:gridSpan w:val="2"/>
          </w:tcPr>
          <w:p w:rsidR="005D16AE" w:rsidRPr="006B7F19" w:rsidRDefault="005D16AE" w:rsidP="00BF37D6">
            <w:pPr>
              <w:spacing w:line="200" w:lineRule="atLeast"/>
              <w:rPr>
                <w:lang w:val="fr-BE"/>
              </w:rPr>
            </w:pPr>
            <w:r w:rsidRPr="006B7F19">
              <w:rPr>
                <w:lang w:val="fr-BE"/>
              </w:rPr>
              <w:t xml:space="preserve">Bruxelles, le </w:t>
            </w:r>
            <w:r w:rsidR="002B60A0">
              <w:rPr>
                <w:lang w:val="fr-BE"/>
              </w:rPr>
              <w:t>14</w:t>
            </w:r>
            <w:r w:rsidR="00BF37D6">
              <w:rPr>
                <w:lang w:val="fr-BE"/>
              </w:rPr>
              <w:t xml:space="preserve"> </w:t>
            </w:r>
            <w:proofErr w:type="spellStart"/>
            <w:r w:rsidR="00BF37D6">
              <w:rPr>
                <w:lang w:val="fr-BE"/>
              </w:rPr>
              <w:t>september</w:t>
            </w:r>
            <w:proofErr w:type="spellEnd"/>
            <w:r w:rsidRPr="006B7F19">
              <w:rPr>
                <w:lang w:val="fr-BE"/>
              </w:rPr>
              <w:t xml:space="preserve"> 2017</w:t>
            </w:r>
          </w:p>
        </w:tc>
      </w:tr>
      <w:tr w:rsidR="006B7F19" w:rsidRPr="006B7F19" w:rsidTr="00682F2F">
        <w:trPr>
          <w:cantSplit/>
          <w:trHeight w:hRule="exact" w:val="198"/>
        </w:trPr>
        <w:tc>
          <w:tcPr>
            <w:tcW w:w="6067" w:type="dxa"/>
            <w:vMerge/>
          </w:tcPr>
          <w:p w:rsidR="005D16AE" w:rsidRPr="006B7F19" w:rsidRDefault="005D16AE" w:rsidP="00682F2F">
            <w:pPr>
              <w:spacing w:line="260" w:lineRule="atLeast"/>
              <w:rPr>
                <w:lang w:val="fr-BE"/>
              </w:rPr>
            </w:pPr>
          </w:p>
        </w:tc>
        <w:tc>
          <w:tcPr>
            <w:tcW w:w="1644" w:type="dxa"/>
            <w:vAlign w:val="center"/>
          </w:tcPr>
          <w:p w:rsidR="005D16AE" w:rsidRPr="006B7F19" w:rsidRDefault="005D16AE" w:rsidP="00682F2F">
            <w:pPr>
              <w:pStyle w:val="BoiteVakje"/>
            </w:pPr>
          </w:p>
        </w:tc>
        <w:tc>
          <w:tcPr>
            <w:tcW w:w="2212" w:type="dxa"/>
            <w:vAlign w:val="center"/>
          </w:tcPr>
          <w:p w:rsidR="005D16AE" w:rsidRPr="006B7F19" w:rsidRDefault="005D16AE" w:rsidP="00682F2F">
            <w:pPr>
              <w:pStyle w:val="BoiteVakje"/>
              <w:rPr>
                <w:sz w:val="16"/>
                <w:szCs w:val="16"/>
              </w:rPr>
            </w:pPr>
          </w:p>
        </w:tc>
      </w:tr>
      <w:tr w:rsidR="006B7F19" w:rsidRPr="006B7F19" w:rsidTr="00682F2F">
        <w:trPr>
          <w:cantSplit/>
          <w:trHeight w:hRule="exact" w:val="198"/>
        </w:trPr>
        <w:tc>
          <w:tcPr>
            <w:tcW w:w="6067" w:type="dxa"/>
            <w:vMerge/>
          </w:tcPr>
          <w:p w:rsidR="005D16AE" w:rsidRPr="006B7F19" w:rsidRDefault="005D16AE" w:rsidP="00682F2F">
            <w:pPr>
              <w:tabs>
                <w:tab w:val="left" w:pos="1276"/>
                <w:tab w:val="left" w:pos="2268"/>
              </w:tabs>
              <w:spacing w:line="260" w:lineRule="atLeast"/>
              <w:rPr>
                <w:lang w:val="fr-BE"/>
              </w:rPr>
            </w:pPr>
          </w:p>
        </w:tc>
        <w:tc>
          <w:tcPr>
            <w:tcW w:w="1644" w:type="dxa"/>
            <w:vAlign w:val="center"/>
          </w:tcPr>
          <w:p w:rsidR="005D16AE" w:rsidRPr="006B7F19" w:rsidRDefault="005D16AE" w:rsidP="00682F2F">
            <w:pPr>
              <w:pStyle w:val="BoiteVakje"/>
            </w:pPr>
            <w:r w:rsidRPr="006B7F19">
              <w:t xml:space="preserve">Référence: </w:t>
            </w:r>
            <w:r w:rsidRPr="006B7F19">
              <w:rPr>
                <w:vanish/>
              </w:rPr>
              <w:t>---------------&gt;</w:t>
            </w:r>
          </w:p>
        </w:tc>
        <w:tc>
          <w:tcPr>
            <w:tcW w:w="2212" w:type="dxa"/>
            <w:vAlign w:val="center"/>
          </w:tcPr>
          <w:p w:rsidR="005D16AE" w:rsidRPr="006B7F19" w:rsidRDefault="005D16AE" w:rsidP="007A0CE5">
            <w:pPr>
              <w:pStyle w:val="BoitetexteVakjetekst"/>
            </w:pPr>
            <w:r w:rsidRPr="006B7F19">
              <w:t>NBB_2017_</w:t>
            </w:r>
            <w:r w:rsidR="00BF37D6">
              <w:t>2</w:t>
            </w:r>
            <w:r w:rsidR="007A0CE5">
              <w:t>3</w:t>
            </w:r>
          </w:p>
        </w:tc>
      </w:tr>
      <w:tr w:rsidR="006B7F19" w:rsidRPr="006B7F19" w:rsidTr="00682F2F">
        <w:trPr>
          <w:cantSplit/>
          <w:trHeight w:hRule="exact" w:val="198"/>
        </w:trPr>
        <w:tc>
          <w:tcPr>
            <w:tcW w:w="6067" w:type="dxa"/>
            <w:vMerge/>
          </w:tcPr>
          <w:p w:rsidR="005D16AE" w:rsidRPr="006B7F19" w:rsidRDefault="005D16AE" w:rsidP="00682F2F">
            <w:pPr>
              <w:spacing w:line="260" w:lineRule="atLeast"/>
              <w:rPr>
                <w:lang w:val="fr-BE"/>
              </w:rPr>
            </w:pPr>
          </w:p>
        </w:tc>
        <w:tc>
          <w:tcPr>
            <w:tcW w:w="3856" w:type="dxa"/>
            <w:gridSpan w:val="2"/>
          </w:tcPr>
          <w:p w:rsidR="005D16AE" w:rsidRPr="006B7F19" w:rsidRDefault="005D16AE" w:rsidP="00682F2F">
            <w:pPr>
              <w:pStyle w:val="BoiteVakje"/>
              <w:rPr>
                <w:sz w:val="16"/>
                <w:szCs w:val="16"/>
              </w:rPr>
            </w:pPr>
          </w:p>
        </w:tc>
      </w:tr>
      <w:tr w:rsidR="006B7F19" w:rsidRPr="006B7F19" w:rsidTr="00682F2F">
        <w:trPr>
          <w:cantSplit/>
          <w:trHeight w:hRule="exact" w:val="198"/>
        </w:trPr>
        <w:tc>
          <w:tcPr>
            <w:tcW w:w="6067" w:type="dxa"/>
            <w:vMerge w:val="restart"/>
          </w:tcPr>
          <w:p w:rsidR="005D16AE" w:rsidRPr="006B7F19" w:rsidRDefault="005D16AE" w:rsidP="00682F2F">
            <w:pPr>
              <w:pStyle w:val="AdresseAdres"/>
            </w:pPr>
          </w:p>
        </w:tc>
        <w:tc>
          <w:tcPr>
            <w:tcW w:w="3856" w:type="dxa"/>
            <w:gridSpan w:val="2"/>
            <w:vAlign w:val="center"/>
          </w:tcPr>
          <w:p w:rsidR="005D16AE" w:rsidRPr="006B7F19" w:rsidRDefault="005D16AE" w:rsidP="005D1B22">
            <w:pPr>
              <w:pStyle w:val="BoiteVakje"/>
            </w:pPr>
            <w:r w:rsidRPr="006B7F19">
              <w:t xml:space="preserve">votre correspondant: </w:t>
            </w:r>
            <w:r w:rsidRPr="006B7F19">
              <w:rPr>
                <w:rFonts w:cs="Arial"/>
                <w:vanish/>
              </w:rPr>
              <w:t>mettez le nom ci-dessous</w:t>
            </w:r>
          </w:p>
        </w:tc>
      </w:tr>
      <w:tr w:rsidR="006B7F19" w:rsidRPr="006B7F19" w:rsidTr="00682F2F">
        <w:trPr>
          <w:cantSplit/>
          <w:trHeight w:hRule="exact" w:val="57"/>
        </w:trPr>
        <w:tc>
          <w:tcPr>
            <w:tcW w:w="6067" w:type="dxa"/>
            <w:vMerge/>
          </w:tcPr>
          <w:p w:rsidR="005D16AE" w:rsidRPr="006B7F19" w:rsidRDefault="005D16AE" w:rsidP="00682F2F">
            <w:pPr>
              <w:spacing w:line="260" w:lineRule="atLeast"/>
              <w:rPr>
                <w:lang w:val="fr-BE"/>
              </w:rPr>
            </w:pPr>
          </w:p>
        </w:tc>
        <w:tc>
          <w:tcPr>
            <w:tcW w:w="3856" w:type="dxa"/>
            <w:gridSpan w:val="2"/>
            <w:vAlign w:val="center"/>
          </w:tcPr>
          <w:p w:rsidR="005D16AE" w:rsidRPr="006B7F19" w:rsidRDefault="005D16AE" w:rsidP="00682F2F">
            <w:pPr>
              <w:pStyle w:val="BoiteVakje"/>
            </w:pPr>
          </w:p>
        </w:tc>
      </w:tr>
      <w:tr w:rsidR="006B7F19" w:rsidRPr="006B7F19" w:rsidTr="00682F2F">
        <w:trPr>
          <w:cantSplit/>
          <w:trHeight w:val="198"/>
        </w:trPr>
        <w:tc>
          <w:tcPr>
            <w:tcW w:w="6067" w:type="dxa"/>
            <w:vMerge/>
          </w:tcPr>
          <w:p w:rsidR="005D16AE" w:rsidRPr="006B7F19" w:rsidRDefault="005D16AE" w:rsidP="00682F2F">
            <w:pPr>
              <w:spacing w:line="260" w:lineRule="atLeast"/>
              <w:rPr>
                <w:lang w:val="fr-BE"/>
              </w:rPr>
            </w:pPr>
          </w:p>
        </w:tc>
        <w:tc>
          <w:tcPr>
            <w:tcW w:w="3856" w:type="dxa"/>
            <w:gridSpan w:val="2"/>
            <w:vAlign w:val="center"/>
          </w:tcPr>
          <w:p w:rsidR="005D16AE" w:rsidRPr="006B7F19" w:rsidRDefault="00620BFC" w:rsidP="00682F2F">
            <w:pPr>
              <w:pStyle w:val="BoiteVakje"/>
            </w:pPr>
            <w:r w:rsidRPr="006B7F19">
              <w:t xml:space="preserve">Nicolas </w:t>
            </w:r>
            <w:proofErr w:type="spellStart"/>
            <w:r w:rsidRPr="006B7F19">
              <w:t>Strypstein</w:t>
            </w:r>
            <w:proofErr w:type="spellEnd"/>
          </w:p>
        </w:tc>
      </w:tr>
      <w:tr w:rsidR="006B7F19" w:rsidRPr="006B7F19" w:rsidTr="00682F2F">
        <w:trPr>
          <w:cantSplit/>
          <w:trHeight w:val="198"/>
        </w:trPr>
        <w:tc>
          <w:tcPr>
            <w:tcW w:w="6067" w:type="dxa"/>
            <w:vMerge/>
          </w:tcPr>
          <w:p w:rsidR="005D16AE" w:rsidRPr="006B7F19" w:rsidRDefault="005D16AE" w:rsidP="00682F2F">
            <w:pPr>
              <w:spacing w:line="260" w:lineRule="atLeast"/>
              <w:rPr>
                <w:lang w:val="fr-BE"/>
              </w:rPr>
            </w:pPr>
          </w:p>
        </w:tc>
        <w:tc>
          <w:tcPr>
            <w:tcW w:w="3856" w:type="dxa"/>
            <w:gridSpan w:val="2"/>
            <w:vAlign w:val="center"/>
          </w:tcPr>
          <w:p w:rsidR="005D16AE" w:rsidRPr="006B7F19" w:rsidRDefault="00620BFC" w:rsidP="00620BFC">
            <w:pPr>
              <w:pStyle w:val="BoiteVakje"/>
            </w:pPr>
            <w:r w:rsidRPr="006B7F19">
              <w:t>tél. +32 2 221 44 74</w:t>
            </w:r>
            <w:r w:rsidR="005D16AE" w:rsidRPr="006B7F19">
              <w:t xml:space="preserve"> – fax +32 2 221 </w:t>
            </w:r>
            <w:r w:rsidRPr="006B7F19">
              <w:t>31 04</w:t>
            </w:r>
          </w:p>
        </w:tc>
      </w:tr>
      <w:tr w:rsidR="006B7F19" w:rsidRPr="006B7F19" w:rsidTr="00682F2F">
        <w:trPr>
          <w:cantSplit/>
          <w:trHeight w:val="198"/>
        </w:trPr>
        <w:tc>
          <w:tcPr>
            <w:tcW w:w="6067" w:type="dxa"/>
            <w:vMerge/>
          </w:tcPr>
          <w:p w:rsidR="005D16AE" w:rsidRPr="006B7F19" w:rsidRDefault="005D16AE" w:rsidP="00682F2F">
            <w:pPr>
              <w:pStyle w:val="SujetOnderwerp"/>
              <w:rPr>
                <w:b w:val="0"/>
                <w:sz w:val="16"/>
              </w:rPr>
            </w:pPr>
          </w:p>
        </w:tc>
        <w:tc>
          <w:tcPr>
            <w:tcW w:w="3856" w:type="dxa"/>
            <w:gridSpan w:val="2"/>
            <w:vAlign w:val="center"/>
          </w:tcPr>
          <w:p w:rsidR="005D16AE" w:rsidRPr="006B7F19" w:rsidRDefault="00766DE5" w:rsidP="00682F2F">
            <w:pPr>
              <w:pStyle w:val="BoiteVakje"/>
              <w:rPr>
                <w:b/>
              </w:rPr>
            </w:pPr>
            <w:r>
              <w:t>nicolas.strypstein</w:t>
            </w:r>
            <w:r w:rsidR="005D16AE" w:rsidRPr="006B7F19">
              <w:t>@nbb.be</w:t>
            </w:r>
          </w:p>
        </w:tc>
      </w:tr>
      <w:tr w:rsidR="006B7F19" w:rsidRPr="006B7F19" w:rsidTr="004E6FD5">
        <w:trPr>
          <w:cantSplit/>
          <w:trHeight w:hRule="exact" w:val="1191"/>
        </w:trPr>
        <w:tc>
          <w:tcPr>
            <w:tcW w:w="9923" w:type="dxa"/>
            <w:gridSpan w:val="3"/>
            <w:tcMar>
              <w:top w:w="113" w:type="dxa"/>
            </w:tcMar>
            <w:vAlign w:val="bottom"/>
          </w:tcPr>
          <w:p w:rsidR="005D16AE" w:rsidRPr="006B7F19" w:rsidRDefault="005D16AE" w:rsidP="005D16AE">
            <w:pPr>
              <w:tabs>
                <w:tab w:val="clear" w:pos="284"/>
              </w:tabs>
              <w:autoSpaceDE w:val="0"/>
              <w:autoSpaceDN w:val="0"/>
              <w:adjustRightInd w:val="0"/>
              <w:spacing w:line="240" w:lineRule="auto"/>
              <w:jc w:val="both"/>
            </w:pPr>
            <w:r w:rsidRPr="006B7F19">
              <w:rPr>
                <w:rFonts w:cs="Arial"/>
                <w:b/>
                <w:bCs/>
                <w:lang w:val="fr-BE" w:eastAsia="nl-BE"/>
              </w:rPr>
              <w:t>Circulaire aux organismes financiers concernant les acquisitions, accroissements, réductions et cessions de participations qualifiées</w:t>
            </w:r>
          </w:p>
        </w:tc>
      </w:tr>
      <w:tr w:rsidR="005D16AE" w:rsidRPr="006B7F19" w:rsidTr="005D16AE">
        <w:trPr>
          <w:cantSplit/>
          <w:trHeight w:hRule="exact" w:val="397"/>
        </w:trPr>
        <w:tc>
          <w:tcPr>
            <w:tcW w:w="9923" w:type="dxa"/>
            <w:gridSpan w:val="3"/>
            <w:vAlign w:val="center"/>
          </w:tcPr>
          <w:p w:rsidR="005D16AE" w:rsidRPr="006B7F19" w:rsidRDefault="005D16AE" w:rsidP="00682F2F">
            <w:pPr>
              <w:spacing w:line="260" w:lineRule="atLeast"/>
              <w:rPr>
                <w:lang w:val="fr-BE"/>
              </w:rPr>
            </w:pPr>
          </w:p>
        </w:tc>
      </w:tr>
    </w:tbl>
    <w:p w:rsidR="005D16AE" w:rsidRPr="006B7F19" w:rsidRDefault="005D16AE" w:rsidP="00682F2F">
      <w:pPr>
        <w:tabs>
          <w:tab w:val="left" w:pos="3402"/>
        </w:tabs>
      </w:pPr>
    </w:p>
    <w:p w:rsidR="005D16AE" w:rsidRPr="006B7F19" w:rsidRDefault="005D16AE" w:rsidP="00682F2F">
      <w:pPr>
        <w:pStyle w:val="Sous-titreOndertitel"/>
      </w:pPr>
      <w:r w:rsidRPr="006B7F19">
        <w:t xml:space="preserve">Champ </w:t>
      </w:r>
      <w:proofErr w:type="spellStart"/>
      <w:r w:rsidRPr="006B7F19">
        <w:t>d’application</w:t>
      </w:r>
      <w:proofErr w:type="spellEnd"/>
    </w:p>
    <w:p w:rsidR="00947C4D" w:rsidRPr="00947C4D" w:rsidRDefault="00947C4D" w:rsidP="00947C4D">
      <w:pPr>
        <w:pStyle w:val="Default"/>
        <w:numPr>
          <w:ilvl w:val="0"/>
          <w:numId w:val="38"/>
        </w:numPr>
        <w:spacing w:before="120" w:after="60"/>
        <w:jc w:val="both"/>
        <w:rPr>
          <w:rFonts w:ascii="Arial" w:hAnsi="Arial" w:cs="Arial"/>
          <w:sz w:val="22"/>
          <w:szCs w:val="22"/>
          <w:lang w:val="fr-BE"/>
        </w:rPr>
      </w:pPr>
      <w:r w:rsidRPr="00947C4D">
        <w:rPr>
          <w:rFonts w:ascii="Arial" w:hAnsi="Arial" w:cs="Arial"/>
          <w:i/>
          <w:iCs/>
          <w:sz w:val="22"/>
          <w:szCs w:val="22"/>
          <w:lang w:val="fr-BE"/>
        </w:rPr>
        <w:t>les établissements de crédit de droit belge</w:t>
      </w:r>
    </w:p>
    <w:p w:rsidR="00947C4D" w:rsidRPr="00947C4D" w:rsidRDefault="00947C4D" w:rsidP="00947C4D">
      <w:pPr>
        <w:pStyle w:val="Default"/>
        <w:numPr>
          <w:ilvl w:val="0"/>
          <w:numId w:val="38"/>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d'assurance de droit belge</w:t>
      </w:r>
    </w:p>
    <w:p w:rsidR="00947C4D" w:rsidRPr="00947C4D" w:rsidRDefault="00947C4D" w:rsidP="00947C4D">
      <w:pPr>
        <w:pStyle w:val="Default"/>
        <w:numPr>
          <w:ilvl w:val="0"/>
          <w:numId w:val="38"/>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de réassurance de droit belge</w:t>
      </w:r>
    </w:p>
    <w:p w:rsidR="00947C4D" w:rsidRPr="00947C4D" w:rsidRDefault="00947C4D" w:rsidP="00947C4D">
      <w:pPr>
        <w:pStyle w:val="Default"/>
        <w:numPr>
          <w:ilvl w:val="0"/>
          <w:numId w:val="38"/>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de bourse de droit belge</w:t>
      </w:r>
    </w:p>
    <w:p w:rsidR="00947C4D" w:rsidRPr="00947C4D" w:rsidRDefault="00947C4D" w:rsidP="00947C4D">
      <w:pPr>
        <w:pStyle w:val="Default"/>
        <w:numPr>
          <w:ilvl w:val="0"/>
          <w:numId w:val="38"/>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de droit belge</w:t>
      </w:r>
    </w:p>
    <w:p w:rsidR="00947C4D" w:rsidRPr="00947C4D" w:rsidRDefault="00947C4D" w:rsidP="00947C4D">
      <w:pPr>
        <w:pStyle w:val="Default"/>
        <w:numPr>
          <w:ilvl w:val="0"/>
          <w:numId w:val="38"/>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hol</w:t>
      </w:r>
      <w:r w:rsidR="00BF37D6">
        <w:rPr>
          <w:rFonts w:ascii="Arial" w:hAnsi="Arial" w:cs="Arial"/>
          <w:i/>
          <w:iCs/>
          <w:sz w:val="22"/>
          <w:szCs w:val="22"/>
          <w:lang w:val="fr-BE"/>
        </w:rPr>
        <w:t>ding d’assurance de droit belge</w:t>
      </w:r>
    </w:p>
    <w:p w:rsidR="00947C4D" w:rsidRPr="00947C4D" w:rsidRDefault="00947C4D" w:rsidP="00947C4D">
      <w:pPr>
        <w:pStyle w:val="Default"/>
        <w:numPr>
          <w:ilvl w:val="0"/>
          <w:numId w:val="38"/>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mixtes de droit belge</w:t>
      </w:r>
    </w:p>
    <w:p w:rsidR="005D16AE" w:rsidRPr="00947C4D" w:rsidRDefault="00947C4D" w:rsidP="005D16AE">
      <w:pPr>
        <w:tabs>
          <w:tab w:val="clear" w:pos="284"/>
        </w:tabs>
        <w:autoSpaceDE w:val="0"/>
        <w:autoSpaceDN w:val="0"/>
        <w:adjustRightInd w:val="0"/>
        <w:spacing w:line="240" w:lineRule="auto"/>
        <w:rPr>
          <w:i/>
          <w:sz w:val="22"/>
          <w:szCs w:val="22"/>
        </w:rPr>
      </w:pPr>
      <w:r w:rsidRPr="00947C4D">
        <w:rPr>
          <w:i/>
          <w:sz w:val="22"/>
          <w:szCs w:val="22"/>
          <w:lang w:val="fr-BE"/>
        </w:rPr>
        <w:t>(</w:t>
      </w:r>
      <w:proofErr w:type="gramStart"/>
      <w:r w:rsidRPr="00947C4D">
        <w:rPr>
          <w:i/>
          <w:sz w:val="22"/>
          <w:szCs w:val="22"/>
          <w:lang w:val="fr-BE"/>
        </w:rPr>
        <w:t>établissements</w:t>
      </w:r>
      <w:proofErr w:type="gramEnd"/>
      <w:r w:rsidRPr="00947C4D">
        <w:rPr>
          <w:i/>
          <w:sz w:val="22"/>
          <w:szCs w:val="22"/>
          <w:lang w:val="fr-BE"/>
        </w:rPr>
        <w:t xml:space="preserve"> qui sont collectivement dénommés ci-après « organismes financiers »)</w:t>
      </w:r>
      <w:r w:rsidR="00BF37D6">
        <w:rPr>
          <w:i/>
          <w:sz w:val="22"/>
          <w:szCs w:val="22"/>
          <w:lang w:val="fr-BE"/>
        </w:rPr>
        <w:t>.</w:t>
      </w:r>
    </w:p>
    <w:p w:rsidR="00947C4D" w:rsidRDefault="00947C4D" w:rsidP="00682F2F">
      <w:pPr>
        <w:pStyle w:val="Sous-titreOndertitel"/>
      </w:pPr>
    </w:p>
    <w:p w:rsidR="005D16AE" w:rsidRPr="006B7F19" w:rsidRDefault="005D16AE" w:rsidP="00682F2F">
      <w:pPr>
        <w:pStyle w:val="Sous-titreOndertitel"/>
      </w:pPr>
      <w:r w:rsidRPr="006B7F19">
        <w:t>Résumé/</w:t>
      </w:r>
      <w:proofErr w:type="spellStart"/>
      <w:r w:rsidRPr="006B7F19">
        <w:t>Objectifs</w:t>
      </w:r>
      <w:proofErr w:type="spellEnd"/>
    </w:p>
    <w:p w:rsidR="005D16AE" w:rsidRDefault="005D16AE" w:rsidP="00620BFC">
      <w:pPr>
        <w:tabs>
          <w:tab w:val="clear" w:pos="284"/>
        </w:tabs>
        <w:autoSpaceDE w:val="0"/>
        <w:autoSpaceDN w:val="0"/>
        <w:adjustRightInd w:val="0"/>
        <w:spacing w:before="120" w:line="240" w:lineRule="auto"/>
        <w:jc w:val="both"/>
        <w:rPr>
          <w:i/>
          <w:sz w:val="22"/>
          <w:lang w:val="nl-BE"/>
        </w:rPr>
      </w:pPr>
      <w:proofErr w:type="spellStart"/>
      <w:r w:rsidRPr="006B7F19">
        <w:rPr>
          <w:i/>
          <w:sz w:val="22"/>
          <w:lang w:val="nl-BE"/>
        </w:rPr>
        <w:t>Complémentairement</w:t>
      </w:r>
      <w:proofErr w:type="spellEnd"/>
      <w:r w:rsidRPr="006B7F19">
        <w:rPr>
          <w:i/>
          <w:sz w:val="22"/>
          <w:lang w:val="nl-BE"/>
        </w:rPr>
        <w:t xml:space="preserve"> </w:t>
      </w:r>
      <w:proofErr w:type="spellStart"/>
      <w:r w:rsidRPr="006B7F19">
        <w:rPr>
          <w:i/>
          <w:sz w:val="22"/>
          <w:lang w:val="nl-BE"/>
        </w:rPr>
        <w:t>aux</w:t>
      </w:r>
      <w:proofErr w:type="spellEnd"/>
      <w:r w:rsidRPr="006B7F19">
        <w:rPr>
          <w:i/>
          <w:sz w:val="22"/>
          <w:lang w:val="nl-BE"/>
        </w:rPr>
        <w:t xml:space="preserve"> </w:t>
      </w:r>
      <w:proofErr w:type="spellStart"/>
      <w:r w:rsidRPr="006B7F19">
        <w:rPr>
          <w:i/>
          <w:sz w:val="22"/>
          <w:lang w:val="nl-BE"/>
        </w:rPr>
        <w:t>obligations</w:t>
      </w:r>
      <w:proofErr w:type="spellEnd"/>
      <w:r w:rsidRPr="006B7F19">
        <w:rPr>
          <w:i/>
          <w:sz w:val="22"/>
          <w:lang w:val="nl-BE"/>
        </w:rPr>
        <w:t xml:space="preserve"> </w:t>
      </w:r>
      <w:proofErr w:type="spellStart"/>
      <w:r w:rsidRPr="006B7F19">
        <w:rPr>
          <w:i/>
          <w:sz w:val="22"/>
          <w:lang w:val="nl-BE"/>
        </w:rPr>
        <w:t>légales</w:t>
      </w:r>
      <w:proofErr w:type="spellEnd"/>
      <w:r w:rsidRPr="006B7F19">
        <w:rPr>
          <w:i/>
          <w:sz w:val="22"/>
          <w:lang w:val="nl-BE"/>
        </w:rPr>
        <w:t xml:space="preserve"> de </w:t>
      </w:r>
      <w:proofErr w:type="spellStart"/>
      <w:r w:rsidRPr="006B7F19">
        <w:rPr>
          <w:i/>
          <w:sz w:val="22"/>
          <w:lang w:val="nl-BE"/>
        </w:rPr>
        <w:t>notification</w:t>
      </w:r>
      <w:proofErr w:type="spellEnd"/>
      <w:r w:rsidRPr="006B7F19">
        <w:rPr>
          <w:i/>
          <w:sz w:val="22"/>
          <w:lang w:val="nl-BE"/>
        </w:rPr>
        <w:t xml:space="preserve"> </w:t>
      </w:r>
      <w:proofErr w:type="spellStart"/>
      <w:r w:rsidRPr="006B7F19">
        <w:rPr>
          <w:i/>
          <w:sz w:val="22"/>
          <w:lang w:val="nl-BE"/>
        </w:rPr>
        <w:t>auxquelles</w:t>
      </w:r>
      <w:proofErr w:type="spellEnd"/>
      <w:r w:rsidRPr="006B7F19">
        <w:rPr>
          <w:i/>
          <w:sz w:val="22"/>
          <w:lang w:val="nl-BE"/>
        </w:rPr>
        <w:t xml:space="preserve"> </w:t>
      </w:r>
      <w:proofErr w:type="spellStart"/>
      <w:r w:rsidRPr="006B7F19">
        <w:rPr>
          <w:i/>
          <w:sz w:val="22"/>
          <w:lang w:val="nl-BE"/>
        </w:rPr>
        <w:t>sont</w:t>
      </w:r>
      <w:proofErr w:type="spellEnd"/>
      <w:r w:rsidRPr="006B7F19">
        <w:rPr>
          <w:i/>
          <w:sz w:val="22"/>
          <w:lang w:val="nl-BE"/>
        </w:rPr>
        <w:t xml:space="preserve"> </w:t>
      </w:r>
      <w:proofErr w:type="spellStart"/>
      <w:r w:rsidRPr="006B7F19">
        <w:rPr>
          <w:i/>
          <w:sz w:val="22"/>
          <w:lang w:val="nl-BE"/>
        </w:rPr>
        <w:t>tenus</w:t>
      </w:r>
      <w:proofErr w:type="spellEnd"/>
      <w:r w:rsidRPr="006B7F19">
        <w:rPr>
          <w:i/>
          <w:sz w:val="22"/>
          <w:lang w:val="nl-BE"/>
        </w:rPr>
        <w:t xml:space="preserve"> les </w:t>
      </w:r>
      <w:proofErr w:type="spellStart"/>
      <w:r w:rsidRPr="006B7F19">
        <w:rPr>
          <w:i/>
          <w:sz w:val="22"/>
          <w:lang w:val="nl-BE"/>
        </w:rPr>
        <w:t>candidats</w:t>
      </w:r>
      <w:proofErr w:type="spellEnd"/>
      <w:r w:rsidR="00620BFC" w:rsidRPr="006B7F19">
        <w:rPr>
          <w:i/>
          <w:sz w:val="22"/>
          <w:lang w:val="nl-BE"/>
        </w:rPr>
        <w:t xml:space="preserve"> </w:t>
      </w:r>
      <w:proofErr w:type="spellStart"/>
      <w:r w:rsidRPr="006B7F19">
        <w:rPr>
          <w:i/>
          <w:sz w:val="22"/>
          <w:lang w:val="nl-BE"/>
        </w:rPr>
        <w:t>acquéreurs</w:t>
      </w:r>
      <w:proofErr w:type="spellEnd"/>
      <w:r w:rsidRPr="006B7F19">
        <w:rPr>
          <w:i/>
          <w:sz w:val="22"/>
          <w:lang w:val="nl-BE"/>
        </w:rPr>
        <w:t xml:space="preserve">, les </w:t>
      </w:r>
      <w:proofErr w:type="spellStart"/>
      <w:r w:rsidRPr="006B7F19">
        <w:rPr>
          <w:i/>
          <w:sz w:val="22"/>
          <w:lang w:val="nl-BE"/>
        </w:rPr>
        <w:t>lois</w:t>
      </w:r>
      <w:proofErr w:type="spellEnd"/>
      <w:r w:rsidRPr="006B7F19">
        <w:rPr>
          <w:i/>
          <w:sz w:val="22"/>
          <w:lang w:val="nl-BE"/>
        </w:rPr>
        <w:t xml:space="preserve"> </w:t>
      </w:r>
      <w:proofErr w:type="spellStart"/>
      <w:r w:rsidRPr="006B7F19">
        <w:rPr>
          <w:i/>
          <w:sz w:val="22"/>
          <w:lang w:val="nl-BE"/>
        </w:rPr>
        <w:t>prudentielles</w:t>
      </w:r>
      <w:proofErr w:type="spellEnd"/>
      <w:r w:rsidR="00947C4D">
        <w:rPr>
          <w:i/>
          <w:sz w:val="22"/>
          <w:lang w:val="nl-BE"/>
        </w:rPr>
        <w:t xml:space="preserve"> </w:t>
      </w:r>
      <w:proofErr w:type="spellStart"/>
      <w:r w:rsidRPr="006B7F19">
        <w:rPr>
          <w:i/>
          <w:sz w:val="22"/>
          <w:lang w:val="nl-BE"/>
        </w:rPr>
        <w:t>prévoient</w:t>
      </w:r>
      <w:proofErr w:type="spellEnd"/>
      <w:r w:rsidRPr="006B7F19">
        <w:rPr>
          <w:i/>
          <w:sz w:val="22"/>
          <w:lang w:val="nl-BE"/>
        </w:rPr>
        <w:t xml:space="preserve"> des</w:t>
      </w:r>
      <w:r w:rsidR="00620BFC" w:rsidRPr="006B7F19">
        <w:rPr>
          <w:i/>
          <w:sz w:val="22"/>
          <w:lang w:val="nl-BE"/>
        </w:rPr>
        <w:t xml:space="preserve"> </w:t>
      </w:r>
      <w:proofErr w:type="spellStart"/>
      <w:r w:rsidRPr="006B7F19">
        <w:rPr>
          <w:i/>
          <w:sz w:val="22"/>
          <w:lang w:val="nl-BE"/>
        </w:rPr>
        <w:t>obligations</w:t>
      </w:r>
      <w:proofErr w:type="spellEnd"/>
      <w:r w:rsidRPr="006B7F19">
        <w:rPr>
          <w:i/>
          <w:sz w:val="22"/>
          <w:lang w:val="nl-BE"/>
        </w:rPr>
        <w:t xml:space="preserve"> </w:t>
      </w:r>
      <w:proofErr w:type="gramStart"/>
      <w:r w:rsidRPr="006B7F19">
        <w:rPr>
          <w:i/>
          <w:sz w:val="22"/>
          <w:lang w:val="nl-BE"/>
        </w:rPr>
        <w:t>de</w:t>
      </w:r>
      <w:proofErr w:type="gramEnd"/>
      <w:r w:rsidRPr="006B7F19">
        <w:rPr>
          <w:i/>
          <w:sz w:val="22"/>
          <w:lang w:val="nl-BE"/>
        </w:rPr>
        <w:t xml:space="preserve"> </w:t>
      </w:r>
      <w:proofErr w:type="spellStart"/>
      <w:r w:rsidRPr="006B7F19">
        <w:rPr>
          <w:i/>
          <w:sz w:val="22"/>
          <w:lang w:val="nl-BE"/>
        </w:rPr>
        <w:t>déclarations</w:t>
      </w:r>
      <w:proofErr w:type="spellEnd"/>
      <w:r w:rsidRPr="006B7F19">
        <w:rPr>
          <w:i/>
          <w:sz w:val="22"/>
          <w:lang w:val="nl-BE"/>
        </w:rPr>
        <w:t xml:space="preserve"> </w:t>
      </w:r>
      <w:proofErr w:type="spellStart"/>
      <w:r w:rsidRPr="006B7F19">
        <w:rPr>
          <w:i/>
          <w:sz w:val="22"/>
          <w:lang w:val="nl-BE"/>
        </w:rPr>
        <w:t>occasionnelles</w:t>
      </w:r>
      <w:proofErr w:type="spellEnd"/>
      <w:r w:rsidRPr="006B7F19">
        <w:rPr>
          <w:i/>
          <w:sz w:val="22"/>
          <w:lang w:val="nl-BE"/>
        </w:rPr>
        <w:t xml:space="preserve"> et </w:t>
      </w:r>
      <w:proofErr w:type="spellStart"/>
      <w:r w:rsidRPr="006B7F19">
        <w:rPr>
          <w:i/>
          <w:sz w:val="22"/>
          <w:lang w:val="nl-BE"/>
        </w:rPr>
        <w:t>périodiques</w:t>
      </w:r>
      <w:proofErr w:type="spellEnd"/>
      <w:r w:rsidRPr="006B7F19">
        <w:rPr>
          <w:i/>
          <w:sz w:val="22"/>
          <w:lang w:val="nl-BE"/>
        </w:rPr>
        <w:t xml:space="preserve"> à </w:t>
      </w:r>
      <w:proofErr w:type="spellStart"/>
      <w:r w:rsidR="00CF256F" w:rsidRPr="00CF256F">
        <w:rPr>
          <w:i/>
          <w:sz w:val="22"/>
          <w:lang w:val="nl-BE"/>
        </w:rPr>
        <w:t>l’autorité</w:t>
      </w:r>
      <w:proofErr w:type="spellEnd"/>
      <w:r w:rsidR="00CF256F" w:rsidRPr="00CF256F">
        <w:rPr>
          <w:i/>
          <w:sz w:val="22"/>
          <w:lang w:val="nl-BE"/>
        </w:rPr>
        <w:t xml:space="preserve"> de </w:t>
      </w:r>
      <w:proofErr w:type="spellStart"/>
      <w:r w:rsidR="00CF256F" w:rsidRPr="00CF256F">
        <w:rPr>
          <w:i/>
          <w:sz w:val="22"/>
          <w:lang w:val="nl-BE"/>
        </w:rPr>
        <w:t>contrôle</w:t>
      </w:r>
      <w:proofErr w:type="spellEnd"/>
      <w:r w:rsidR="00CF256F" w:rsidRPr="00CF256F">
        <w:rPr>
          <w:i/>
          <w:sz w:val="22"/>
          <w:lang w:val="nl-BE"/>
        </w:rPr>
        <w:t xml:space="preserve"> </w:t>
      </w:r>
      <w:r w:rsidRPr="006B7F19">
        <w:rPr>
          <w:i/>
          <w:sz w:val="22"/>
          <w:lang w:val="nl-BE"/>
        </w:rPr>
        <w:t>à charge des organismes</w:t>
      </w:r>
      <w:r w:rsidR="00620BFC" w:rsidRPr="006B7F19">
        <w:rPr>
          <w:i/>
          <w:sz w:val="22"/>
          <w:lang w:val="nl-BE"/>
        </w:rPr>
        <w:t xml:space="preserve"> </w:t>
      </w:r>
      <w:r w:rsidRPr="006B7F19">
        <w:rPr>
          <w:i/>
          <w:sz w:val="22"/>
          <w:lang w:val="nl-BE"/>
        </w:rPr>
        <w:t xml:space="preserve">financiers </w:t>
      </w:r>
      <w:proofErr w:type="spellStart"/>
      <w:r w:rsidRPr="006B7F19">
        <w:rPr>
          <w:i/>
          <w:sz w:val="22"/>
          <w:lang w:val="nl-BE"/>
        </w:rPr>
        <w:t>eux-mêmes</w:t>
      </w:r>
      <w:proofErr w:type="spellEnd"/>
      <w:r w:rsidRPr="006B7F19">
        <w:rPr>
          <w:i/>
          <w:sz w:val="22"/>
          <w:lang w:val="nl-BE"/>
        </w:rPr>
        <w:t>.</w:t>
      </w:r>
    </w:p>
    <w:p w:rsidR="005D16AE" w:rsidRPr="006B7F19" w:rsidRDefault="005D16AE" w:rsidP="00620BFC">
      <w:pPr>
        <w:tabs>
          <w:tab w:val="clear" w:pos="284"/>
        </w:tabs>
        <w:autoSpaceDE w:val="0"/>
        <w:autoSpaceDN w:val="0"/>
        <w:adjustRightInd w:val="0"/>
        <w:spacing w:line="240" w:lineRule="auto"/>
        <w:jc w:val="both"/>
        <w:rPr>
          <w:i/>
          <w:sz w:val="22"/>
          <w:lang w:val="nl-BE"/>
        </w:rPr>
      </w:pPr>
      <w:r w:rsidRPr="006B7F19">
        <w:rPr>
          <w:i/>
          <w:sz w:val="22"/>
          <w:lang w:val="nl-BE"/>
        </w:rPr>
        <w:t xml:space="preserve">En complément à la </w:t>
      </w:r>
      <w:proofErr w:type="spellStart"/>
      <w:r w:rsidRPr="006B7F19">
        <w:rPr>
          <w:i/>
          <w:sz w:val="22"/>
          <w:lang w:val="nl-BE"/>
        </w:rPr>
        <w:t>communication</w:t>
      </w:r>
      <w:proofErr w:type="spellEnd"/>
      <w:r w:rsidRPr="006B7F19">
        <w:rPr>
          <w:i/>
          <w:sz w:val="22"/>
          <w:lang w:val="nl-BE"/>
        </w:rPr>
        <w:t xml:space="preserve"> de la </w:t>
      </w:r>
      <w:proofErr w:type="spellStart"/>
      <w:r w:rsidR="00CF256F">
        <w:rPr>
          <w:i/>
          <w:sz w:val="22"/>
          <w:lang w:val="nl-BE"/>
        </w:rPr>
        <w:t>Banque</w:t>
      </w:r>
      <w:proofErr w:type="spellEnd"/>
      <w:r w:rsidR="00CF256F">
        <w:rPr>
          <w:i/>
          <w:sz w:val="22"/>
          <w:lang w:val="nl-BE"/>
        </w:rPr>
        <w:t xml:space="preserve"> nationale de </w:t>
      </w:r>
      <w:proofErr w:type="spellStart"/>
      <w:r w:rsidR="00CF256F">
        <w:rPr>
          <w:i/>
          <w:sz w:val="22"/>
          <w:lang w:val="nl-BE"/>
        </w:rPr>
        <w:t>Belgique</w:t>
      </w:r>
      <w:proofErr w:type="spellEnd"/>
      <w:r w:rsidR="006B7F19">
        <w:rPr>
          <w:i/>
          <w:sz w:val="22"/>
          <w:lang w:val="nl-BE"/>
        </w:rPr>
        <w:t xml:space="preserve"> </w:t>
      </w:r>
      <w:proofErr w:type="spellStart"/>
      <w:r w:rsidRPr="006B7F19">
        <w:rPr>
          <w:i/>
          <w:sz w:val="22"/>
          <w:lang w:val="nl-BE"/>
        </w:rPr>
        <w:t>aux</w:t>
      </w:r>
      <w:proofErr w:type="spellEnd"/>
      <w:r w:rsidRPr="006B7F19">
        <w:rPr>
          <w:i/>
          <w:sz w:val="22"/>
          <w:lang w:val="nl-BE"/>
        </w:rPr>
        <w:t xml:space="preserve"> </w:t>
      </w:r>
      <w:proofErr w:type="spellStart"/>
      <w:r w:rsidRPr="006B7F19">
        <w:rPr>
          <w:i/>
          <w:sz w:val="22"/>
          <w:lang w:val="nl-BE"/>
        </w:rPr>
        <w:t>candidats</w:t>
      </w:r>
      <w:proofErr w:type="spellEnd"/>
      <w:r w:rsidRPr="006B7F19">
        <w:rPr>
          <w:i/>
          <w:sz w:val="22"/>
          <w:lang w:val="nl-BE"/>
        </w:rPr>
        <w:t xml:space="preserve"> </w:t>
      </w:r>
      <w:proofErr w:type="spellStart"/>
      <w:r w:rsidRPr="006B7F19">
        <w:rPr>
          <w:i/>
          <w:sz w:val="22"/>
          <w:lang w:val="nl-BE"/>
        </w:rPr>
        <w:t>acquéreurs</w:t>
      </w:r>
      <w:proofErr w:type="spellEnd"/>
      <w:r w:rsidRPr="006B7F19">
        <w:rPr>
          <w:i/>
          <w:sz w:val="22"/>
          <w:lang w:val="nl-BE"/>
        </w:rPr>
        <w:t xml:space="preserve"> et </w:t>
      </w:r>
      <w:proofErr w:type="spellStart"/>
      <w:r w:rsidRPr="006B7F19">
        <w:rPr>
          <w:i/>
          <w:sz w:val="22"/>
          <w:lang w:val="nl-BE"/>
        </w:rPr>
        <w:t>actionnaires</w:t>
      </w:r>
      <w:proofErr w:type="spellEnd"/>
      <w:r w:rsidRPr="006B7F19">
        <w:rPr>
          <w:i/>
          <w:sz w:val="22"/>
          <w:lang w:val="nl-BE"/>
        </w:rPr>
        <w:t>, la</w:t>
      </w:r>
      <w:r w:rsidR="00620BFC" w:rsidRPr="006B7F19">
        <w:rPr>
          <w:i/>
          <w:sz w:val="22"/>
          <w:lang w:val="nl-BE"/>
        </w:rPr>
        <w:t xml:space="preserve"> </w:t>
      </w:r>
      <w:r w:rsidRPr="006B7F19">
        <w:rPr>
          <w:i/>
          <w:sz w:val="22"/>
          <w:lang w:val="nl-BE"/>
        </w:rPr>
        <w:t xml:space="preserve">présente circulaire </w:t>
      </w:r>
      <w:proofErr w:type="spellStart"/>
      <w:r w:rsidRPr="006B7F19">
        <w:rPr>
          <w:i/>
          <w:sz w:val="22"/>
          <w:lang w:val="nl-BE"/>
        </w:rPr>
        <w:t>vise</w:t>
      </w:r>
      <w:proofErr w:type="spellEnd"/>
      <w:r w:rsidRPr="006B7F19">
        <w:rPr>
          <w:i/>
          <w:sz w:val="22"/>
          <w:lang w:val="nl-BE"/>
        </w:rPr>
        <w:t xml:space="preserve"> </w:t>
      </w:r>
      <w:proofErr w:type="spellStart"/>
      <w:r w:rsidRPr="006B7F19">
        <w:rPr>
          <w:i/>
          <w:sz w:val="22"/>
          <w:lang w:val="nl-BE"/>
        </w:rPr>
        <w:t>dès</w:t>
      </w:r>
      <w:proofErr w:type="spellEnd"/>
      <w:r w:rsidRPr="006B7F19">
        <w:rPr>
          <w:i/>
          <w:sz w:val="22"/>
          <w:lang w:val="nl-BE"/>
        </w:rPr>
        <w:t xml:space="preserve"> </w:t>
      </w:r>
      <w:proofErr w:type="spellStart"/>
      <w:r w:rsidRPr="006B7F19">
        <w:rPr>
          <w:i/>
          <w:sz w:val="22"/>
          <w:lang w:val="nl-BE"/>
        </w:rPr>
        <w:t>lors</w:t>
      </w:r>
      <w:proofErr w:type="spellEnd"/>
      <w:r w:rsidRPr="006B7F19">
        <w:rPr>
          <w:i/>
          <w:sz w:val="22"/>
          <w:lang w:val="nl-BE"/>
        </w:rPr>
        <w:t xml:space="preserve"> à </w:t>
      </w:r>
      <w:proofErr w:type="spellStart"/>
      <w:r w:rsidRPr="006B7F19">
        <w:rPr>
          <w:i/>
          <w:sz w:val="22"/>
          <w:lang w:val="nl-BE"/>
        </w:rPr>
        <w:t>préciser</w:t>
      </w:r>
      <w:proofErr w:type="spellEnd"/>
      <w:r w:rsidRPr="006B7F19">
        <w:rPr>
          <w:i/>
          <w:sz w:val="22"/>
          <w:lang w:val="nl-BE"/>
        </w:rPr>
        <w:t xml:space="preserve"> les </w:t>
      </w:r>
      <w:proofErr w:type="spellStart"/>
      <w:r w:rsidRPr="006B7F19">
        <w:rPr>
          <w:i/>
          <w:sz w:val="22"/>
          <w:lang w:val="nl-BE"/>
        </w:rPr>
        <w:t>modalités</w:t>
      </w:r>
      <w:proofErr w:type="spellEnd"/>
      <w:r w:rsidRPr="006B7F19">
        <w:rPr>
          <w:i/>
          <w:sz w:val="22"/>
          <w:lang w:val="nl-BE"/>
        </w:rPr>
        <w:t xml:space="preserve"> de mise en oeuvre de ces </w:t>
      </w:r>
      <w:proofErr w:type="spellStart"/>
      <w:r w:rsidRPr="006B7F19">
        <w:rPr>
          <w:i/>
          <w:sz w:val="22"/>
          <w:lang w:val="nl-BE"/>
        </w:rPr>
        <w:t>obligations</w:t>
      </w:r>
      <w:proofErr w:type="spellEnd"/>
      <w:r w:rsidR="00620BFC" w:rsidRPr="006B7F19">
        <w:rPr>
          <w:i/>
          <w:sz w:val="22"/>
          <w:lang w:val="nl-BE"/>
        </w:rPr>
        <w:t xml:space="preserve"> </w:t>
      </w:r>
      <w:proofErr w:type="spellStart"/>
      <w:r w:rsidRPr="006B7F19">
        <w:rPr>
          <w:i/>
          <w:sz w:val="22"/>
          <w:lang w:val="nl-BE"/>
        </w:rPr>
        <w:t>auxquelles</w:t>
      </w:r>
      <w:proofErr w:type="spellEnd"/>
      <w:r w:rsidRPr="006B7F19">
        <w:rPr>
          <w:i/>
          <w:sz w:val="22"/>
          <w:lang w:val="nl-BE"/>
        </w:rPr>
        <w:t xml:space="preserve"> les organismes financiers </w:t>
      </w:r>
      <w:proofErr w:type="spellStart"/>
      <w:r w:rsidRPr="006B7F19">
        <w:rPr>
          <w:i/>
          <w:sz w:val="22"/>
          <w:lang w:val="nl-BE"/>
        </w:rPr>
        <w:t>eux-mêmes</w:t>
      </w:r>
      <w:proofErr w:type="spellEnd"/>
      <w:r w:rsidRPr="006B7F19">
        <w:rPr>
          <w:i/>
          <w:sz w:val="22"/>
          <w:lang w:val="nl-BE"/>
        </w:rPr>
        <w:t xml:space="preserve"> </w:t>
      </w:r>
      <w:proofErr w:type="spellStart"/>
      <w:r w:rsidRPr="006B7F19">
        <w:rPr>
          <w:i/>
          <w:sz w:val="22"/>
          <w:lang w:val="nl-BE"/>
        </w:rPr>
        <w:t>sont</w:t>
      </w:r>
      <w:proofErr w:type="spellEnd"/>
      <w:r w:rsidRPr="006B7F19">
        <w:rPr>
          <w:i/>
          <w:sz w:val="22"/>
          <w:lang w:val="nl-BE"/>
        </w:rPr>
        <w:t xml:space="preserve"> </w:t>
      </w:r>
      <w:proofErr w:type="spellStart"/>
      <w:r w:rsidRPr="006B7F19">
        <w:rPr>
          <w:i/>
          <w:sz w:val="22"/>
          <w:lang w:val="nl-BE"/>
        </w:rPr>
        <w:t>tenus</w:t>
      </w:r>
      <w:proofErr w:type="spellEnd"/>
      <w:r w:rsidRPr="006B7F19">
        <w:rPr>
          <w:i/>
          <w:sz w:val="22"/>
          <w:lang w:val="nl-BE"/>
        </w:rPr>
        <w:t xml:space="preserve"> de </w:t>
      </w:r>
      <w:proofErr w:type="spellStart"/>
      <w:r w:rsidRPr="006B7F19">
        <w:rPr>
          <w:i/>
          <w:sz w:val="22"/>
          <w:lang w:val="nl-BE"/>
        </w:rPr>
        <w:t>satisfaire</w:t>
      </w:r>
      <w:proofErr w:type="spellEnd"/>
      <w:r w:rsidRPr="006B7F19">
        <w:rPr>
          <w:i/>
          <w:sz w:val="22"/>
          <w:lang w:val="nl-BE"/>
        </w:rPr>
        <w:t>.</w:t>
      </w:r>
    </w:p>
    <w:p w:rsidR="00620BFC" w:rsidRDefault="00620BFC" w:rsidP="00682F2F">
      <w:pPr>
        <w:pStyle w:val="Sous-titreOndertitel"/>
      </w:pPr>
    </w:p>
    <w:p w:rsidR="00947C4D" w:rsidRPr="00947C4D" w:rsidRDefault="00947C4D" w:rsidP="00CB6234">
      <w:pPr>
        <w:tabs>
          <w:tab w:val="clear" w:pos="284"/>
        </w:tabs>
        <w:autoSpaceDE w:val="0"/>
        <w:autoSpaceDN w:val="0"/>
        <w:adjustRightInd w:val="0"/>
        <w:spacing w:before="120" w:line="240" w:lineRule="auto"/>
        <w:rPr>
          <w:rFonts w:cs="Arial"/>
          <w:i/>
          <w:iCs/>
          <w:sz w:val="22"/>
          <w:szCs w:val="22"/>
          <w:u w:val="single"/>
          <w:lang w:val="fr-BE" w:eastAsia="nl-BE"/>
        </w:rPr>
      </w:pPr>
      <w:r w:rsidRPr="00947C4D">
        <w:rPr>
          <w:rFonts w:cs="Arial"/>
          <w:i/>
          <w:iCs/>
          <w:sz w:val="22"/>
          <w:szCs w:val="22"/>
          <w:u w:val="single"/>
          <w:lang w:val="fr-BE" w:eastAsia="nl-BE"/>
        </w:rPr>
        <w:t>Références juridiques</w:t>
      </w:r>
    </w:p>
    <w:p w:rsidR="00947C4D" w:rsidRPr="00947C4D" w:rsidRDefault="00947C4D" w:rsidP="00422FE4">
      <w:pPr>
        <w:pStyle w:val="ListParagraph"/>
        <w:numPr>
          <w:ilvl w:val="0"/>
          <w:numId w:val="39"/>
        </w:numPr>
        <w:tabs>
          <w:tab w:val="clear" w:pos="284"/>
        </w:tabs>
        <w:autoSpaceDE w:val="0"/>
        <w:autoSpaceDN w:val="0"/>
        <w:adjustRightInd w:val="0"/>
        <w:spacing w:before="120" w:line="240" w:lineRule="auto"/>
        <w:jc w:val="both"/>
        <w:rPr>
          <w:rFonts w:cs="Arial"/>
          <w:i/>
          <w:iCs/>
          <w:sz w:val="22"/>
          <w:szCs w:val="22"/>
          <w:lang w:val="fr-BE" w:eastAsia="nl-BE"/>
        </w:rPr>
      </w:pPr>
      <w:r w:rsidRPr="00947C4D">
        <w:rPr>
          <w:rFonts w:cs="Arial"/>
          <w:i/>
          <w:iCs/>
          <w:sz w:val="22"/>
          <w:szCs w:val="22"/>
          <w:lang w:val="fr-BE" w:eastAsia="nl-BE"/>
        </w:rPr>
        <w:t xml:space="preserve">Loi du 13 mars 2016 relative au statut et au contrôle des entreprises d'assurance ou de réassurance : articles </w:t>
      </w:r>
      <w:r w:rsidR="008771A8">
        <w:rPr>
          <w:rFonts w:cs="Arial"/>
          <w:i/>
          <w:iCs/>
          <w:sz w:val="22"/>
          <w:szCs w:val="22"/>
          <w:lang w:val="fr-BE" w:eastAsia="nl-BE"/>
        </w:rPr>
        <w:t>71</w:t>
      </w:r>
      <w:r w:rsidRPr="00947C4D">
        <w:rPr>
          <w:rFonts w:cs="Arial"/>
          <w:i/>
          <w:iCs/>
          <w:sz w:val="22"/>
          <w:szCs w:val="22"/>
          <w:lang w:val="fr-BE" w:eastAsia="nl-BE"/>
        </w:rPr>
        <w:t xml:space="preserve"> (entreprises d’assurance ou de réassurance) et 443 (sociétés holdings d’assurance et compagnies financières mixtes incluses dans un groupe d’assurance) ; et</w:t>
      </w:r>
    </w:p>
    <w:p w:rsidR="00947C4D" w:rsidRPr="00947C4D" w:rsidRDefault="00947C4D" w:rsidP="00422FE4">
      <w:pPr>
        <w:pStyle w:val="ListParagraph"/>
        <w:numPr>
          <w:ilvl w:val="0"/>
          <w:numId w:val="39"/>
        </w:numPr>
        <w:tabs>
          <w:tab w:val="clear" w:pos="284"/>
        </w:tabs>
        <w:autoSpaceDE w:val="0"/>
        <w:autoSpaceDN w:val="0"/>
        <w:adjustRightInd w:val="0"/>
        <w:spacing w:before="120" w:line="240" w:lineRule="auto"/>
        <w:jc w:val="both"/>
        <w:rPr>
          <w:rFonts w:cs="Arial"/>
          <w:i/>
          <w:iCs/>
          <w:sz w:val="22"/>
          <w:szCs w:val="22"/>
          <w:lang w:val="fr-BE" w:eastAsia="nl-BE"/>
        </w:rPr>
      </w:pPr>
      <w:r w:rsidRPr="00947C4D">
        <w:rPr>
          <w:rFonts w:cs="Arial"/>
          <w:i/>
          <w:iCs/>
          <w:sz w:val="22"/>
          <w:szCs w:val="22"/>
          <w:lang w:val="fr-BE" w:eastAsia="nl-BE"/>
        </w:rPr>
        <w:t xml:space="preserve">Loi du 25 avril 2014 relative au statut et au contrôle des établissements de crédit et des sociétés de bourse : articles </w:t>
      </w:r>
      <w:r w:rsidR="00CB6234">
        <w:rPr>
          <w:rFonts w:cs="Arial"/>
          <w:i/>
          <w:iCs/>
          <w:sz w:val="22"/>
          <w:szCs w:val="22"/>
          <w:lang w:val="fr-BE" w:eastAsia="nl-BE"/>
        </w:rPr>
        <w:t>53</w:t>
      </w:r>
      <w:r w:rsidRPr="00947C4D">
        <w:rPr>
          <w:rFonts w:cs="Arial"/>
          <w:i/>
          <w:iCs/>
          <w:sz w:val="22"/>
          <w:szCs w:val="22"/>
          <w:lang w:val="fr-BE" w:eastAsia="nl-BE"/>
        </w:rPr>
        <w:t xml:space="preserve"> (établissements de crédit), 212 (compagnies financières et compagnies financières mixtes incluses dans un groupe bancaire) et </w:t>
      </w:r>
      <w:r w:rsidR="00CB6234">
        <w:rPr>
          <w:rFonts w:cs="Arial"/>
          <w:i/>
          <w:iCs/>
          <w:sz w:val="22"/>
          <w:szCs w:val="22"/>
          <w:lang w:val="fr-BE" w:eastAsia="nl-BE"/>
        </w:rPr>
        <w:t>517</w:t>
      </w:r>
      <w:r w:rsidRPr="00947C4D">
        <w:rPr>
          <w:rFonts w:cs="Arial"/>
          <w:i/>
          <w:iCs/>
          <w:sz w:val="22"/>
          <w:szCs w:val="22"/>
          <w:lang w:val="fr-BE" w:eastAsia="nl-BE"/>
        </w:rPr>
        <w:t xml:space="preserve"> (sociétés de bourse).</w:t>
      </w:r>
    </w:p>
    <w:p w:rsidR="00947C4D" w:rsidRPr="00947C4D" w:rsidRDefault="00947C4D" w:rsidP="00682F2F">
      <w:pPr>
        <w:pStyle w:val="Sous-titreOndertitel"/>
      </w:pPr>
    </w:p>
    <w:p w:rsidR="00947C4D" w:rsidRPr="006B7F19" w:rsidRDefault="00947C4D" w:rsidP="00682F2F">
      <w:pPr>
        <w:pStyle w:val="Sous-titreOndertitel"/>
      </w:pPr>
    </w:p>
    <w:p w:rsidR="005D16AE" w:rsidRPr="006B7F19" w:rsidRDefault="005D16AE" w:rsidP="00682F2F">
      <w:pPr>
        <w:pStyle w:val="Sous-titreOndertitel"/>
      </w:pPr>
      <w:r w:rsidRPr="006B7F19">
        <w:t>Structure</w:t>
      </w:r>
    </w:p>
    <w:p w:rsidR="008771A8" w:rsidRDefault="008771A8" w:rsidP="005D16AE">
      <w:pPr>
        <w:tabs>
          <w:tab w:val="clear" w:pos="284"/>
        </w:tabs>
        <w:autoSpaceDE w:val="0"/>
        <w:autoSpaceDN w:val="0"/>
        <w:adjustRightInd w:val="0"/>
        <w:spacing w:line="240" w:lineRule="auto"/>
        <w:rPr>
          <w:i/>
          <w:sz w:val="22"/>
          <w:lang w:val="nl-BE"/>
        </w:rPr>
      </w:pPr>
      <w:r>
        <w:rPr>
          <w:i/>
          <w:sz w:val="22"/>
          <w:lang w:val="nl-BE"/>
        </w:rPr>
        <w:t xml:space="preserve">1. </w:t>
      </w:r>
      <w:proofErr w:type="spellStart"/>
      <w:proofErr w:type="gramStart"/>
      <w:r>
        <w:rPr>
          <w:i/>
          <w:sz w:val="22"/>
          <w:lang w:val="nl-BE"/>
        </w:rPr>
        <w:t>Contexte</w:t>
      </w:r>
      <w:proofErr w:type="spellEnd"/>
      <w:r>
        <w:rPr>
          <w:i/>
          <w:sz w:val="22"/>
          <w:lang w:val="nl-BE"/>
        </w:rPr>
        <w:t xml:space="preserve"> et </w:t>
      </w:r>
      <w:proofErr w:type="spellStart"/>
      <w:r>
        <w:rPr>
          <w:i/>
          <w:sz w:val="22"/>
          <w:lang w:val="nl-BE"/>
        </w:rPr>
        <w:t>objectifs</w:t>
      </w:r>
      <w:proofErr w:type="spellEnd"/>
      <w:r>
        <w:rPr>
          <w:i/>
          <w:sz w:val="22"/>
          <w:lang w:val="nl-BE"/>
        </w:rPr>
        <w:t xml:space="preserve"> </w:t>
      </w:r>
      <w:proofErr w:type="gramEnd"/>
    </w:p>
    <w:p w:rsidR="008771A8" w:rsidRPr="006B7F19" w:rsidRDefault="008771A8" w:rsidP="008771A8">
      <w:pPr>
        <w:tabs>
          <w:tab w:val="clear" w:pos="284"/>
        </w:tabs>
        <w:autoSpaceDE w:val="0"/>
        <w:autoSpaceDN w:val="0"/>
        <w:adjustRightInd w:val="0"/>
        <w:spacing w:line="240" w:lineRule="auto"/>
        <w:rPr>
          <w:i/>
          <w:sz w:val="22"/>
          <w:lang w:val="nl-BE"/>
        </w:rPr>
      </w:pPr>
      <w:r>
        <w:rPr>
          <w:i/>
          <w:sz w:val="22"/>
          <w:lang w:val="nl-BE"/>
        </w:rPr>
        <w:t xml:space="preserve">2. </w:t>
      </w:r>
      <w:proofErr w:type="spellStart"/>
      <w:r w:rsidRPr="006B7F19">
        <w:rPr>
          <w:i/>
          <w:sz w:val="22"/>
          <w:lang w:val="nl-BE"/>
        </w:rPr>
        <w:t>Déclarations</w:t>
      </w:r>
      <w:proofErr w:type="spellEnd"/>
      <w:r w:rsidRPr="006B7F19">
        <w:rPr>
          <w:i/>
          <w:sz w:val="22"/>
          <w:lang w:val="nl-BE"/>
        </w:rPr>
        <w:t xml:space="preserve"> </w:t>
      </w:r>
      <w:proofErr w:type="spellStart"/>
      <w:r w:rsidRPr="006B7F19">
        <w:rPr>
          <w:i/>
          <w:sz w:val="22"/>
          <w:lang w:val="nl-BE"/>
        </w:rPr>
        <w:t>occasionnelles</w:t>
      </w:r>
      <w:proofErr w:type="spellEnd"/>
    </w:p>
    <w:p w:rsidR="008771A8" w:rsidRPr="006B7F19" w:rsidRDefault="008771A8" w:rsidP="008771A8">
      <w:pPr>
        <w:rPr>
          <w:i/>
          <w:sz w:val="22"/>
          <w:lang w:val="nl-BE"/>
        </w:rPr>
      </w:pPr>
      <w:r>
        <w:rPr>
          <w:i/>
          <w:sz w:val="22"/>
          <w:lang w:val="nl-BE"/>
        </w:rPr>
        <w:t xml:space="preserve">3. </w:t>
      </w:r>
      <w:proofErr w:type="spellStart"/>
      <w:r w:rsidRPr="006B7F19">
        <w:rPr>
          <w:i/>
          <w:sz w:val="22"/>
          <w:lang w:val="nl-BE"/>
        </w:rPr>
        <w:t>Déclarations</w:t>
      </w:r>
      <w:proofErr w:type="spellEnd"/>
      <w:r w:rsidRPr="006B7F19">
        <w:rPr>
          <w:i/>
          <w:sz w:val="22"/>
          <w:lang w:val="nl-BE"/>
        </w:rPr>
        <w:t xml:space="preserve"> </w:t>
      </w:r>
      <w:proofErr w:type="spellStart"/>
      <w:r w:rsidRPr="006B7F19">
        <w:rPr>
          <w:i/>
          <w:sz w:val="22"/>
          <w:lang w:val="nl-BE"/>
        </w:rPr>
        <w:t>annuelles</w:t>
      </w:r>
      <w:proofErr w:type="spellEnd"/>
    </w:p>
    <w:p w:rsidR="005D16AE" w:rsidRDefault="008771A8" w:rsidP="005D16AE">
      <w:pPr>
        <w:tabs>
          <w:tab w:val="clear" w:pos="284"/>
        </w:tabs>
        <w:autoSpaceDE w:val="0"/>
        <w:autoSpaceDN w:val="0"/>
        <w:adjustRightInd w:val="0"/>
        <w:spacing w:line="240" w:lineRule="auto"/>
        <w:rPr>
          <w:i/>
          <w:sz w:val="22"/>
          <w:lang w:val="nl-BE"/>
        </w:rPr>
      </w:pPr>
      <w:r>
        <w:rPr>
          <w:i/>
          <w:sz w:val="22"/>
          <w:lang w:val="nl-BE"/>
        </w:rPr>
        <w:t xml:space="preserve">4. </w:t>
      </w:r>
      <w:proofErr w:type="spellStart"/>
      <w:r w:rsidR="005D16AE" w:rsidRPr="006B7F19">
        <w:rPr>
          <w:i/>
          <w:sz w:val="22"/>
          <w:lang w:val="nl-BE"/>
        </w:rPr>
        <w:t>Modalités</w:t>
      </w:r>
      <w:proofErr w:type="spellEnd"/>
      <w:r w:rsidR="005D16AE" w:rsidRPr="006B7F19">
        <w:rPr>
          <w:i/>
          <w:sz w:val="22"/>
          <w:lang w:val="nl-BE"/>
        </w:rPr>
        <w:t xml:space="preserve"> </w:t>
      </w:r>
      <w:proofErr w:type="gramStart"/>
      <w:r w:rsidR="005D16AE" w:rsidRPr="006B7F19">
        <w:rPr>
          <w:i/>
          <w:sz w:val="22"/>
          <w:lang w:val="nl-BE"/>
        </w:rPr>
        <w:t>de</w:t>
      </w:r>
      <w:proofErr w:type="gramEnd"/>
      <w:r w:rsidR="005D16AE" w:rsidRPr="006B7F19">
        <w:rPr>
          <w:i/>
          <w:sz w:val="22"/>
          <w:lang w:val="nl-BE"/>
        </w:rPr>
        <w:t xml:space="preserve"> transmission des </w:t>
      </w:r>
      <w:proofErr w:type="spellStart"/>
      <w:r w:rsidR="001E5B4F">
        <w:rPr>
          <w:i/>
          <w:sz w:val="22"/>
          <w:lang w:val="nl-BE"/>
        </w:rPr>
        <w:t>déclarations</w:t>
      </w:r>
      <w:proofErr w:type="spellEnd"/>
      <w:r w:rsidR="001E5B4F" w:rsidRPr="006B7F19">
        <w:rPr>
          <w:i/>
          <w:sz w:val="22"/>
          <w:lang w:val="nl-BE"/>
        </w:rPr>
        <w:t xml:space="preserve"> </w:t>
      </w:r>
      <w:proofErr w:type="spellStart"/>
      <w:r w:rsidR="005D16AE" w:rsidRPr="006B7F19">
        <w:rPr>
          <w:i/>
          <w:sz w:val="22"/>
          <w:lang w:val="nl-BE"/>
        </w:rPr>
        <w:t>requises</w:t>
      </w:r>
      <w:proofErr w:type="spellEnd"/>
    </w:p>
    <w:p w:rsidR="0018502B" w:rsidRPr="006B7F19" w:rsidRDefault="0018502B" w:rsidP="005D16AE">
      <w:pPr>
        <w:tabs>
          <w:tab w:val="clear" w:pos="284"/>
        </w:tabs>
        <w:autoSpaceDE w:val="0"/>
        <w:autoSpaceDN w:val="0"/>
        <w:adjustRightInd w:val="0"/>
        <w:spacing w:line="240" w:lineRule="auto"/>
        <w:rPr>
          <w:i/>
          <w:sz w:val="22"/>
          <w:lang w:val="nl-BE"/>
        </w:rPr>
      </w:pPr>
      <w:r>
        <w:rPr>
          <w:i/>
          <w:sz w:val="22"/>
          <w:lang w:val="nl-BE"/>
        </w:rPr>
        <w:t xml:space="preserve">5. Entrée en </w:t>
      </w:r>
      <w:proofErr w:type="spellStart"/>
      <w:r>
        <w:rPr>
          <w:i/>
          <w:sz w:val="22"/>
          <w:lang w:val="nl-BE"/>
        </w:rPr>
        <w:t>vigueur</w:t>
      </w:r>
      <w:proofErr w:type="spellEnd"/>
    </w:p>
    <w:p w:rsidR="008771A8" w:rsidRDefault="008771A8">
      <w:pPr>
        <w:tabs>
          <w:tab w:val="clear" w:pos="284"/>
        </w:tabs>
        <w:spacing w:line="240" w:lineRule="auto"/>
      </w:pPr>
    </w:p>
    <w:p w:rsidR="00E96BA3" w:rsidRDefault="00E96BA3" w:rsidP="005D16AE">
      <w:pPr>
        <w:tabs>
          <w:tab w:val="clear" w:pos="284"/>
        </w:tabs>
        <w:autoSpaceDE w:val="0"/>
        <w:autoSpaceDN w:val="0"/>
        <w:adjustRightInd w:val="0"/>
        <w:jc w:val="both"/>
        <w:rPr>
          <w:rFonts w:cs="Arial"/>
          <w:lang w:val="fr-BE" w:eastAsia="nl-BE"/>
        </w:rPr>
      </w:pPr>
    </w:p>
    <w:p w:rsidR="00E96BA3" w:rsidRDefault="00E96BA3" w:rsidP="005D16AE">
      <w:pPr>
        <w:tabs>
          <w:tab w:val="clear" w:pos="284"/>
        </w:tabs>
        <w:autoSpaceDE w:val="0"/>
        <w:autoSpaceDN w:val="0"/>
        <w:adjustRightInd w:val="0"/>
        <w:jc w:val="both"/>
        <w:rPr>
          <w:rFonts w:cs="Arial"/>
          <w:lang w:val="fr-BE" w:eastAsia="nl-BE"/>
        </w:rPr>
      </w:pPr>
    </w:p>
    <w:p w:rsidR="00E96BA3" w:rsidRDefault="00E96BA3" w:rsidP="005D16AE">
      <w:pPr>
        <w:tabs>
          <w:tab w:val="clear" w:pos="284"/>
        </w:tabs>
        <w:autoSpaceDE w:val="0"/>
        <w:autoSpaceDN w:val="0"/>
        <w:adjustRightInd w:val="0"/>
        <w:jc w:val="both"/>
        <w:rPr>
          <w:rFonts w:cs="Arial"/>
          <w:lang w:val="fr-BE" w:eastAsia="nl-BE"/>
        </w:rPr>
      </w:pPr>
    </w:p>
    <w:p w:rsidR="005D16AE" w:rsidRPr="006B7F19" w:rsidRDefault="005D16AE" w:rsidP="005D16AE">
      <w:pPr>
        <w:tabs>
          <w:tab w:val="clear" w:pos="284"/>
        </w:tabs>
        <w:autoSpaceDE w:val="0"/>
        <w:autoSpaceDN w:val="0"/>
        <w:adjustRightInd w:val="0"/>
        <w:jc w:val="both"/>
        <w:rPr>
          <w:rFonts w:cs="Arial"/>
          <w:lang w:val="fr-BE" w:eastAsia="nl-BE"/>
        </w:rPr>
      </w:pPr>
      <w:r w:rsidRPr="006B7F19">
        <w:rPr>
          <w:rFonts w:cs="Arial"/>
          <w:lang w:val="fr-BE" w:eastAsia="nl-BE"/>
        </w:rPr>
        <w:t>Madame,</w:t>
      </w:r>
    </w:p>
    <w:p w:rsidR="005D16AE" w:rsidRPr="006B7F19" w:rsidRDefault="005D16AE" w:rsidP="005D16AE">
      <w:pPr>
        <w:tabs>
          <w:tab w:val="clear" w:pos="284"/>
        </w:tabs>
        <w:autoSpaceDE w:val="0"/>
        <w:autoSpaceDN w:val="0"/>
        <w:adjustRightInd w:val="0"/>
        <w:jc w:val="both"/>
        <w:rPr>
          <w:rFonts w:cs="Arial"/>
          <w:lang w:val="fr-BE" w:eastAsia="nl-BE"/>
        </w:rPr>
      </w:pPr>
      <w:r w:rsidRPr="006B7F19">
        <w:rPr>
          <w:rFonts w:cs="Arial"/>
          <w:lang w:val="fr-BE" w:eastAsia="nl-BE"/>
        </w:rPr>
        <w:t>Monsieur,</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Sur le pan prudentiel, il est essentiel que les personnes qui sont susceptibles d'exercer une influence sur la gestion des organismes financiers en raison des participations qu'ils détiennent directement ou indirectement dans leur capital présentent les qualités permettant de considérer qu'ils exerceront cette influence de manière à promouvoir une gestion saine et prudente de ces organismes.</w:t>
      </w:r>
    </w:p>
    <w:p w:rsidR="005D16AE"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Outre que cette exigence prudentielle constitue une condition d'agrément, elle perdure ensuite, et se traduit notamment par la nécessité de procéder à l'évaluation prudentielle des qualités des personnes physiques ou morales qui ont décidé d'acquérir ou d'accroître significativement une participation dans le capital de ces organismes financiers. Cette évaluation prudentielle doit cependant être effectuée dans des conditions telles qu'elle ne constitue pas un obstacle disproportionné aux opérations d'acquisition dans le secteur financier.</w:t>
      </w:r>
    </w:p>
    <w:p w:rsidR="008771A8" w:rsidRPr="008771A8" w:rsidRDefault="008771A8" w:rsidP="000E5338">
      <w:pPr>
        <w:tabs>
          <w:tab w:val="clear" w:pos="284"/>
        </w:tabs>
        <w:autoSpaceDE w:val="0"/>
        <w:autoSpaceDN w:val="0"/>
        <w:adjustRightInd w:val="0"/>
        <w:spacing w:before="240" w:after="240"/>
        <w:jc w:val="both"/>
        <w:rPr>
          <w:rFonts w:cs="Arial"/>
          <w:b/>
          <w:u w:val="single"/>
          <w:lang w:val="fr-BE" w:eastAsia="nl-BE"/>
        </w:rPr>
      </w:pPr>
      <w:r w:rsidRPr="008771A8">
        <w:rPr>
          <w:rFonts w:cs="Arial"/>
          <w:b/>
          <w:u w:val="single"/>
          <w:lang w:val="fr-BE" w:eastAsia="nl-BE"/>
        </w:rPr>
        <w:t xml:space="preserve">1. Contexte et objectif </w:t>
      </w:r>
    </w:p>
    <w:p w:rsidR="00E63E0F" w:rsidRDefault="00E63E0F" w:rsidP="000E5338">
      <w:pPr>
        <w:tabs>
          <w:tab w:val="clear" w:pos="284"/>
        </w:tabs>
        <w:autoSpaceDE w:val="0"/>
        <w:autoSpaceDN w:val="0"/>
        <w:adjustRightInd w:val="0"/>
        <w:spacing w:before="240" w:after="240"/>
        <w:jc w:val="both"/>
        <w:rPr>
          <w:rFonts w:cs="Arial"/>
          <w:lang w:val="fr-BE" w:eastAsia="nl-BE"/>
        </w:rPr>
      </w:pPr>
      <w:r>
        <w:rPr>
          <w:rFonts w:cs="Arial"/>
          <w:lang w:val="fr-BE" w:eastAsia="nl-BE"/>
        </w:rPr>
        <w:t>Suite à la publication le 5 mai 2017 des orientations communes des</w:t>
      </w:r>
      <w:r w:rsidRPr="00AD7B1C">
        <w:rPr>
          <w:rFonts w:cs="Arial"/>
          <w:lang w:val="fr-BE" w:eastAsia="nl-BE"/>
        </w:rPr>
        <w:t xml:space="preserve"> autorités européennes de surveillance ou “AES” (c’est-à-dire l’Autorité bancaire européenne, l’Autorité européenne des assurances et des pensions professionnelles et l’Autorité européenne des marches financiers) </w:t>
      </w:r>
      <w:r>
        <w:rPr>
          <w:rFonts w:cs="Arial"/>
          <w:lang w:val="fr-BE" w:eastAsia="nl-BE"/>
        </w:rPr>
        <w:t xml:space="preserve">concernant </w:t>
      </w:r>
      <w:r w:rsidRPr="00AD7B1C">
        <w:rPr>
          <w:rFonts w:cs="Arial"/>
          <w:lang w:val="fr-BE" w:eastAsia="nl-BE"/>
        </w:rPr>
        <w:t>l’évaluation prudentielle des acquisitions et des augmentations de participations qualifiées dans des entités du secteur financier</w:t>
      </w:r>
      <w:r w:rsidR="008771A8">
        <w:rPr>
          <w:rStyle w:val="FootnoteReference"/>
          <w:rFonts w:cs="Arial"/>
          <w:lang w:val="fr-BE" w:eastAsia="nl-BE"/>
        </w:rPr>
        <w:footnoteReference w:id="2"/>
      </w:r>
      <w:r>
        <w:rPr>
          <w:rFonts w:cs="Arial"/>
          <w:lang w:val="fr-BE" w:eastAsia="nl-BE"/>
        </w:rPr>
        <w:t xml:space="preserve">, la Banque nationale de Belgique a publié à l’intention des candidats acquéreurs d’une participation qualifié et aux actionnaires sur son site internet </w:t>
      </w:r>
      <w:r w:rsidRPr="006B7F19">
        <w:rPr>
          <w:rFonts w:cs="Arial"/>
          <w:lang w:val="fr-BE" w:eastAsia="nl-BE"/>
        </w:rPr>
        <w:t>la "</w:t>
      </w:r>
      <w:r w:rsidRPr="00BF37D6">
        <w:rPr>
          <w:rFonts w:cs="Arial"/>
          <w:i/>
          <w:iCs/>
          <w:lang w:val="fr-BE" w:eastAsia="nl-BE"/>
        </w:rPr>
        <w:t>communication</w:t>
      </w:r>
      <w:r w:rsidR="00BF37D6" w:rsidRPr="00BF37D6">
        <w:rPr>
          <w:rFonts w:cs="Arial"/>
          <w:i/>
          <w:iCs/>
          <w:lang w:val="fr-BE" w:eastAsia="nl-BE"/>
        </w:rPr>
        <w:t> </w:t>
      </w:r>
      <w:r>
        <w:rPr>
          <w:rFonts w:cs="Arial"/>
          <w:i/>
          <w:iCs/>
          <w:lang w:val="fr-BE" w:eastAsia="nl-BE"/>
        </w:rPr>
        <w:t>NBB</w:t>
      </w:r>
      <w:r w:rsidRPr="00BF37D6">
        <w:rPr>
          <w:rFonts w:cs="Arial"/>
          <w:i/>
          <w:iCs/>
          <w:lang w:val="fr-BE" w:eastAsia="nl-BE"/>
        </w:rPr>
        <w:t>_</w:t>
      </w:r>
      <w:bookmarkStart w:id="0" w:name="_GoBack"/>
      <w:r w:rsidR="00BF37D6" w:rsidRPr="00E31AF4">
        <w:rPr>
          <w:rFonts w:cs="Arial"/>
          <w:iCs/>
          <w:lang w:val="fr-BE" w:eastAsia="nl-BE"/>
        </w:rPr>
        <w:t>2017</w:t>
      </w:r>
      <w:r w:rsidRPr="00E31AF4">
        <w:rPr>
          <w:rFonts w:cs="Arial"/>
          <w:iCs/>
          <w:lang w:val="fr-BE" w:eastAsia="nl-BE"/>
        </w:rPr>
        <w:t>_</w:t>
      </w:r>
      <w:r w:rsidR="00BF37D6" w:rsidRPr="00E31AF4">
        <w:rPr>
          <w:rFonts w:cs="Arial"/>
          <w:iCs/>
          <w:lang w:val="fr-BE" w:eastAsia="nl-BE"/>
        </w:rPr>
        <w:t>2</w:t>
      </w:r>
      <w:r w:rsidR="007A0CE5" w:rsidRPr="00E31AF4">
        <w:rPr>
          <w:rFonts w:cs="Arial"/>
          <w:iCs/>
          <w:lang w:val="fr-BE" w:eastAsia="nl-BE"/>
        </w:rPr>
        <w:t>2</w:t>
      </w:r>
      <w:r w:rsidRPr="006B7F19">
        <w:rPr>
          <w:rFonts w:cs="Arial"/>
          <w:i/>
          <w:iCs/>
          <w:lang w:val="fr-BE" w:eastAsia="nl-BE"/>
        </w:rPr>
        <w:t xml:space="preserve"> </w:t>
      </w:r>
      <w:bookmarkEnd w:id="0"/>
      <w:r w:rsidRPr="006B7F19">
        <w:rPr>
          <w:rFonts w:cs="Arial"/>
          <w:i/>
          <w:iCs/>
          <w:lang w:val="fr-BE" w:eastAsia="nl-BE"/>
        </w:rPr>
        <w:t>aux personnes ayant l'intention d'acquérir, d'accroître, de réduire ou de céder une participation qualifiée dans le capital d'organismes financiers</w:t>
      </w:r>
      <w:r>
        <w:rPr>
          <w:rFonts w:cs="Arial"/>
          <w:i/>
          <w:iCs/>
          <w:lang w:val="fr-BE" w:eastAsia="nl-BE"/>
        </w:rPr>
        <w:t xml:space="preserve"> </w:t>
      </w:r>
      <w:r w:rsidRPr="00E63E0F">
        <w:rPr>
          <w:rFonts w:cs="Arial"/>
          <w:i/>
          <w:iCs/>
          <w:lang w:val="fr-BE" w:eastAsia="nl-BE"/>
        </w:rPr>
        <w:t>ainsi qu’aux personnes détenant une participation qualifiée</w:t>
      </w:r>
      <w:r w:rsidRPr="006B7F19">
        <w:rPr>
          <w:rFonts w:cs="Arial"/>
          <w:lang w:val="fr-BE" w:eastAsia="nl-BE"/>
        </w:rPr>
        <w:t>"</w:t>
      </w:r>
      <w:r>
        <w:rPr>
          <w:rFonts w:cs="Arial"/>
          <w:lang w:val="fr-BE" w:eastAsia="nl-BE"/>
        </w:rPr>
        <w:t xml:space="preserve"> qui remplace l’ancienne communication 2009-31.</w:t>
      </w:r>
    </w:p>
    <w:p w:rsidR="00E63E0F" w:rsidRDefault="00E63E0F" w:rsidP="000E5338">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Cette communication détaille notamment les circonstances dans lesquelles les candidats acquéreurs et cédants sont tenus de procéder à une notification de leur projet à </w:t>
      </w:r>
      <w:r w:rsidR="00CF256F">
        <w:rPr>
          <w:rFonts w:cs="Arial"/>
          <w:lang w:val="fr-BE" w:eastAsia="nl-BE"/>
        </w:rPr>
        <w:t>l’autorité de contrôle compétente</w:t>
      </w:r>
      <w:r w:rsidR="00CF256F">
        <w:rPr>
          <w:rStyle w:val="FootnoteReference"/>
          <w:rFonts w:cs="Arial"/>
          <w:lang w:val="fr-BE" w:eastAsia="nl-BE"/>
        </w:rPr>
        <w:footnoteReference w:id="3"/>
      </w:r>
      <w:r w:rsidRPr="006B7F19">
        <w:rPr>
          <w:rFonts w:cs="Arial"/>
          <w:lang w:val="fr-BE" w:eastAsia="nl-BE"/>
        </w:rPr>
        <w:t>, les modalités pratique de la procédure de notification et d'évaluation prudentielle</w:t>
      </w:r>
      <w:r w:rsidR="00A70F2E">
        <w:rPr>
          <w:rFonts w:cs="Arial"/>
          <w:lang w:val="fr-BE" w:eastAsia="nl-BE"/>
        </w:rPr>
        <w:t xml:space="preserve"> </w:t>
      </w:r>
      <w:r w:rsidR="00A70F2E" w:rsidRPr="006B7F19">
        <w:rPr>
          <w:rFonts w:cs="Arial"/>
          <w:lang w:val="fr-BE" w:eastAsia="nl-BE"/>
        </w:rPr>
        <w:t>ainsi que</w:t>
      </w:r>
      <w:r w:rsidR="00A70F2E">
        <w:rPr>
          <w:rFonts w:cs="Arial"/>
          <w:lang w:val="fr-BE" w:eastAsia="nl-BE"/>
        </w:rPr>
        <w:t xml:space="preserve"> la procédure à suivre pour les actionnaires en cas de nouveaux éléments pouvant avoir un impact sur leur évaluation</w:t>
      </w:r>
      <w:r w:rsidRPr="006B7F19">
        <w:rPr>
          <w:rFonts w:cs="Arial"/>
          <w:lang w:val="fr-BE" w:eastAsia="nl-BE"/>
        </w:rPr>
        <w:t xml:space="preserve">. </w:t>
      </w:r>
      <w:r w:rsidR="00A70F2E">
        <w:rPr>
          <w:rFonts w:cs="Arial"/>
          <w:lang w:val="fr-BE" w:eastAsia="nl-BE"/>
        </w:rPr>
        <w:t xml:space="preserve"> </w:t>
      </w:r>
      <w:r w:rsidRPr="006B7F19">
        <w:rPr>
          <w:rFonts w:cs="Arial"/>
          <w:lang w:val="fr-BE" w:eastAsia="nl-BE"/>
        </w:rPr>
        <w:t xml:space="preserve">Y sont notamment annexés des formulaires de notification auxquels les </w:t>
      </w:r>
      <w:r w:rsidR="00A70F2E">
        <w:rPr>
          <w:rFonts w:cs="Arial"/>
          <w:lang w:val="fr-BE" w:eastAsia="nl-BE"/>
        </w:rPr>
        <w:t xml:space="preserve">candidats acquéreurs et les actionnaires </w:t>
      </w:r>
      <w:proofErr w:type="spellStart"/>
      <w:r w:rsidRPr="006B7F19">
        <w:rPr>
          <w:rFonts w:cs="Arial"/>
          <w:lang w:val="fr-BE" w:eastAsia="nl-BE"/>
        </w:rPr>
        <w:t>son</w:t>
      </w:r>
      <w:proofErr w:type="spellEnd"/>
      <w:r w:rsidRPr="006B7F19">
        <w:rPr>
          <w:rFonts w:cs="Arial"/>
          <w:lang w:val="fr-BE" w:eastAsia="nl-BE"/>
        </w:rPr>
        <w:t xml:space="preserve"> instamment invités à recourir.</w:t>
      </w:r>
    </w:p>
    <w:p w:rsidR="000E5338" w:rsidRPr="006B7F19" w:rsidRDefault="000E5338" w:rsidP="000E5338">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lastRenderedPageBreak/>
        <w:t>Complémentairement aux obligations légales de notification auxquelles sont tenus les candidats acquéreurs, les lois prudentielles</w:t>
      </w:r>
      <w:r w:rsidR="00A70F2E">
        <w:rPr>
          <w:rFonts w:cs="Arial"/>
          <w:lang w:val="fr-BE" w:eastAsia="nl-BE"/>
        </w:rPr>
        <w:t xml:space="preserve"> </w:t>
      </w:r>
      <w:r w:rsidRPr="006B7F19">
        <w:rPr>
          <w:rFonts w:cs="Arial"/>
          <w:lang w:val="fr-BE" w:eastAsia="nl-BE"/>
        </w:rPr>
        <w:t xml:space="preserve">prévoient des obligations de déclarations occasionnelles et périodiques à </w:t>
      </w:r>
      <w:r w:rsidR="00CF256F">
        <w:rPr>
          <w:rFonts w:cs="Arial"/>
          <w:lang w:val="fr-BE" w:eastAsia="nl-BE"/>
        </w:rPr>
        <w:t>l’autorité de contrôle</w:t>
      </w:r>
      <w:r w:rsidRPr="006B7F19">
        <w:rPr>
          <w:rFonts w:cs="Arial"/>
          <w:lang w:val="fr-BE" w:eastAsia="nl-BE"/>
        </w:rPr>
        <w:t xml:space="preserve"> à charge des organismes financiers </w:t>
      </w:r>
      <w:proofErr w:type="spellStart"/>
      <w:r w:rsidRPr="006B7F19">
        <w:rPr>
          <w:rFonts w:cs="Arial"/>
          <w:lang w:val="fr-BE" w:eastAsia="nl-BE"/>
        </w:rPr>
        <w:t>eux-même</w:t>
      </w:r>
      <w:proofErr w:type="spellEnd"/>
      <w:r w:rsidRPr="006B7F19">
        <w:rPr>
          <w:rFonts w:cs="Arial"/>
          <w:lang w:val="fr-BE" w:eastAsia="nl-BE"/>
        </w:rPr>
        <w:t>.</w:t>
      </w:r>
    </w:p>
    <w:p w:rsidR="000E5338" w:rsidRDefault="000E5338" w:rsidP="000E5338">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En complément à la communication précitée de la </w:t>
      </w:r>
      <w:r w:rsidR="00BF44C1">
        <w:rPr>
          <w:rFonts w:cs="Arial"/>
          <w:lang w:val="fr-BE" w:eastAsia="nl-BE"/>
        </w:rPr>
        <w:t>Banque nationale de Belgique</w:t>
      </w:r>
      <w:r w:rsidRPr="006B7F19">
        <w:rPr>
          <w:rFonts w:cs="Arial"/>
          <w:lang w:val="fr-BE" w:eastAsia="nl-BE"/>
        </w:rPr>
        <w:t xml:space="preserve"> aux candidats acquéreurs et actionnaires, la présente circulaire vise dès lors à préciser les modalités de mise en </w:t>
      </w:r>
      <w:proofErr w:type="spellStart"/>
      <w:r w:rsidRPr="006B7F19">
        <w:rPr>
          <w:rFonts w:cs="Arial"/>
          <w:lang w:val="fr-BE" w:eastAsia="nl-BE"/>
        </w:rPr>
        <w:t>oeuvre</w:t>
      </w:r>
      <w:proofErr w:type="spellEnd"/>
      <w:r w:rsidRPr="006B7F19">
        <w:rPr>
          <w:rFonts w:cs="Arial"/>
          <w:lang w:val="fr-BE" w:eastAsia="nl-BE"/>
        </w:rPr>
        <w:t xml:space="preserve"> de ces obligations auxquelles les organismes financiers eux-mêmes sont tenus de satisfaire.</w:t>
      </w:r>
    </w:p>
    <w:p w:rsidR="005D16AE" w:rsidRPr="008771A8" w:rsidRDefault="008771A8" w:rsidP="005D16AE">
      <w:pPr>
        <w:tabs>
          <w:tab w:val="clear" w:pos="284"/>
        </w:tabs>
        <w:autoSpaceDE w:val="0"/>
        <w:autoSpaceDN w:val="0"/>
        <w:adjustRightInd w:val="0"/>
        <w:spacing w:before="240" w:after="240"/>
        <w:jc w:val="both"/>
        <w:rPr>
          <w:rFonts w:cs="Arial"/>
          <w:b/>
          <w:bCs/>
          <w:u w:val="single"/>
          <w:lang w:val="fr-BE" w:eastAsia="nl-BE"/>
        </w:rPr>
      </w:pPr>
      <w:r w:rsidRPr="008771A8">
        <w:rPr>
          <w:rFonts w:cs="Arial"/>
          <w:b/>
          <w:bCs/>
          <w:u w:val="single"/>
          <w:lang w:val="fr-BE" w:eastAsia="nl-BE"/>
        </w:rPr>
        <w:t xml:space="preserve">2. Déclaration occasionnelles </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En vertu des dispositions légales </w:t>
      </w:r>
      <w:r w:rsidR="0018502B">
        <w:rPr>
          <w:rFonts w:cs="Arial"/>
          <w:lang w:val="fr-BE" w:eastAsia="nl-BE"/>
        </w:rPr>
        <w:t>reprises ci-dessus</w:t>
      </w:r>
      <w:r w:rsidRPr="006B7F19">
        <w:rPr>
          <w:rFonts w:cs="Arial"/>
          <w:lang w:val="fr-BE" w:eastAsia="nl-BE"/>
        </w:rPr>
        <w:t xml:space="preserve">, les organismes financiers sont tenus de communiquer à </w:t>
      </w:r>
      <w:r w:rsidR="00CF256F">
        <w:rPr>
          <w:rFonts w:cs="Arial"/>
          <w:lang w:val="fr-BE" w:eastAsia="nl-BE"/>
        </w:rPr>
        <w:t>l’autorité de contrôle</w:t>
      </w:r>
      <w:r w:rsidRPr="006B7F19">
        <w:rPr>
          <w:rFonts w:cs="Arial"/>
          <w:lang w:val="fr-BE" w:eastAsia="nl-BE"/>
        </w:rPr>
        <w:t>, dès qu'ils en ont connaissance, les acquisitions ou aliénations de leurs titres ou parts qui font</w:t>
      </w:r>
      <w:r w:rsidR="005B1D88" w:rsidRPr="006B7F19">
        <w:rPr>
          <w:rFonts w:cs="Arial"/>
          <w:lang w:val="fr-BE" w:eastAsia="nl-BE"/>
        </w:rPr>
        <w:t xml:space="preserve"> </w:t>
      </w:r>
      <w:r w:rsidRPr="006B7F19">
        <w:rPr>
          <w:rFonts w:cs="Arial"/>
          <w:lang w:val="fr-BE" w:eastAsia="nl-BE"/>
        </w:rPr>
        <w:t>franchir au cédant ou au cessionnaire les seuils de notification définis par la loi. Tels est le cas lorsque la</w:t>
      </w:r>
      <w:r w:rsidR="005B1D88" w:rsidRPr="006B7F19">
        <w:rPr>
          <w:rFonts w:cs="Arial"/>
          <w:lang w:val="fr-BE" w:eastAsia="nl-BE"/>
        </w:rPr>
        <w:t xml:space="preserve"> </w:t>
      </w:r>
      <w:r w:rsidRPr="006B7F19">
        <w:rPr>
          <w:rFonts w:cs="Arial"/>
          <w:lang w:val="fr-BE" w:eastAsia="nl-BE"/>
        </w:rPr>
        <w:t>participation concernée :</w:t>
      </w:r>
    </w:p>
    <w:p w:rsidR="005D16AE" w:rsidRPr="006B7F19" w:rsidRDefault="005D16AE" w:rsidP="006B7F19">
      <w:pPr>
        <w:pStyle w:val="ListParagraph"/>
        <w:numPr>
          <w:ilvl w:val="0"/>
          <w:numId w:val="37"/>
        </w:num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acquiert ou perd les caractéristiques d'une participation qualifiée (à savoir une participation supérieure</w:t>
      </w:r>
      <w:r w:rsidR="005B1D88" w:rsidRPr="006B7F19">
        <w:rPr>
          <w:rFonts w:cs="Arial"/>
          <w:lang w:val="fr-BE" w:eastAsia="nl-BE"/>
        </w:rPr>
        <w:t xml:space="preserve"> </w:t>
      </w:r>
      <w:r w:rsidRPr="006B7F19">
        <w:rPr>
          <w:rFonts w:cs="Arial"/>
          <w:lang w:val="fr-BE" w:eastAsia="nl-BE"/>
        </w:rPr>
        <w:t>ou égale à 10 % du capital ou des droits de vote, ou inférieure à ce seuil mais conférant à l'actionnaire</w:t>
      </w:r>
      <w:r w:rsidR="005B1D88" w:rsidRPr="006B7F19">
        <w:rPr>
          <w:rFonts w:cs="Arial"/>
          <w:lang w:val="fr-BE" w:eastAsia="nl-BE"/>
        </w:rPr>
        <w:t xml:space="preserve"> </w:t>
      </w:r>
      <w:r w:rsidRPr="006B7F19">
        <w:rPr>
          <w:rFonts w:cs="Arial"/>
          <w:lang w:val="fr-BE" w:eastAsia="nl-BE"/>
        </w:rPr>
        <w:t>une influence notable sur la gestion de l'organisme financier),</w:t>
      </w:r>
    </w:p>
    <w:p w:rsidR="005D16AE" w:rsidRPr="006B7F19" w:rsidRDefault="005D16AE" w:rsidP="006B7F19">
      <w:pPr>
        <w:pStyle w:val="ListParagraph"/>
        <w:numPr>
          <w:ilvl w:val="0"/>
          <w:numId w:val="37"/>
        </w:num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franchit, à la hausse ou à la baisse, les seuils de 20 %, 30 % ou 50 %,</w:t>
      </w:r>
    </w:p>
    <w:p w:rsidR="005D16AE" w:rsidRPr="006B7F19" w:rsidRDefault="005D16AE" w:rsidP="006B7F19">
      <w:pPr>
        <w:pStyle w:val="ListParagraph"/>
        <w:numPr>
          <w:ilvl w:val="0"/>
          <w:numId w:val="37"/>
        </w:num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a pour conséquence que l'organisme financier devient ou cesse d'être la filiale de la personne</w:t>
      </w:r>
      <w:r w:rsidR="005B1D88" w:rsidRPr="006B7F19">
        <w:rPr>
          <w:rFonts w:cs="Arial"/>
          <w:lang w:val="fr-BE" w:eastAsia="nl-BE"/>
        </w:rPr>
        <w:t xml:space="preserve"> </w:t>
      </w:r>
      <w:r w:rsidRPr="006B7F19">
        <w:rPr>
          <w:rFonts w:cs="Arial"/>
          <w:lang w:val="fr-BE" w:eastAsia="nl-BE"/>
        </w:rPr>
        <w:t>procédant à l'acquisition ou à l'aliénation.</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L'attention est attirée sur le fait que, si les obligations de déclaration du candidat acquéreur ou de</w:t>
      </w:r>
      <w:r w:rsidR="005B1D88" w:rsidRPr="006B7F19">
        <w:rPr>
          <w:rFonts w:cs="Arial"/>
          <w:lang w:val="fr-BE" w:eastAsia="nl-BE"/>
        </w:rPr>
        <w:t xml:space="preserve"> </w:t>
      </w:r>
      <w:r w:rsidRPr="006B7F19">
        <w:rPr>
          <w:rFonts w:cs="Arial"/>
          <w:lang w:val="fr-BE" w:eastAsia="nl-BE"/>
        </w:rPr>
        <w:t>l'actionnaire cédant, d'une part, et de l'organisme financier, d'autre part, sont complémentaires les unes</w:t>
      </w:r>
      <w:r w:rsidR="005B1D88" w:rsidRPr="006B7F19">
        <w:rPr>
          <w:rFonts w:cs="Arial"/>
          <w:lang w:val="fr-BE" w:eastAsia="nl-BE"/>
        </w:rPr>
        <w:t xml:space="preserve"> </w:t>
      </w:r>
      <w:r w:rsidRPr="006B7F19">
        <w:rPr>
          <w:rFonts w:cs="Arial"/>
          <w:lang w:val="fr-BE" w:eastAsia="nl-BE"/>
        </w:rPr>
        <w:t>des autres, elles ne sont pas identiques. Ainsi, tandis que les candidats acquéreurs ou actionnaires</w:t>
      </w:r>
      <w:r w:rsidR="005B1D88" w:rsidRPr="006B7F19">
        <w:rPr>
          <w:rFonts w:cs="Arial"/>
          <w:lang w:val="fr-BE" w:eastAsia="nl-BE"/>
        </w:rPr>
        <w:t xml:space="preserve"> </w:t>
      </w:r>
      <w:r w:rsidRPr="006B7F19">
        <w:rPr>
          <w:rFonts w:cs="Arial"/>
          <w:lang w:val="fr-BE" w:eastAsia="nl-BE"/>
        </w:rPr>
        <w:t xml:space="preserve">cédants doivent remplir leur obligation légale de notification à </w:t>
      </w:r>
      <w:r w:rsidR="00CF256F">
        <w:rPr>
          <w:rFonts w:cs="Arial"/>
          <w:lang w:val="fr-BE" w:eastAsia="nl-BE"/>
        </w:rPr>
        <w:t>l’autorité de contrôle</w:t>
      </w:r>
      <w:r w:rsidRPr="006B7F19">
        <w:rPr>
          <w:rFonts w:cs="Arial"/>
          <w:lang w:val="fr-BE" w:eastAsia="nl-BE"/>
        </w:rPr>
        <w:t xml:space="preserve"> préalablement à la concrétisation</w:t>
      </w:r>
      <w:r w:rsidR="005B1D88" w:rsidRPr="006B7F19">
        <w:rPr>
          <w:rFonts w:cs="Arial"/>
          <w:lang w:val="fr-BE" w:eastAsia="nl-BE"/>
        </w:rPr>
        <w:t xml:space="preserve"> </w:t>
      </w:r>
      <w:r w:rsidRPr="006B7F19">
        <w:rPr>
          <w:rFonts w:cs="Arial"/>
          <w:lang w:val="fr-BE" w:eastAsia="nl-BE"/>
        </w:rPr>
        <w:t>de leur projet d'acquisition ou de cession, dès qu’ils ont pris leur décision, l'obligation des organismes</w:t>
      </w:r>
      <w:r w:rsidR="005B1D88" w:rsidRPr="006B7F19">
        <w:rPr>
          <w:rFonts w:cs="Arial"/>
          <w:lang w:val="fr-BE" w:eastAsia="nl-BE"/>
        </w:rPr>
        <w:t xml:space="preserve"> </w:t>
      </w:r>
      <w:r w:rsidRPr="006B7F19">
        <w:rPr>
          <w:rFonts w:cs="Arial"/>
          <w:lang w:val="fr-BE" w:eastAsia="nl-BE"/>
        </w:rPr>
        <w:t xml:space="preserve">financiers de communiquer à </w:t>
      </w:r>
      <w:r w:rsidR="00CF256F">
        <w:rPr>
          <w:rFonts w:cs="Arial"/>
          <w:lang w:val="fr-BE" w:eastAsia="nl-BE"/>
        </w:rPr>
        <w:t>l’autorité de contrôle</w:t>
      </w:r>
      <w:r w:rsidRPr="006B7F19">
        <w:rPr>
          <w:rFonts w:cs="Arial"/>
          <w:lang w:val="fr-BE" w:eastAsia="nl-BE"/>
        </w:rPr>
        <w:t xml:space="preserve"> les acquisitions ou aliénations de leurs titres ou parts naît "</w:t>
      </w:r>
      <w:r w:rsidRPr="006B7F19">
        <w:rPr>
          <w:rFonts w:cs="Arial"/>
          <w:i/>
          <w:iCs/>
          <w:lang w:val="fr-BE" w:eastAsia="nl-BE"/>
        </w:rPr>
        <w:t>dès</w:t>
      </w:r>
      <w:r w:rsidR="00620BFC" w:rsidRPr="006B7F19">
        <w:rPr>
          <w:rFonts w:cs="Arial"/>
          <w:i/>
          <w:iCs/>
          <w:lang w:val="fr-BE" w:eastAsia="nl-BE"/>
        </w:rPr>
        <w:t xml:space="preserve"> </w:t>
      </w:r>
      <w:r w:rsidRPr="006B7F19">
        <w:rPr>
          <w:rFonts w:cs="Arial"/>
          <w:i/>
          <w:iCs/>
          <w:lang w:val="fr-BE" w:eastAsia="nl-BE"/>
        </w:rPr>
        <w:t>qu'ils en ont connaissance</w:t>
      </w:r>
      <w:r w:rsidRPr="006B7F19">
        <w:rPr>
          <w:rFonts w:cs="Arial"/>
          <w:lang w:val="fr-BE" w:eastAsia="nl-BE"/>
        </w:rPr>
        <w:t>". Selon les circonstances, cette déclaration peut dès lors s’imposer</w:t>
      </w:r>
      <w:r w:rsidR="00620BFC" w:rsidRPr="006B7F19">
        <w:rPr>
          <w:rFonts w:cs="Arial"/>
          <w:lang w:val="fr-BE" w:eastAsia="nl-BE"/>
        </w:rPr>
        <w:t xml:space="preserve"> </w:t>
      </w:r>
      <w:r w:rsidRPr="006B7F19">
        <w:rPr>
          <w:rFonts w:cs="Arial"/>
          <w:lang w:val="fr-BE" w:eastAsia="nl-BE"/>
        </w:rPr>
        <w:t>préalablement à la réalisation de l’opération lorsque l'organisme financier concerné est informé au</w:t>
      </w:r>
      <w:r w:rsidR="00620BFC" w:rsidRPr="006B7F19">
        <w:rPr>
          <w:rFonts w:cs="Arial"/>
          <w:lang w:val="fr-BE" w:eastAsia="nl-BE"/>
        </w:rPr>
        <w:t xml:space="preserve"> </w:t>
      </w:r>
      <w:r w:rsidRPr="006B7F19">
        <w:rPr>
          <w:rFonts w:cs="Arial"/>
          <w:lang w:val="fr-BE" w:eastAsia="nl-BE"/>
        </w:rPr>
        <w:t>préalable de la décision du candidat acquéreur ou de l'actionnaire cédant d'effectuer cette opération.</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Cette communication peut en revanche n'être requise </w:t>
      </w:r>
      <w:proofErr w:type="gramStart"/>
      <w:r w:rsidRPr="006B7F19">
        <w:rPr>
          <w:rFonts w:cs="Arial"/>
          <w:lang w:val="fr-BE" w:eastAsia="nl-BE"/>
        </w:rPr>
        <w:t>qu'</w:t>
      </w:r>
      <w:r w:rsidRPr="0018502B">
        <w:rPr>
          <w:rFonts w:cs="Arial"/>
          <w:i/>
          <w:lang w:val="fr-BE" w:eastAsia="nl-BE"/>
        </w:rPr>
        <w:t>a</w:t>
      </w:r>
      <w:proofErr w:type="gramEnd"/>
      <w:r w:rsidRPr="0018502B">
        <w:rPr>
          <w:rFonts w:cs="Arial"/>
          <w:i/>
          <w:lang w:val="fr-BE" w:eastAsia="nl-BE"/>
        </w:rPr>
        <w:t xml:space="preserve"> posteriori</w:t>
      </w:r>
      <w:r w:rsidRPr="006B7F19">
        <w:rPr>
          <w:rFonts w:cs="Arial"/>
          <w:lang w:val="fr-BE" w:eastAsia="nl-BE"/>
        </w:rPr>
        <w:t>, si l'organisme financier n'a</w:t>
      </w:r>
      <w:r w:rsidR="00620BFC" w:rsidRPr="006B7F19">
        <w:rPr>
          <w:rFonts w:cs="Arial"/>
          <w:lang w:val="fr-BE" w:eastAsia="nl-BE"/>
        </w:rPr>
        <w:t xml:space="preserve"> </w:t>
      </w:r>
      <w:r w:rsidRPr="006B7F19">
        <w:rPr>
          <w:rFonts w:cs="Arial"/>
          <w:lang w:val="fr-BE" w:eastAsia="nl-BE"/>
        </w:rPr>
        <w:t>connaissance de l'acquisition ou de l'aliénation de ses titres ou de ses parts qu'après la réalisation</w:t>
      </w:r>
      <w:r w:rsidR="00620BFC" w:rsidRPr="006B7F19">
        <w:rPr>
          <w:rFonts w:cs="Arial"/>
          <w:lang w:val="fr-BE" w:eastAsia="nl-BE"/>
        </w:rPr>
        <w:t xml:space="preserve"> </w:t>
      </w:r>
      <w:r w:rsidRPr="006B7F19">
        <w:rPr>
          <w:rFonts w:cs="Arial"/>
          <w:lang w:val="fr-BE" w:eastAsia="nl-BE"/>
        </w:rPr>
        <w:t>effective de l'opération.</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De telles communications à </w:t>
      </w:r>
      <w:r w:rsidR="00CF256F">
        <w:rPr>
          <w:rFonts w:cs="Arial"/>
          <w:lang w:val="fr-BE" w:eastAsia="nl-BE"/>
        </w:rPr>
        <w:t>l’autorité de contrôle</w:t>
      </w:r>
      <w:r w:rsidRPr="006B7F19">
        <w:rPr>
          <w:rFonts w:cs="Arial"/>
          <w:lang w:val="fr-BE" w:eastAsia="nl-BE"/>
        </w:rPr>
        <w:t xml:space="preserve"> peuvent se fonder sur des informations obtenues de sources</w:t>
      </w:r>
      <w:r w:rsidR="00620BFC" w:rsidRPr="006B7F19">
        <w:rPr>
          <w:rFonts w:cs="Arial"/>
          <w:lang w:val="fr-BE" w:eastAsia="nl-BE"/>
        </w:rPr>
        <w:t xml:space="preserve"> </w:t>
      </w:r>
      <w:r w:rsidRPr="006B7F19">
        <w:rPr>
          <w:rFonts w:cs="Arial"/>
          <w:lang w:val="fr-BE" w:eastAsia="nl-BE"/>
        </w:rPr>
        <w:t xml:space="preserve">diverses par l’organisme financier. Ainsi, l’obligation de communication à </w:t>
      </w:r>
      <w:r w:rsidR="00CF256F">
        <w:rPr>
          <w:rFonts w:cs="Arial"/>
          <w:lang w:val="fr-BE" w:eastAsia="nl-BE"/>
        </w:rPr>
        <w:t>l’autorité de contrôle</w:t>
      </w:r>
      <w:r w:rsidR="00CF256F" w:rsidRPr="006B7F19">
        <w:rPr>
          <w:rFonts w:cs="Arial"/>
          <w:lang w:val="fr-BE" w:eastAsia="nl-BE"/>
        </w:rPr>
        <w:t xml:space="preserve"> </w:t>
      </w:r>
      <w:r w:rsidRPr="006B7F19">
        <w:rPr>
          <w:rFonts w:cs="Arial"/>
          <w:lang w:val="fr-BE" w:eastAsia="nl-BE"/>
        </w:rPr>
        <w:t>s’applique notamment</w:t>
      </w:r>
      <w:r w:rsidR="00620BFC" w:rsidRPr="006B7F19">
        <w:rPr>
          <w:rFonts w:cs="Arial"/>
          <w:lang w:val="fr-BE" w:eastAsia="nl-BE"/>
        </w:rPr>
        <w:t xml:space="preserve"> </w:t>
      </w:r>
      <w:r w:rsidRPr="006B7F19">
        <w:rPr>
          <w:rFonts w:cs="Arial"/>
          <w:lang w:val="fr-BE" w:eastAsia="nl-BE"/>
        </w:rPr>
        <w:t>lorsque l'acquisition ou l'aliénation est déclarée à l’organisme financier conformément à l'article 515 du</w:t>
      </w:r>
      <w:r w:rsidR="00620BFC" w:rsidRPr="006B7F19">
        <w:rPr>
          <w:rFonts w:cs="Arial"/>
          <w:lang w:val="fr-BE" w:eastAsia="nl-BE"/>
        </w:rPr>
        <w:t xml:space="preserve"> </w:t>
      </w:r>
      <w:r w:rsidRPr="006B7F19">
        <w:rPr>
          <w:rFonts w:cs="Arial"/>
          <w:lang w:val="fr-BE" w:eastAsia="nl-BE"/>
        </w:rPr>
        <w:t>Code des sociétés ou lorsque l’organisme financier est amené à acter des transferts d’actions</w:t>
      </w:r>
      <w:r w:rsidR="00620BFC" w:rsidRPr="006B7F19">
        <w:rPr>
          <w:rFonts w:cs="Arial"/>
          <w:lang w:val="fr-BE" w:eastAsia="nl-BE"/>
        </w:rPr>
        <w:t xml:space="preserve"> </w:t>
      </w:r>
      <w:r w:rsidRPr="006B7F19">
        <w:rPr>
          <w:rFonts w:cs="Arial"/>
          <w:lang w:val="fr-BE" w:eastAsia="nl-BE"/>
        </w:rPr>
        <w:t>nominatives ou de parts d’associés dans le registre des actions nominatives ou des associés. D’une</w:t>
      </w:r>
      <w:r w:rsidR="00620BFC" w:rsidRPr="006B7F19">
        <w:rPr>
          <w:rFonts w:cs="Arial"/>
          <w:lang w:val="fr-BE" w:eastAsia="nl-BE"/>
        </w:rPr>
        <w:t xml:space="preserve"> </w:t>
      </w:r>
      <w:r w:rsidRPr="006B7F19">
        <w:rPr>
          <w:rFonts w:cs="Arial"/>
          <w:lang w:val="fr-BE" w:eastAsia="nl-BE"/>
        </w:rPr>
        <w:t>manière plus générale, cette obligation trouve cependant aussi à s’appliquer lorsqu’une information</w:t>
      </w:r>
      <w:r w:rsidR="00620BFC" w:rsidRPr="006B7F19">
        <w:rPr>
          <w:rFonts w:cs="Arial"/>
          <w:lang w:val="fr-BE" w:eastAsia="nl-BE"/>
        </w:rPr>
        <w:t xml:space="preserve"> </w:t>
      </w:r>
      <w:r w:rsidRPr="006B7F19">
        <w:rPr>
          <w:rFonts w:cs="Arial"/>
          <w:lang w:val="fr-BE" w:eastAsia="nl-BE"/>
        </w:rPr>
        <w:t>crédible</w:t>
      </w:r>
      <w:r w:rsidR="00666773">
        <w:rPr>
          <w:rStyle w:val="FootnoteReference"/>
          <w:rFonts w:cs="Arial"/>
          <w:lang w:val="fr-BE" w:eastAsia="nl-BE"/>
        </w:rPr>
        <w:footnoteReference w:id="4"/>
      </w:r>
      <w:r w:rsidRPr="006B7F19">
        <w:rPr>
          <w:rFonts w:cs="Arial"/>
          <w:lang w:val="fr-BE" w:eastAsia="nl-BE"/>
        </w:rPr>
        <w:t xml:space="preserve"> est directement ou indirectement communiquée à l'organisme financier en dehors de toute</w:t>
      </w:r>
      <w:r w:rsidR="00620BFC" w:rsidRPr="006B7F19">
        <w:rPr>
          <w:rFonts w:cs="Arial"/>
          <w:lang w:val="fr-BE" w:eastAsia="nl-BE"/>
        </w:rPr>
        <w:t xml:space="preserve"> </w:t>
      </w:r>
      <w:r w:rsidRPr="006B7F19">
        <w:rPr>
          <w:rFonts w:cs="Arial"/>
          <w:lang w:val="fr-BE" w:eastAsia="nl-BE"/>
        </w:rPr>
        <w:t xml:space="preserve">obligation </w:t>
      </w:r>
      <w:r w:rsidR="00CF256F">
        <w:rPr>
          <w:rFonts w:cs="Arial"/>
          <w:lang w:val="fr-BE" w:eastAsia="nl-BE"/>
        </w:rPr>
        <w:t>légale ou statutaire. L’autorité de contrôle</w:t>
      </w:r>
      <w:r w:rsidR="00CF256F" w:rsidRPr="006B7F19">
        <w:rPr>
          <w:rFonts w:cs="Arial"/>
          <w:lang w:val="fr-BE" w:eastAsia="nl-BE"/>
        </w:rPr>
        <w:t xml:space="preserve"> </w:t>
      </w:r>
      <w:r w:rsidRPr="006B7F19">
        <w:rPr>
          <w:rFonts w:cs="Arial"/>
          <w:lang w:val="fr-BE" w:eastAsia="nl-BE"/>
        </w:rPr>
        <w:t>recommande également aux organismes financiers d’examiner</w:t>
      </w:r>
      <w:r w:rsidR="00620BFC" w:rsidRPr="006B7F19">
        <w:rPr>
          <w:rFonts w:cs="Arial"/>
          <w:lang w:val="fr-BE" w:eastAsia="nl-BE"/>
        </w:rPr>
        <w:t xml:space="preserve"> </w:t>
      </w:r>
      <w:r w:rsidRPr="006B7F19">
        <w:rPr>
          <w:rFonts w:cs="Arial"/>
          <w:lang w:val="fr-BE" w:eastAsia="nl-BE"/>
        </w:rPr>
        <w:t>après chaque assemblée générale ordinaire ou extraordinaire de leurs actionnaires si la liste des</w:t>
      </w:r>
      <w:r w:rsidR="00620BFC" w:rsidRPr="006B7F19">
        <w:rPr>
          <w:rFonts w:cs="Arial"/>
          <w:lang w:val="fr-BE" w:eastAsia="nl-BE"/>
        </w:rPr>
        <w:t xml:space="preserve"> </w:t>
      </w:r>
      <w:r w:rsidRPr="006B7F19">
        <w:rPr>
          <w:rFonts w:cs="Arial"/>
          <w:lang w:val="fr-BE" w:eastAsia="nl-BE"/>
        </w:rPr>
        <w:t>actionnaires présents révèle des modifications dans leur actionnariat leur imposant de procéder à une</w:t>
      </w:r>
      <w:r w:rsidR="00620BFC" w:rsidRPr="006B7F19">
        <w:rPr>
          <w:rFonts w:cs="Arial"/>
          <w:lang w:val="fr-BE" w:eastAsia="nl-BE"/>
        </w:rPr>
        <w:t xml:space="preserve"> </w:t>
      </w:r>
      <w:r w:rsidRPr="006B7F19">
        <w:rPr>
          <w:rFonts w:cs="Arial"/>
          <w:lang w:val="fr-BE" w:eastAsia="nl-BE"/>
        </w:rPr>
        <w:t xml:space="preserve">déclaration occasionnelle à </w:t>
      </w:r>
      <w:r w:rsidR="00CF256F">
        <w:rPr>
          <w:rFonts w:cs="Arial"/>
          <w:lang w:val="fr-BE" w:eastAsia="nl-BE"/>
        </w:rPr>
        <w:t>l’autorité de contrôle</w:t>
      </w:r>
      <w:r w:rsidRPr="006B7F19">
        <w:rPr>
          <w:rFonts w:cs="Arial"/>
          <w:lang w:val="fr-BE" w:eastAsia="nl-BE"/>
        </w:rPr>
        <w:t>.</w:t>
      </w:r>
    </w:p>
    <w:p w:rsidR="00BF37D6" w:rsidRDefault="00BF37D6">
      <w:pPr>
        <w:tabs>
          <w:tab w:val="clear" w:pos="284"/>
        </w:tabs>
        <w:spacing w:line="240" w:lineRule="auto"/>
        <w:rPr>
          <w:rFonts w:cs="Arial"/>
          <w:lang w:val="fr-BE" w:eastAsia="nl-BE"/>
        </w:rPr>
      </w:pPr>
      <w:r>
        <w:rPr>
          <w:rFonts w:cs="Arial"/>
          <w:lang w:val="fr-BE" w:eastAsia="nl-BE"/>
        </w:rPr>
        <w:br w:type="page"/>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lastRenderedPageBreak/>
        <w:t xml:space="preserve">Dans ces situations, les organismes financiers sont invités à transmettre à </w:t>
      </w:r>
      <w:r w:rsidR="00BF44C1">
        <w:rPr>
          <w:rFonts w:cs="Arial"/>
          <w:lang w:val="fr-FR"/>
        </w:rPr>
        <w:t>l’autorité de contrôle</w:t>
      </w:r>
      <w:r w:rsidR="00BF44C1" w:rsidRPr="006B7F19">
        <w:rPr>
          <w:rFonts w:cs="Arial"/>
          <w:lang w:val="fr-BE" w:eastAsia="nl-BE"/>
        </w:rPr>
        <w:t xml:space="preserve"> </w:t>
      </w:r>
      <w:r w:rsidRPr="006B7F19">
        <w:rPr>
          <w:rFonts w:cs="Arial"/>
          <w:lang w:val="fr-BE" w:eastAsia="nl-BE"/>
        </w:rPr>
        <w:t>le document de</w:t>
      </w:r>
      <w:r w:rsidR="00620BFC" w:rsidRPr="006B7F19">
        <w:rPr>
          <w:rFonts w:cs="Arial"/>
          <w:lang w:val="fr-BE" w:eastAsia="nl-BE"/>
        </w:rPr>
        <w:t xml:space="preserve"> </w:t>
      </w:r>
      <w:r w:rsidRPr="006B7F19">
        <w:rPr>
          <w:rFonts w:cs="Arial"/>
          <w:lang w:val="fr-BE" w:eastAsia="nl-BE"/>
        </w:rPr>
        <w:t xml:space="preserve">déclaration occasionnelle repris en </w:t>
      </w:r>
      <w:r w:rsidRPr="00BF37D6">
        <w:rPr>
          <w:rFonts w:cs="Arial"/>
          <w:lang w:val="fr-BE" w:eastAsia="nl-BE"/>
        </w:rPr>
        <w:t>annexe 1</w:t>
      </w:r>
      <w:r w:rsidRPr="006B7F19">
        <w:rPr>
          <w:rFonts w:cs="Arial"/>
          <w:lang w:val="fr-BE" w:eastAsia="nl-BE"/>
        </w:rPr>
        <w:t xml:space="preserve"> ci-joint, dûment complété</w:t>
      </w:r>
      <w:r w:rsidR="00304619">
        <w:rPr>
          <w:rStyle w:val="FootnoteReference"/>
          <w:rFonts w:cs="Arial"/>
          <w:lang w:val="fr-BE" w:eastAsia="nl-BE"/>
        </w:rPr>
        <w:footnoteReference w:id="5"/>
      </w:r>
      <w:r w:rsidRPr="006B7F19">
        <w:rPr>
          <w:rFonts w:cs="Arial"/>
          <w:lang w:val="fr-BE" w:eastAsia="nl-BE"/>
        </w:rPr>
        <w:t>.</w:t>
      </w:r>
      <w:r w:rsidR="00620BFC" w:rsidRPr="006B7F19">
        <w:rPr>
          <w:rFonts w:cs="Arial"/>
          <w:lang w:val="fr-BE" w:eastAsia="nl-BE"/>
        </w:rPr>
        <w:t xml:space="preserve"> </w:t>
      </w:r>
      <w:r w:rsidRPr="006B7F19">
        <w:rPr>
          <w:rFonts w:cs="Arial"/>
          <w:lang w:val="fr-BE" w:eastAsia="nl-BE"/>
        </w:rPr>
        <w:t>L’on relèvera en outre qu’un organisme financier n’est pas dispensé de satisfaire à son obligation de</w:t>
      </w:r>
      <w:r w:rsidR="00620BFC" w:rsidRPr="006B7F19">
        <w:rPr>
          <w:rFonts w:cs="Arial"/>
          <w:lang w:val="fr-BE" w:eastAsia="nl-BE"/>
        </w:rPr>
        <w:t xml:space="preserve"> </w:t>
      </w:r>
      <w:r w:rsidRPr="006B7F19">
        <w:rPr>
          <w:rFonts w:cs="Arial"/>
          <w:lang w:val="fr-BE" w:eastAsia="nl-BE"/>
        </w:rPr>
        <w:t>déclaration occasionnelle au motif que le candidat acquéreur ou l’actionnaire ayant décidé de</w:t>
      </w:r>
      <w:r w:rsidR="00620BFC" w:rsidRPr="006B7F19">
        <w:rPr>
          <w:rFonts w:cs="Arial"/>
          <w:lang w:val="fr-BE" w:eastAsia="nl-BE"/>
        </w:rPr>
        <w:t xml:space="preserve"> </w:t>
      </w:r>
      <w:r w:rsidRPr="006B7F19">
        <w:rPr>
          <w:rFonts w:cs="Arial"/>
          <w:lang w:val="fr-BE" w:eastAsia="nl-BE"/>
        </w:rPr>
        <w:t>céder tout ou partie de sa participation qualifiée a lui-même satisfait à son obligation légale de notification</w:t>
      </w:r>
      <w:r w:rsidR="00620BFC" w:rsidRPr="006B7F19">
        <w:rPr>
          <w:rFonts w:cs="Arial"/>
          <w:lang w:val="fr-BE" w:eastAsia="nl-BE"/>
        </w:rPr>
        <w:t xml:space="preserve"> </w:t>
      </w:r>
      <w:r w:rsidRPr="006B7F19">
        <w:rPr>
          <w:rFonts w:cs="Arial"/>
          <w:lang w:val="fr-BE" w:eastAsia="nl-BE"/>
        </w:rPr>
        <w:t xml:space="preserve">préalable à </w:t>
      </w:r>
      <w:r w:rsidR="00CF256F">
        <w:rPr>
          <w:rFonts w:cs="Arial"/>
          <w:lang w:val="fr-BE" w:eastAsia="nl-BE"/>
        </w:rPr>
        <w:t>l’autorité de contrôle</w:t>
      </w:r>
      <w:r w:rsidRPr="006B7F19">
        <w:rPr>
          <w:rFonts w:cs="Arial"/>
          <w:lang w:val="fr-BE" w:eastAsia="nl-BE"/>
        </w:rPr>
        <w:t>.</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Complémentairement à l’obligation légale de déclaration occasionnelle des acquisitions et des cessions</w:t>
      </w:r>
      <w:r w:rsidR="00620BFC" w:rsidRPr="006B7F19">
        <w:rPr>
          <w:rFonts w:cs="Arial"/>
          <w:lang w:val="fr-BE" w:eastAsia="nl-BE"/>
        </w:rPr>
        <w:t xml:space="preserve"> </w:t>
      </w:r>
      <w:r w:rsidRPr="006B7F19">
        <w:rPr>
          <w:rFonts w:cs="Arial"/>
          <w:lang w:val="fr-BE" w:eastAsia="nl-BE"/>
        </w:rPr>
        <w:t xml:space="preserve">de participations qualifiées par les organismes financiers, </w:t>
      </w:r>
      <w:r w:rsidR="00CF256F">
        <w:rPr>
          <w:rFonts w:cs="Arial"/>
          <w:lang w:val="fr-BE" w:eastAsia="nl-BE"/>
        </w:rPr>
        <w:t>l’autorité de contrôle</w:t>
      </w:r>
      <w:r w:rsidRPr="006B7F19">
        <w:rPr>
          <w:rFonts w:cs="Arial"/>
          <w:lang w:val="fr-BE" w:eastAsia="nl-BE"/>
        </w:rPr>
        <w:t xml:space="preserve"> les invite également à </w:t>
      </w:r>
      <w:r w:rsidR="001E5B4F">
        <w:rPr>
          <w:rFonts w:cs="Arial"/>
          <w:lang w:val="fr-BE" w:eastAsia="nl-BE"/>
        </w:rPr>
        <w:t xml:space="preserve">déclarer </w:t>
      </w:r>
      <w:r w:rsidRPr="006B7F19">
        <w:rPr>
          <w:rFonts w:cs="Arial"/>
          <w:lang w:val="fr-BE" w:eastAsia="nl-BE"/>
        </w:rPr>
        <w:t>promptement, dans le cadre du dialogue permanent nécessaire à l’exercice optimal du contrôle</w:t>
      </w:r>
      <w:r w:rsidR="00620BFC" w:rsidRPr="006B7F19">
        <w:rPr>
          <w:rFonts w:cs="Arial"/>
          <w:lang w:val="fr-BE" w:eastAsia="nl-BE"/>
        </w:rPr>
        <w:t xml:space="preserve"> </w:t>
      </w:r>
      <w:r w:rsidRPr="006B7F19">
        <w:rPr>
          <w:rFonts w:cs="Arial"/>
          <w:lang w:val="fr-BE" w:eastAsia="nl-BE"/>
        </w:rPr>
        <w:t>prudentiel, des acquisitions et cessions de leurs actions ou parts d’associés qui, sans être visées par</w:t>
      </w:r>
      <w:r w:rsidR="00620BFC" w:rsidRPr="006B7F19">
        <w:rPr>
          <w:rFonts w:cs="Arial"/>
          <w:lang w:val="fr-BE" w:eastAsia="nl-BE"/>
        </w:rPr>
        <w:t xml:space="preserve"> </w:t>
      </w:r>
      <w:r w:rsidRPr="006B7F19">
        <w:rPr>
          <w:rFonts w:cs="Arial"/>
          <w:lang w:val="fr-BE" w:eastAsia="nl-BE"/>
        </w:rPr>
        <w:t>l’obligation légale de déclaration occasionnelle, sont susceptibles d’avoir un effet significatif sur</w:t>
      </w:r>
      <w:r w:rsidR="00620BFC" w:rsidRPr="006B7F19">
        <w:rPr>
          <w:rFonts w:cs="Arial"/>
          <w:lang w:val="fr-BE" w:eastAsia="nl-BE"/>
        </w:rPr>
        <w:t xml:space="preserve"> </w:t>
      </w:r>
      <w:r w:rsidRPr="006B7F19">
        <w:rPr>
          <w:rFonts w:cs="Arial"/>
          <w:lang w:val="fr-BE" w:eastAsia="nl-BE"/>
        </w:rPr>
        <w:t>l’appréciation prudentielle de la situation de l’organisme financier. Tel est notamment le cas lorsque celui</w:t>
      </w:r>
      <w:r w:rsidR="00620BFC" w:rsidRPr="006B7F19">
        <w:rPr>
          <w:rFonts w:cs="Arial"/>
          <w:lang w:val="fr-BE" w:eastAsia="nl-BE"/>
        </w:rPr>
        <w:t>-</w:t>
      </w:r>
      <w:r w:rsidRPr="006B7F19">
        <w:rPr>
          <w:rFonts w:cs="Arial"/>
          <w:lang w:val="fr-BE" w:eastAsia="nl-BE"/>
        </w:rPr>
        <w:t>ci</w:t>
      </w:r>
      <w:r w:rsidR="00620BFC" w:rsidRPr="006B7F19">
        <w:rPr>
          <w:rFonts w:cs="Arial"/>
          <w:lang w:val="fr-BE" w:eastAsia="nl-BE"/>
        </w:rPr>
        <w:t xml:space="preserve"> </w:t>
      </w:r>
      <w:r w:rsidRPr="006B7F19">
        <w:rPr>
          <w:rFonts w:cs="Arial"/>
          <w:lang w:val="fr-BE" w:eastAsia="nl-BE"/>
        </w:rPr>
        <w:t>a connaissance d’une acquisition ou d’une cession en raison de laquelle l’acquéreur ou le cédant a</w:t>
      </w:r>
      <w:r w:rsidR="00620BFC" w:rsidRPr="006B7F19">
        <w:rPr>
          <w:rFonts w:cs="Arial"/>
          <w:lang w:val="fr-BE" w:eastAsia="nl-BE"/>
        </w:rPr>
        <w:t xml:space="preserve"> </w:t>
      </w:r>
      <w:r w:rsidRPr="006B7F19">
        <w:rPr>
          <w:rFonts w:cs="Arial"/>
          <w:lang w:val="fr-BE" w:eastAsia="nl-BE"/>
        </w:rPr>
        <w:t>franchi ou franchira le seuil de 5 %, et est lui-même légalement tenu de ce fait de procéder à une</w:t>
      </w:r>
      <w:r w:rsidR="00620BFC" w:rsidRPr="006B7F19">
        <w:rPr>
          <w:rFonts w:cs="Arial"/>
          <w:lang w:val="fr-BE" w:eastAsia="nl-BE"/>
        </w:rPr>
        <w:t xml:space="preserve"> </w:t>
      </w:r>
      <w:r w:rsidR="00766DE5">
        <w:rPr>
          <w:rFonts w:cs="Arial"/>
          <w:lang w:val="fr-BE" w:eastAsia="nl-BE"/>
        </w:rPr>
        <w:t xml:space="preserve">déclaration à </w:t>
      </w:r>
      <w:r w:rsidR="00CF256F">
        <w:rPr>
          <w:rFonts w:cs="Arial"/>
          <w:lang w:val="fr-BE" w:eastAsia="nl-BE"/>
        </w:rPr>
        <w:t>l’autorité de contrôle</w:t>
      </w:r>
      <w:r w:rsidR="00CF256F" w:rsidRPr="006B7F19">
        <w:rPr>
          <w:rFonts w:cs="Arial"/>
          <w:lang w:val="fr-BE" w:eastAsia="nl-BE"/>
        </w:rPr>
        <w:t xml:space="preserve"> </w:t>
      </w:r>
      <w:r w:rsidRPr="006B7F19">
        <w:rPr>
          <w:rFonts w:cs="Arial"/>
          <w:lang w:val="fr-BE" w:eastAsia="nl-BE"/>
        </w:rPr>
        <w:t>à des fins purement informatives</w:t>
      </w:r>
      <w:r w:rsidR="001E5B4F">
        <w:rPr>
          <w:rFonts w:cs="Arial"/>
          <w:lang w:val="fr-BE" w:eastAsia="nl-BE"/>
        </w:rPr>
        <w:t xml:space="preserve"> (cf. le point 3.c) de la </w:t>
      </w:r>
      <w:r w:rsidR="001E5B4F" w:rsidRPr="008771A8">
        <w:rPr>
          <w:lang w:val="fr-BE"/>
        </w:rPr>
        <w:t>communication</w:t>
      </w:r>
      <w:r w:rsidR="00BF37D6">
        <w:rPr>
          <w:lang w:val="fr-BE"/>
        </w:rPr>
        <w:t> </w:t>
      </w:r>
      <w:r w:rsidR="001E5B4F" w:rsidRPr="00BF37D6">
        <w:rPr>
          <w:lang w:val="fr-BE"/>
        </w:rPr>
        <w:t>NBB_</w:t>
      </w:r>
      <w:r w:rsidR="00BF37D6" w:rsidRPr="00BF37D6">
        <w:rPr>
          <w:lang w:val="fr-BE"/>
        </w:rPr>
        <w:t>2017</w:t>
      </w:r>
      <w:r w:rsidR="001E5B4F" w:rsidRPr="00BF37D6">
        <w:rPr>
          <w:lang w:val="fr-BE"/>
        </w:rPr>
        <w:t>_</w:t>
      </w:r>
      <w:r w:rsidR="00BF37D6" w:rsidRPr="00BF37D6">
        <w:rPr>
          <w:lang w:val="fr-BE"/>
        </w:rPr>
        <w:t>2</w:t>
      </w:r>
      <w:r w:rsidR="007A0CE5">
        <w:rPr>
          <w:lang w:val="fr-BE"/>
        </w:rPr>
        <w:t>2</w:t>
      </w:r>
      <w:r w:rsidR="001E5B4F" w:rsidRPr="008771A8">
        <w:rPr>
          <w:lang w:val="fr-BE"/>
        </w:rPr>
        <w:t xml:space="preserve"> aux personnes ayant l'intention d'acquérir, d'accroître, de réduire ou de céder une participation qualifiée dans le capital d'organismes financiers ainsi qu’aux personnes détenant une participation qualifiée</w:t>
      </w:r>
      <w:r w:rsidR="001E5B4F">
        <w:rPr>
          <w:lang w:val="fr-BE"/>
        </w:rPr>
        <w:t>)</w:t>
      </w:r>
      <w:r w:rsidRPr="006B7F19">
        <w:rPr>
          <w:rFonts w:cs="Arial"/>
          <w:lang w:val="fr-BE" w:eastAsia="nl-BE"/>
        </w:rPr>
        <w:t>.</w:t>
      </w:r>
    </w:p>
    <w:p w:rsidR="005D16AE" w:rsidRPr="0018502B" w:rsidRDefault="0018502B" w:rsidP="005D16AE">
      <w:pPr>
        <w:tabs>
          <w:tab w:val="clear" w:pos="284"/>
        </w:tabs>
        <w:autoSpaceDE w:val="0"/>
        <w:autoSpaceDN w:val="0"/>
        <w:adjustRightInd w:val="0"/>
        <w:spacing w:before="240" w:after="240"/>
        <w:jc w:val="both"/>
        <w:rPr>
          <w:rFonts w:cs="Arial"/>
          <w:b/>
          <w:bCs/>
          <w:u w:val="single"/>
          <w:lang w:val="fr-BE" w:eastAsia="nl-BE"/>
        </w:rPr>
      </w:pPr>
      <w:r>
        <w:rPr>
          <w:rFonts w:cs="Arial"/>
          <w:b/>
          <w:bCs/>
          <w:u w:val="single"/>
          <w:lang w:val="fr-BE" w:eastAsia="nl-BE"/>
        </w:rPr>
        <w:t>3</w:t>
      </w:r>
      <w:r w:rsidRPr="0018502B">
        <w:rPr>
          <w:rFonts w:cs="Arial"/>
          <w:b/>
          <w:bCs/>
          <w:u w:val="single"/>
          <w:lang w:val="fr-BE" w:eastAsia="nl-BE"/>
        </w:rPr>
        <w:t>. Déclarations annuelles</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Les dispositions légales précitées prévoient en outre que les organismes financiers communiquent une</w:t>
      </w:r>
      <w:r w:rsidR="00620BFC" w:rsidRPr="006B7F19">
        <w:rPr>
          <w:rFonts w:cs="Arial"/>
          <w:lang w:val="fr-BE" w:eastAsia="nl-BE"/>
        </w:rPr>
        <w:t xml:space="preserve"> </w:t>
      </w:r>
      <w:r w:rsidRPr="006B7F19">
        <w:rPr>
          <w:rFonts w:cs="Arial"/>
          <w:lang w:val="fr-BE" w:eastAsia="nl-BE"/>
        </w:rPr>
        <w:t xml:space="preserve">fois par an au moins à </w:t>
      </w:r>
      <w:r w:rsidR="00CF256F">
        <w:rPr>
          <w:rFonts w:cs="Arial"/>
          <w:lang w:val="fr-BE" w:eastAsia="nl-BE"/>
        </w:rPr>
        <w:t>l’autorité de contrôle</w:t>
      </w:r>
      <w:r w:rsidR="00CF256F" w:rsidRPr="006B7F19">
        <w:rPr>
          <w:rFonts w:cs="Arial"/>
          <w:lang w:val="fr-BE" w:eastAsia="nl-BE"/>
        </w:rPr>
        <w:t xml:space="preserve"> </w:t>
      </w:r>
      <w:r w:rsidRPr="006B7F19">
        <w:rPr>
          <w:rFonts w:cs="Arial"/>
          <w:lang w:val="fr-BE" w:eastAsia="nl-BE"/>
        </w:rPr>
        <w:t>l’identité de leurs actionnaires ou associés qui possèdent, directement ou</w:t>
      </w:r>
      <w:r w:rsidR="00620BFC" w:rsidRPr="006B7F19">
        <w:rPr>
          <w:rFonts w:cs="Arial"/>
          <w:lang w:val="fr-BE" w:eastAsia="nl-BE"/>
        </w:rPr>
        <w:t xml:space="preserve"> </w:t>
      </w:r>
      <w:r w:rsidRPr="006B7F19">
        <w:rPr>
          <w:rFonts w:cs="Arial"/>
          <w:lang w:val="fr-BE" w:eastAsia="nl-BE"/>
        </w:rPr>
        <w:t>indirectement, agissant seuls ou de concert, des participations qualifiées dans leur capital, ainsi que la</w:t>
      </w:r>
      <w:r w:rsidR="00620BFC" w:rsidRPr="006B7F19">
        <w:rPr>
          <w:rFonts w:cs="Arial"/>
          <w:lang w:val="fr-BE" w:eastAsia="nl-BE"/>
        </w:rPr>
        <w:t xml:space="preserve"> </w:t>
      </w:r>
      <w:r w:rsidRPr="006B7F19">
        <w:rPr>
          <w:rFonts w:cs="Arial"/>
          <w:lang w:val="fr-BE" w:eastAsia="nl-BE"/>
        </w:rPr>
        <w:t>quotité du capital et celle des droits de vote ainsi détenus.</w:t>
      </w: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Les organismes financiers sont invités à procéder à cette communication annuelle dans le mois qui suit</w:t>
      </w:r>
      <w:r w:rsidR="00620BFC" w:rsidRPr="006B7F19">
        <w:rPr>
          <w:rFonts w:cs="Arial"/>
          <w:lang w:val="fr-BE" w:eastAsia="nl-BE"/>
        </w:rPr>
        <w:t xml:space="preserve"> </w:t>
      </w:r>
      <w:r w:rsidRPr="006B7F19">
        <w:rPr>
          <w:rFonts w:cs="Arial"/>
          <w:lang w:val="fr-BE" w:eastAsia="nl-BE"/>
        </w:rPr>
        <w:t>leur assemblée générale ordinaire, en se fondant sur toutes les sources d’informations fiables à leur</w:t>
      </w:r>
      <w:r w:rsidR="00620BFC" w:rsidRPr="006B7F19">
        <w:rPr>
          <w:rFonts w:cs="Arial"/>
          <w:lang w:val="fr-BE" w:eastAsia="nl-BE"/>
        </w:rPr>
        <w:t xml:space="preserve"> </w:t>
      </w:r>
      <w:r w:rsidRPr="006B7F19">
        <w:rPr>
          <w:rFonts w:cs="Arial"/>
          <w:lang w:val="fr-BE" w:eastAsia="nl-BE"/>
        </w:rPr>
        <w:t>disposition, notamment les déclarations d’acquisitions ou d'aliénations qui leur sont adressées</w:t>
      </w:r>
      <w:r w:rsidR="00620BFC" w:rsidRPr="006B7F19">
        <w:rPr>
          <w:rFonts w:cs="Arial"/>
          <w:lang w:val="fr-BE" w:eastAsia="nl-BE"/>
        </w:rPr>
        <w:t xml:space="preserve"> </w:t>
      </w:r>
      <w:r w:rsidRPr="006B7F19">
        <w:rPr>
          <w:rFonts w:cs="Arial"/>
          <w:lang w:val="fr-BE" w:eastAsia="nl-BE"/>
        </w:rPr>
        <w:t>conformément à l'article 515 du Code des sociétés, le registre de leurs actionnaires nominatifs ou de</w:t>
      </w:r>
      <w:r w:rsidR="00620BFC" w:rsidRPr="006B7F19">
        <w:rPr>
          <w:rFonts w:cs="Arial"/>
          <w:lang w:val="fr-BE" w:eastAsia="nl-BE"/>
        </w:rPr>
        <w:t xml:space="preserve"> </w:t>
      </w:r>
      <w:r w:rsidRPr="006B7F19">
        <w:rPr>
          <w:rFonts w:cs="Arial"/>
          <w:lang w:val="fr-BE" w:eastAsia="nl-BE"/>
        </w:rPr>
        <w:t>leurs associés, et la liste des présence des actionnaires à la dernière assemblée générale ordinaire.</w:t>
      </w:r>
    </w:p>
    <w:p w:rsidR="005D16AE" w:rsidRPr="006B7F19" w:rsidRDefault="005D16AE" w:rsidP="00620BFC">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Ils sont invités à transmettre le document de déclaration annuelle repris </w:t>
      </w:r>
      <w:r w:rsidRPr="00BF37D6">
        <w:rPr>
          <w:rFonts w:cs="Arial"/>
          <w:lang w:val="fr-BE" w:eastAsia="nl-BE"/>
        </w:rPr>
        <w:t>en annexe 2</w:t>
      </w:r>
      <w:r w:rsidRPr="006B7F19">
        <w:rPr>
          <w:rFonts w:cs="Arial"/>
          <w:lang w:val="fr-BE" w:eastAsia="nl-BE"/>
        </w:rPr>
        <w:t xml:space="preserve"> ci</w:t>
      </w:r>
      <w:r w:rsidR="00766DE5">
        <w:rPr>
          <w:rFonts w:cs="Arial"/>
          <w:lang w:val="fr-BE" w:eastAsia="nl-BE"/>
        </w:rPr>
        <w:t>-</w:t>
      </w:r>
      <w:r w:rsidRPr="006B7F19">
        <w:rPr>
          <w:rFonts w:cs="Arial"/>
          <w:lang w:val="fr-BE" w:eastAsia="nl-BE"/>
        </w:rPr>
        <w:t>joint,</w:t>
      </w:r>
      <w:r w:rsidR="00620BFC" w:rsidRPr="006B7F19">
        <w:rPr>
          <w:rFonts w:cs="Arial"/>
          <w:lang w:val="fr-BE" w:eastAsia="nl-BE"/>
        </w:rPr>
        <w:t xml:space="preserve"> </w:t>
      </w:r>
      <w:r w:rsidRPr="006B7F19">
        <w:rPr>
          <w:rFonts w:cs="Arial"/>
          <w:lang w:val="fr-BE" w:eastAsia="nl-BE"/>
        </w:rPr>
        <w:t>dûment complété.</w:t>
      </w:r>
    </w:p>
    <w:p w:rsidR="0018502B" w:rsidRPr="0018502B" w:rsidRDefault="0018502B" w:rsidP="008771A8">
      <w:pPr>
        <w:tabs>
          <w:tab w:val="clear" w:pos="284"/>
        </w:tabs>
        <w:autoSpaceDE w:val="0"/>
        <w:autoSpaceDN w:val="0"/>
        <w:adjustRightInd w:val="0"/>
        <w:spacing w:before="240" w:after="240"/>
        <w:jc w:val="both"/>
        <w:rPr>
          <w:rFonts w:cs="Arial"/>
          <w:b/>
          <w:bCs/>
          <w:u w:val="single"/>
          <w:lang w:val="fr-BE" w:eastAsia="nl-BE"/>
        </w:rPr>
      </w:pPr>
      <w:r w:rsidRPr="0018502B">
        <w:rPr>
          <w:rFonts w:cs="Arial"/>
          <w:b/>
          <w:bCs/>
          <w:u w:val="single"/>
          <w:lang w:val="fr-BE" w:eastAsia="nl-BE"/>
        </w:rPr>
        <w:t>4</w:t>
      </w:r>
      <w:r w:rsidR="008771A8" w:rsidRPr="0018502B">
        <w:rPr>
          <w:rFonts w:cs="Arial"/>
          <w:b/>
          <w:bCs/>
          <w:u w:val="single"/>
          <w:lang w:val="fr-BE" w:eastAsia="nl-BE"/>
        </w:rPr>
        <w:t xml:space="preserve">. Modalité de transmission </w:t>
      </w:r>
      <w:r w:rsidRPr="0018502B">
        <w:rPr>
          <w:rFonts w:cs="Arial"/>
          <w:b/>
          <w:bCs/>
          <w:u w:val="single"/>
          <w:lang w:val="fr-BE" w:eastAsia="nl-BE"/>
        </w:rPr>
        <w:t xml:space="preserve">des </w:t>
      </w:r>
      <w:r w:rsidR="001E5B4F">
        <w:rPr>
          <w:rFonts w:cs="Arial"/>
          <w:b/>
          <w:bCs/>
          <w:u w:val="single"/>
          <w:lang w:val="fr-BE" w:eastAsia="nl-BE"/>
        </w:rPr>
        <w:t>déclarations</w:t>
      </w:r>
      <w:r w:rsidR="001E5B4F" w:rsidRPr="0018502B">
        <w:rPr>
          <w:rFonts w:cs="Arial"/>
          <w:b/>
          <w:bCs/>
          <w:u w:val="single"/>
          <w:lang w:val="fr-BE" w:eastAsia="nl-BE"/>
        </w:rPr>
        <w:t xml:space="preserve"> </w:t>
      </w:r>
      <w:r w:rsidRPr="0018502B">
        <w:rPr>
          <w:rFonts w:cs="Arial"/>
          <w:b/>
          <w:bCs/>
          <w:u w:val="single"/>
          <w:lang w:val="fr-BE" w:eastAsia="nl-BE"/>
        </w:rPr>
        <w:t xml:space="preserve">requises </w:t>
      </w:r>
    </w:p>
    <w:p w:rsidR="008771A8" w:rsidRPr="006B7F19" w:rsidRDefault="008771A8" w:rsidP="008771A8">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Conformément à la circulaire </w:t>
      </w:r>
      <w:r w:rsidR="0018502B">
        <w:rPr>
          <w:rFonts w:cs="Arial"/>
          <w:lang w:val="fr-BE" w:eastAsia="nl-BE"/>
        </w:rPr>
        <w:t>NBB</w:t>
      </w:r>
      <w:r w:rsidR="00940522">
        <w:rPr>
          <w:rFonts w:cs="Arial"/>
          <w:lang w:val="fr-BE" w:eastAsia="nl-BE"/>
        </w:rPr>
        <w:t>_</w:t>
      </w:r>
      <w:r w:rsidR="0018502B">
        <w:rPr>
          <w:rFonts w:cs="Arial"/>
          <w:lang w:val="fr-BE" w:eastAsia="nl-BE"/>
        </w:rPr>
        <w:t>2016_40 du 12 octobre 2016</w:t>
      </w:r>
      <w:r w:rsidRPr="006B7F19">
        <w:rPr>
          <w:rFonts w:cs="Arial"/>
          <w:lang w:val="fr-BE" w:eastAsia="nl-BE"/>
        </w:rPr>
        <w:t xml:space="preserve">, les organismes financiers veilleront à transmettre à </w:t>
      </w:r>
      <w:r w:rsidR="00CF256F">
        <w:rPr>
          <w:rFonts w:cs="Arial"/>
          <w:lang w:val="fr-BE" w:eastAsia="nl-BE"/>
        </w:rPr>
        <w:t>l’autorité de contrôle</w:t>
      </w:r>
      <w:r w:rsidR="00CF256F" w:rsidRPr="006B7F19">
        <w:rPr>
          <w:rFonts w:cs="Arial"/>
          <w:lang w:val="fr-BE" w:eastAsia="nl-BE"/>
        </w:rPr>
        <w:t xml:space="preserve"> </w:t>
      </w:r>
      <w:r w:rsidRPr="006B7F19">
        <w:rPr>
          <w:rFonts w:cs="Arial"/>
          <w:lang w:val="fr-BE" w:eastAsia="nl-BE"/>
        </w:rPr>
        <w:t xml:space="preserve">les informations et documents requis en recourant à la plateforme de communication </w:t>
      </w:r>
      <w:r w:rsidRPr="006B7F19">
        <w:rPr>
          <w:rFonts w:cs="Arial"/>
          <w:i/>
          <w:iCs/>
          <w:lang w:val="fr-BE" w:eastAsia="nl-BE"/>
        </w:rPr>
        <w:t xml:space="preserve">« </w:t>
      </w:r>
      <w:proofErr w:type="spellStart"/>
      <w:r w:rsidRPr="006B7F19">
        <w:rPr>
          <w:rFonts w:cs="Arial"/>
          <w:i/>
          <w:iCs/>
          <w:lang w:val="fr-BE" w:eastAsia="nl-BE"/>
        </w:rPr>
        <w:t>eCorporate</w:t>
      </w:r>
      <w:proofErr w:type="spellEnd"/>
      <w:r w:rsidRPr="006B7F19">
        <w:rPr>
          <w:rFonts w:cs="Arial"/>
          <w:i/>
          <w:iCs/>
          <w:lang w:val="fr-BE" w:eastAsia="nl-BE"/>
        </w:rPr>
        <w:t xml:space="preserve"> »</w:t>
      </w:r>
      <w:r w:rsidRPr="006B7F19">
        <w:rPr>
          <w:rFonts w:cs="Arial"/>
          <w:lang w:val="fr-BE" w:eastAsia="nl-BE"/>
        </w:rPr>
        <w:t>.</w:t>
      </w:r>
    </w:p>
    <w:p w:rsidR="00422FE4" w:rsidRDefault="00422FE4">
      <w:pPr>
        <w:tabs>
          <w:tab w:val="clear" w:pos="284"/>
        </w:tabs>
        <w:spacing w:line="240" w:lineRule="auto"/>
        <w:rPr>
          <w:rFonts w:cs="Arial"/>
          <w:b/>
          <w:u w:val="single"/>
          <w:lang w:val="fr-BE" w:eastAsia="nl-BE"/>
        </w:rPr>
      </w:pPr>
      <w:r>
        <w:rPr>
          <w:rFonts w:cs="Arial"/>
          <w:b/>
          <w:u w:val="single"/>
          <w:lang w:val="fr-BE" w:eastAsia="nl-BE"/>
        </w:rPr>
        <w:br w:type="page"/>
      </w:r>
    </w:p>
    <w:p w:rsidR="00947C4D" w:rsidRPr="0018502B" w:rsidRDefault="0018502B" w:rsidP="005D16AE">
      <w:pPr>
        <w:tabs>
          <w:tab w:val="clear" w:pos="284"/>
        </w:tabs>
        <w:autoSpaceDE w:val="0"/>
        <w:autoSpaceDN w:val="0"/>
        <w:adjustRightInd w:val="0"/>
        <w:spacing w:before="240" w:after="240"/>
        <w:jc w:val="both"/>
        <w:rPr>
          <w:rFonts w:cs="Arial"/>
          <w:b/>
          <w:u w:val="single"/>
          <w:lang w:val="fr-BE" w:eastAsia="nl-BE"/>
        </w:rPr>
      </w:pPr>
      <w:r w:rsidRPr="0018502B">
        <w:rPr>
          <w:rFonts w:cs="Arial"/>
          <w:b/>
          <w:u w:val="single"/>
          <w:lang w:val="fr-BE" w:eastAsia="nl-BE"/>
        </w:rPr>
        <w:lastRenderedPageBreak/>
        <w:t>5. Entrée en vigueur</w:t>
      </w:r>
    </w:p>
    <w:p w:rsidR="00E96BA3" w:rsidRDefault="00947C4D" w:rsidP="00947C4D">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 xml:space="preserve">La présente circulaire </w:t>
      </w:r>
      <w:r w:rsidR="00E96BA3">
        <w:rPr>
          <w:rFonts w:cs="Arial"/>
          <w:lang w:val="fr-BE" w:eastAsia="nl-BE"/>
        </w:rPr>
        <w:t>s’applique à partir du 1</w:t>
      </w:r>
      <w:r w:rsidR="00E96BA3" w:rsidRPr="00E96BA3">
        <w:rPr>
          <w:rFonts w:cs="Arial"/>
          <w:vertAlign w:val="superscript"/>
          <w:lang w:val="fr-BE" w:eastAsia="nl-BE"/>
        </w:rPr>
        <w:t>er</w:t>
      </w:r>
      <w:r w:rsidR="00E96BA3">
        <w:rPr>
          <w:rFonts w:cs="Arial"/>
          <w:lang w:val="fr-BE" w:eastAsia="nl-BE"/>
        </w:rPr>
        <w:t xml:space="preserve"> octobre 2017 </w:t>
      </w:r>
      <w:r w:rsidRPr="006B7F19">
        <w:rPr>
          <w:rFonts w:cs="Arial"/>
          <w:lang w:val="fr-BE" w:eastAsia="nl-BE"/>
        </w:rPr>
        <w:t xml:space="preserve">et remplace la </w:t>
      </w:r>
      <w:r>
        <w:rPr>
          <w:rFonts w:cs="Arial"/>
          <w:lang w:val="fr-BE" w:eastAsia="nl-BE"/>
        </w:rPr>
        <w:t xml:space="preserve">circulaire </w:t>
      </w:r>
      <w:r w:rsidR="00E96BA3">
        <w:rPr>
          <w:rFonts w:cs="Arial"/>
          <w:lang w:val="fr-BE" w:eastAsia="nl-BE"/>
        </w:rPr>
        <w:t>CBFA_</w:t>
      </w:r>
      <w:r>
        <w:rPr>
          <w:rFonts w:cs="Arial"/>
          <w:lang w:val="fr-BE" w:eastAsia="nl-BE"/>
        </w:rPr>
        <w:t>2009</w:t>
      </w:r>
      <w:r w:rsidR="000D0121">
        <w:rPr>
          <w:rFonts w:cs="Arial"/>
          <w:lang w:val="fr-BE" w:eastAsia="nl-BE"/>
        </w:rPr>
        <w:t>_</w:t>
      </w:r>
      <w:r>
        <w:rPr>
          <w:rFonts w:cs="Arial"/>
          <w:lang w:val="fr-BE" w:eastAsia="nl-BE"/>
        </w:rPr>
        <w:t xml:space="preserve">32 </w:t>
      </w:r>
      <w:r w:rsidR="00E96BA3">
        <w:rPr>
          <w:rFonts w:cs="Arial"/>
          <w:lang w:val="fr-BE" w:eastAsia="nl-BE"/>
        </w:rPr>
        <w:t xml:space="preserve">du 18 novembre 2009 aux </w:t>
      </w:r>
      <w:proofErr w:type="spellStart"/>
      <w:r w:rsidR="00E96BA3">
        <w:rPr>
          <w:rFonts w:cs="Arial"/>
          <w:lang w:val="fr-BE" w:eastAsia="nl-BE"/>
        </w:rPr>
        <w:t>oragnsimes</w:t>
      </w:r>
      <w:proofErr w:type="spellEnd"/>
      <w:r w:rsidR="00E96BA3">
        <w:rPr>
          <w:rFonts w:cs="Arial"/>
          <w:lang w:val="fr-BE" w:eastAsia="nl-BE"/>
        </w:rPr>
        <w:t xml:space="preserve"> financiers concernant les acquisitions, accroissements, réductions et cessions de participations </w:t>
      </w:r>
      <w:proofErr w:type="spellStart"/>
      <w:r w:rsidR="00E96BA3">
        <w:rPr>
          <w:rFonts w:cs="Arial"/>
          <w:lang w:val="fr-BE" w:eastAsia="nl-BE"/>
        </w:rPr>
        <w:t>qualifiéees</w:t>
      </w:r>
      <w:proofErr w:type="spellEnd"/>
      <w:r w:rsidR="00E96BA3">
        <w:rPr>
          <w:rFonts w:cs="Arial"/>
          <w:lang w:val="fr-BE" w:eastAsia="nl-BE"/>
        </w:rPr>
        <w:t>.</w:t>
      </w:r>
    </w:p>
    <w:p w:rsidR="00947C4D" w:rsidRDefault="00947C4D" w:rsidP="005D16AE">
      <w:pPr>
        <w:tabs>
          <w:tab w:val="clear" w:pos="284"/>
        </w:tabs>
        <w:autoSpaceDE w:val="0"/>
        <w:autoSpaceDN w:val="0"/>
        <w:adjustRightInd w:val="0"/>
        <w:spacing w:before="240" w:after="240"/>
        <w:jc w:val="both"/>
        <w:rPr>
          <w:rFonts w:cs="Arial"/>
          <w:lang w:val="fr-BE" w:eastAsia="nl-BE"/>
        </w:rPr>
      </w:pPr>
    </w:p>
    <w:p w:rsidR="005D16AE" w:rsidRPr="006B7F19" w:rsidRDefault="005D16AE" w:rsidP="005D16AE">
      <w:pPr>
        <w:tabs>
          <w:tab w:val="clear" w:pos="284"/>
        </w:tabs>
        <w:autoSpaceDE w:val="0"/>
        <w:autoSpaceDN w:val="0"/>
        <w:adjustRightInd w:val="0"/>
        <w:spacing w:before="240" w:after="240"/>
        <w:jc w:val="both"/>
        <w:rPr>
          <w:rFonts w:cs="Arial"/>
          <w:lang w:val="fr-BE" w:eastAsia="nl-BE"/>
        </w:rPr>
      </w:pPr>
      <w:r w:rsidRPr="006B7F19">
        <w:rPr>
          <w:rFonts w:cs="Arial"/>
          <w:lang w:val="fr-BE" w:eastAsia="nl-BE"/>
        </w:rPr>
        <w:t>Une copie de la présente est adressée au(x) réviseur(s) de votre entreprise ou de votre établissement.</w:t>
      </w:r>
    </w:p>
    <w:p w:rsidR="00620BFC" w:rsidRPr="006B7F19" w:rsidRDefault="00620BFC" w:rsidP="00620BFC">
      <w:pPr>
        <w:rPr>
          <w:lang w:val="fr-BE"/>
        </w:rPr>
      </w:pPr>
      <w:r w:rsidRPr="006B7F19">
        <w:rPr>
          <w:rFonts w:cs="Arial"/>
          <w:lang w:val="fr-BE" w:eastAsia="nl-BE"/>
        </w:rPr>
        <w:t>Veuillez agréer, Madame, Monsieur, nos salutations distinguées.</w:t>
      </w:r>
    </w:p>
    <w:p w:rsidR="00620BFC" w:rsidRPr="006B7F19" w:rsidRDefault="00620BFC" w:rsidP="005D16AE">
      <w:pPr>
        <w:tabs>
          <w:tab w:val="clear" w:pos="284"/>
        </w:tabs>
        <w:autoSpaceDE w:val="0"/>
        <w:autoSpaceDN w:val="0"/>
        <w:adjustRightInd w:val="0"/>
        <w:spacing w:before="240" w:after="240"/>
        <w:jc w:val="both"/>
        <w:rPr>
          <w:rFonts w:cs="Arial"/>
          <w:lang w:val="fr-BE" w:eastAsia="nl-BE"/>
        </w:rPr>
      </w:pPr>
    </w:p>
    <w:p w:rsidR="00620BFC" w:rsidRPr="006B7F19" w:rsidRDefault="00620BFC" w:rsidP="005D16AE">
      <w:pPr>
        <w:tabs>
          <w:tab w:val="clear" w:pos="284"/>
        </w:tabs>
        <w:autoSpaceDE w:val="0"/>
        <w:autoSpaceDN w:val="0"/>
        <w:adjustRightInd w:val="0"/>
        <w:spacing w:before="240" w:after="240"/>
        <w:jc w:val="both"/>
        <w:rPr>
          <w:rFonts w:cs="Arial"/>
          <w:lang w:val="fr-BE" w:eastAsia="nl-BE"/>
        </w:rPr>
      </w:pPr>
    </w:p>
    <w:p w:rsidR="005D16AE" w:rsidRPr="00BF37D6" w:rsidRDefault="00620BFC" w:rsidP="005D16AE">
      <w:pPr>
        <w:tabs>
          <w:tab w:val="clear" w:pos="284"/>
        </w:tabs>
        <w:autoSpaceDE w:val="0"/>
        <w:autoSpaceDN w:val="0"/>
        <w:adjustRightInd w:val="0"/>
        <w:spacing w:before="240" w:after="240"/>
        <w:jc w:val="both"/>
        <w:rPr>
          <w:rFonts w:cs="Arial"/>
          <w:lang w:val="fr-BE" w:eastAsia="nl-BE"/>
        </w:rPr>
      </w:pPr>
      <w:r w:rsidRPr="00BF37D6">
        <w:rPr>
          <w:rFonts w:cs="Arial"/>
          <w:lang w:val="fr-BE" w:eastAsia="nl-BE"/>
        </w:rPr>
        <w:t xml:space="preserve">Jan </w:t>
      </w:r>
      <w:proofErr w:type="spellStart"/>
      <w:r w:rsidRPr="00BF37D6">
        <w:rPr>
          <w:rFonts w:cs="Arial"/>
          <w:lang w:val="fr-BE" w:eastAsia="nl-BE"/>
        </w:rPr>
        <w:t>Smets</w:t>
      </w:r>
      <w:proofErr w:type="spellEnd"/>
    </w:p>
    <w:p w:rsidR="005D16AE" w:rsidRPr="00BF37D6" w:rsidRDefault="006B7F19" w:rsidP="006B7F19">
      <w:pPr>
        <w:tabs>
          <w:tab w:val="clear" w:pos="284"/>
          <w:tab w:val="left" w:pos="1134"/>
        </w:tabs>
        <w:autoSpaceDE w:val="0"/>
        <w:autoSpaceDN w:val="0"/>
        <w:adjustRightInd w:val="0"/>
        <w:ind w:left="851" w:hanging="851"/>
        <w:jc w:val="both"/>
        <w:rPr>
          <w:rFonts w:cs="Arial"/>
          <w:i/>
          <w:iCs/>
          <w:lang w:val="fr-BE" w:eastAsia="nl-BE"/>
        </w:rPr>
      </w:pPr>
      <w:r w:rsidRPr="00BF37D6">
        <w:rPr>
          <w:rFonts w:cs="Arial"/>
          <w:i/>
          <w:iCs/>
          <w:lang w:val="fr-BE" w:eastAsia="nl-BE"/>
        </w:rPr>
        <w:t>Annexes</w:t>
      </w:r>
      <w:r w:rsidR="00620BFC" w:rsidRPr="00BF37D6">
        <w:rPr>
          <w:rFonts w:cs="Arial"/>
          <w:i/>
          <w:iCs/>
          <w:lang w:val="fr-BE" w:eastAsia="nl-BE"/>
        </w:rPr>
        <w:t>:</w:t>
      </w:r>
      <w:r w:rsidRPr="00BF37D6">
        <w:rPr>
          <w:rFonts w:cs="Arial"/>
          <w:i/>
          <w:iCs/>
          <w:lang w:val="fr-BE" w:eastAsia="nl-BE"/>
        </w:rPr>
        <w:tab/>
      </w:r>
      <w:r w:rsidR="005D16AE" w:rsidRPr="00BF37D6">
        <w:rPr>
          <w:rFonts w:cs="Arial"/>
          <w:i/>
          <w:iCs/>
          <w:lang w:val="fr-BE" w:eastAsia="nl-BE"/>
        </w:rPr>
        <w:t>-</w:t>
      </w:r>
      <w:r w:rsidRPr="00BF37D6">
        <w:rPr>
          <w:rFonts w:cs="Arial"/>
          <w:i/>
          <w:iCs/>
          <w:lang w:val="fr-BE" w:eastAsia="nl-BE"/>
        </w:rPr>
        <w:tab/>
      </w:r>
      <w:r w:rsidR="00766DE5" w:rsidRPr="00BF37D6">
        <w:rPr>
          <w:rFonts w:cs="Arial"/>
          <w:i/>
          <w:iCs/>
          <w:lang w:val="fr-BE" w:eastAsia="nl-BE"/>
        </w:rPr>
        <w:t>NBB</w:t>
      </w:r>
      <w:r w:rsidR="005D16AE" w:rsidRPr="00BF37D6">
        <w:rPr>
          <w:rFonts w:cs="Arial"/>
          <w:i/>
          <w:iCs/>
          <w:lang w:val="fr-BE" w:eastAsia="nl-BE"/>
        </w:rPr>
        <w:t>_</w:t>
      </w:r>
      <w:r w:rsidR="00BF37D6" w:rsidRPr="00BF37D6">
        <w:rPr>
          <w:rFonts w:cs="Arial"/>
          <w:i/>
          <w:iCs/>
          <w:lang w:val="fr-BE" w:eastAsia="nl-BE"/>
        </w:rPr>
        <w:t>2017</w:t>
      </w:r>
      <w:r w:rsidR="005D16AE" w:rsidRPr="00BF37D6">
        <w:rPr>
          <w:rFonts w:cs="Arial"/>
          <w:i/>
          <w:iCs/>
          <w:lang w:val="fr-BE" w:eastAsia="nl-BE"/>
        </w:rPr>
        <w:t>_</w:t>
      </w:r>
      <w:r w:rsidR="00BF37D6" w:rsidRPr="00BF37D6">
        <w:rPr>
          <w:rFonts w:cs="Arial"/>
          <w:i/>
          <w:iCs/>
          <w:lang w:val="fr-BE" w:eastAsia="nl-BE"/>
        </w:rPr>
        <w:t>2</w:t>
      </w:r>
      <w:r w:rsidR="007A0CE5">
        <w:rPr>
          <w:rFonts w:cs="Arial"/>
          <w:i/>
          <w:iCs/>
          <w:lang w:val="fr-BE" w:eastAsia="nl-BE"/>
        </w:rPr>
        <w:t>3</w:t>
      </w:r>
      <w:r w:rsidR="005D16AE" w:rsidRPr="00BF37D6">
        <w:rPr>
          <w:rFonts w:cs="Arial"/>
          <w:i/>
          <w:iCs/>
          <w:lang w:val="fr-BE" w:eastAsia="nl-BE"/>
        </w:rPr>
        <w:t>-1 /</w:t>
      </w:r>
      <w:r w:rsidR="00680AE8">
        <w:rPr>
          <w:rFonts w:cs="Arial"/>
          <w:i/>
          <w:iCs/>
          <w:lang w:val="fr-BE" w:eastAsia="nl-BE"/>
        </w:rPr>
        <w:tab/>
      </w:r>
      <w:r w:rsidR="005D16AE" w:rsidRPr="00BF37D6">
        <w:rPr>
          <w:rFonts w:cs="Arial"/>
          <w:i/>
          <w:iCs/>
          <w:lang w:val="fr-BE" w:eastAsia="nl-BE"/>
        </w:rPr>
        <w:t xml:space="preserve">Modification de l'état et de la composition du capital </w:t>
      </w:r>
      <w:r w:rsidR="00620BFC" w:rsidRPr="00BF37D6">
        <w:rPr>
          <w:rFonts w:cs="Arial"/>
          <w:i/>
          <w:iCs/>
          <w:lang w:val="fr-BE" w:eastAsia="nl-BE"/>
        </w:rPr>
        <w:t>–</w:t>
      </w:r>
      <w:r w:rsidR="005D16AE" w:rsidRPr="00BF37D6">
        <w:rPr>
          <w:rFonts w:cs="Arial"/>
          <w:i/>
          <w:iCs/>
          <w:lang w:val="fr-BE" w:eastAsia="nl-BE"/>
        </w:rPr>
        <w:t xml:space="preserve"> Déclaration</w:t>
      </w:r>
      <w:r w:rsidR="00620BFC" w:rsidRPr="00BF37D6">
        <w:rPr>
          <w:rFonts w:cs="Arial"/>
          <w:i/>
          <w:iCs/>
          <w:lang w:val="fr-BE" w:eastAsia="nl-BE"/>
        </w:rPr>
        <w:t xml:space="preserve"> </w:t>
      </w:r>
      <w:r w:rsidRPr="00BF37D6">
        <w:rPr>
          <w:rFonts w:cs="Arial"/>
          <w:i/>
          <w:iCs/>
          <w:lang w:val="fr-BE" w:eastAsia="nl-BE"/>
        </w:rPr>
        <w:tab/>
        <w:t>occasionnelle</w:t>
      </w:r>
    </w:p>
    <w:p w:rsidR="005D16AE" w:rsidRPr="006B7F19" w:rsidRDefault="00766DE5" w:rsidP="006B7F19">
      <w:pPr>
        <w:pStyle w:val="ListParagraph"/>
        <w:numPr>
          <w:ilvl w:val="0"/>
          <w:numId w:val="34"/>
        </w:numPr>
        <w:tabs>
          <w:tab w:val="clear" w:pos="284"/>
        </w:tabs>
        <w:ind w:left="1134" w:hanging="286"/>
        <w:jc w:val="both"/>
        <w:rPr>
          <w:rFonts w:cs="Arial"/>
          <w:lang w:val="nl-BE"/>
        </w:rPr>
      </w:pPr>
      <w:r w:rsidRPr="00BF37D6">
        <w:rPr>
          <w:rFonts w:cs="Arial"/>
          <w:i/>
          <w:iCs/>
          <w:lang w:val="fr-BE" w:eastAsia="nl-BE"/>
        </w:rPr>
        <w:t>NBB</w:t>
      </w:r>
      <w:r w:rsidR="005D16AE" w:rsidRPr="00BF37D6">
        <w:rPr>
          <w:rFonts w:cs="Arial"/>
          <w:i/>
          <w:iCs/>
          <w:lang w:val="fr-BE" w:eastAsia="nl-BE"/>
        </w:rPr>
        <w:t>_</w:t>
      </w:r>
      <w:r w:rsidR="00BF37D6" w:rsidRPr="00BF37D6">
        <w:rPr>
          <w:rFonts w:cs="Arial"/>
          <w:i/>
          <w:iCs/>
          <w:lang w:val="fr-BE" w:eastAsia="nl-BE"/>
        </w:rPr>
        <w:t>2017</w:t>
      </w:r>
      <w:r w:rsidR="005D16AE" w:rsidRPr="00BF37D6">
        <w:rPr>
          <w:rFonts w:cs="Arial"/>
          <w:i/>
          <w:iCs/>
          <w:lang w:val="fr-BE" w:eastAsia="nl-BE"/>
        </w:rPr>
        <w:t>_</w:t>
      </w:r>
      <w:r w:rsidR="00BF37D6" w:rsidRPr="00BF37D6">
        <w:rPr>
          <w:rFonts w:cs="Arial"/>
          <w:i/>
          <w:iCs/>
          <w:lang w:val="fr-BE" w:eastAsia="nl-BE"/>
        </w:rPr>
        <w:t>2</w:t>
      </w:r>
      <w:r w:rsidR="007A0CE5">
        <w:rPr>
          <w:rFonts w:cs="Arial"/>
          <w:i/>
          <w:iCs/>
          <w:lang w:val="fr-BE" w:eastAsia="nl-BE"/>
        </w:rPr>
        <w:t>3</w:t>
      </w:r>
      <w:r w:rsidR="005D16AE" w:rsidRPr="00BF37D6">
        <w:rPr>
          <w:rFonts w:cs="Arial"/>
          <w:i/>
          <w:iCs/>
          <w:lang w:val="fr-BE" w:eastAsia="nl-BE"/>
        </w:rPr>
        <w:t>-2 /</w:t>
      </w:r>
      <w:r w:rsidR="00680AE8">
        <w:rPr>
          <w:rFonts w:cs="Arial"/>
          <w:i/>
          <w:iCs/>
          <w:lang w:val="fr-BE" w:eastAsia="nl-BE"/>
        </w:rPr>
        <w:tab/>
      </w:r>
      <w:r w:rsidR="005D16AE" w:rsidRPr="006B7F19">
        <w:rPr>
          <w:rFonts w:cs="Arial"/>
          <w:i/>
          <w:iCs/>
          <w:lang w:val="fr-BE" w:eastAsia="nl-BE"/>
        </w:rPr>
        <w:t>Etat et composition du</w:t>
      </w:r>
      <w:r w:rsidR="006B7F19" w:rsidRPr="006B7F19">
        <w:rPr>
          <w:rFonts w:cs="Arial"/>
          <w:i/>
          <w:iCs/>
          <w:lang w:val="fr-BE" w:eastAsia="nl-BE"/>
        </w:rPr>
        <w:t xml:space="preserve"> capital - Déclaration annuelle</w:t>
      </w:r>
    </w:p>
    <w:sectPr w:rsidR="005D16AE" w:rsidRPr="006B7F19" w:rsidSect="00D850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AE" w:rsidRDefault="00A94DAE">
      <w:r>
        <w:separator/>
      </w:r>
    </w:p>
  </w:endnote>
  <w:endnote w:type="continuationSeparator" w:id="0">
    <w:p w:rsidR="00A94DAE" w:rsidRDefault="00A9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5D16AE" w:rsidRDefault="005D16AE" w:rsidP="00E87276">
    <w:pPr>
      <w:pStyle w:val="Footer"/>
      <w:pBdr>
        <w:top w:val="single" w:sz="4" w:space="1" w:color="auto"/>
      </w:pBdr>
      <w:rPr>
        <w:b/>
        <w:sz w:val="16"/>
        <w:szCs w:val="16"/>
        <w:lang w:val="nl-BE"/>
      </w:rPr>
    </w:pPr>
    <w:r>
      <w:rPr>
        <w:b/>
        <w:sz w:val="16"/>
        <w:szCs w:val="16"/>
        <w:lang w:val="nl-BE"/>
      </w:rPr>
      <w:t>C</w:t>
    </w:r>
    <w:r w:rsidR="008C3AAF">
      <w:rPr>
        <w:b/>
        <w:sz w:val="16"/>
        <w:szCs w:val="16"/>
        <w:lang w:val="nl-BE"/>
      </w:rPr>
      <w:t>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31AF4">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31AF4">
      <w:rPr>
        <w:b/>
        <w:noProof/>
        <w:sz w:val="16"/>
        <w:szCs w:val="16"/>
        <w:lang w:val="nl-BE"/>
      </w:rPr>
      <w:t>5</w:t>
    </w:r>
    <w:r>
      <w:rPr>
        <w:b/>
        <w:sz w:val="16"/>
        <w:szCs w:val="16"/>
        <w:lang w:val="nl-BE"/>
      </w:rPr>
      <w:fldChar w:fldCharType="end"/>
    </w:r>
    <w:r>
      <w:rPr>
        <w:b/>
        <w:sz w:val="16"/>
        <w:szCs w:val="16"/>
        <w:lang w:val="nl-BE"/>
      </w:rPr>
      <w:tab/>
    </w:r>
    <w:r w:rsidR="00BF37D6">
      <w:rPr>
        <w:sz w:val="14"/>
        <w:szCs w:val="16"/>
        <w:lang w:val="nl-BE"/>
      </w:rPr>
      <w:t>NBB_2017_2</w:t>
    </w:r>
    <w:r w:rsidR="00863843">
      <w:rPr>
        <w:sz w:val="14"/>
        <w:szCs w:val="16"/>
        <w:lang w:val="nl-BE"/>
      </w:rPr>
      <w:t>3</w:t>
    </w:r>
    <w:r w:rsidR="00BF37D6">
      <w:rPr>
        <w:rFonts w:cs="Arial"/>
        <w:sz w:val="14"/>
        <w:szCs w:val="16"/>
        <w:lang w:val="nl-BE"/>
      </w:rPr>
      <w:t> </w:t>
    </w:r>
    <w:r w:rsidR="00BF37D6">
      <w:rPr>
        <w:rFonts w:cs="Arial"/>
        <w:sz w:val="14"/>
        <w:szCs w:val="16"/>
        <w:lang w:val="nl-BE"/>
      </w:rPr>
      <w:t>–</w:t>
    </w:r>
    <w:r w:rsidR="00BF37D6">
      <w:rPr>
        <w:rFonts w:cs="Arial"/>
        <w:sz w:val="14"/>
        <w:szCs w:val="16"/>
        <w:lang w:val="nl-BE"/>
      </w:rPr>
      <w:t> </w:t>
    </w:r>
    <w:r w:rsidR="00BF37D6">
      <w:rPr>
        <w:sz w:val="14"/>
        <w:szCs w:val="16"/>
        <w:lang w:val="nl-BE"/>
      </w:rPr>
      <w:t>1</w:t>
    </w:r>
    <w:r w:rsidR="002B60A0">
      <w:rPr>
        <w:sz w:val="14"/>
        <w:szCs w:val="16"/>
        <w:lang w:val="nl-BE"/>
      </w:rPr>
      <w:t>4</w:t>
    </w:r>
    <w:r w:rsidR="00BF37D6">
      <w:rPr>
        <w:sz w:val="14"/>
        <w:szCs w:val="16"/>
        <w:lang w:val="nl-BE"/>
      </w:rPr>
      <w:t xml:space="preserve"> </w:t>
    </w:r>
    <w:proofErr w:type="spellStart"/>
    <w:r w:rsidR="00BF37D6">
      <w:rPr>
        <w:sz w:val="14"/>
        <w:szCs w:val="16"/>
        <w:lang w:val="nl-BE"/>
      </w:rPr>
      <w:t>septembre</w:t>
    </w:r>
    <w:proofErr w:type="spellEnd"/>
    <w:r w:rsidR="00BF37D6">
      <w:rPr>
        <w:sz w:val="14"/>
        <w:szCs w:val="16"/>
        <w:lang w:val="nl-BE"/>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F64E38">
    <w:pPr>
      <w:pStyle w:val="Footer"/>
      <w:pBdr>
        <w:top w:val="single" w:sz="4" w:space="1" w:color="auto"/>
      </w:pBdr>
      <w:rPr>
        <w:b/>
        <w:sz w:val="16"/>
        <w:szCs w:val="14"/>
        <w:lang w:val="nl-BE"/>
      </w:rPr>
    </w:pPr>
    <w:r>
      <w:rPr>
        <w:b/>
        <w:sz w:val="16"/>
        <w:szCs w:val="14"/>
        <w:lang w:val="nl-BE"/>
      </w:rPr>
      <w:tab/>
    </w:r>
    <w:r w:rsidR="00BF37D6">
      <w:rPr>
        <w:sz w:val="14"/>
        <w:szCs w:val="16"/>
        <w:lang w:val="nl-BE"/>
      </w:rPr>
      <w:t>NBB_2017_2</w:t>
    </w:r>
    <w:r w:rsidR="00863843">
      <w:rPr>
        <w:sz w:val="14"/>
        <w:szCs w:val="16"/>
        <w:lang w:val="nl-BE"/>
      </w:rPr>
      <w:t>3</w:t>
    </w:r>
    <w:r w:rsidR="00BF37D6">
      <w:rPr>
        <w:rFonts w:cs="Arial"/>
        <w:sz w:val="14"/>
        <w:szCs w:val="16"/>
        <w:lang w:val="nl-BE"/>
      </w:rPr>
      <w:t> </w:t>
    </w:r>
    <w:r w:rsidR="00BF37D6">
      <w:rPr>
        <w:rFonts w:cs="Arial"/>
        <w:sz w:val="14"/>
        <w:szCs w:val="16"/>
        <w:lang w:val="nl-BE"/>
      </w:rPr>
      <w:t>–</w:t>
    </w:r>
    <w:r w:rsidR="00BF37D6">
      <w:rPr>
        <w:rFonts w:cs="Arial"/>
        <w:sz w:val="14"/>
        <w:szCs w:val="16"/>
        <w:lang w:val="nl-BE"/>
      </w:rPr>
      <w:t> </w:t>
    </w:r>
    <w:r w:rsidR="00BF37D6">
      <w:rPr>
        <w:sz w:val="14"/>
        <w:szCs w:val="16"/>
        <w:lang w:val="nl-BE"/>
      </w:rPr>
      <w:t>1</w:t>
    </w:r>
    <w:r w:rsidR="002B60A0">
      <w:rPr>
        <w:sz w:val="14"/>
        <w:szCs w:val="16"/>
        <w:lang w:val="nl-BE"/>
      </w:rPr>
      <w:t>4</w:t>
    </w:r>
    <w:r w:rsidR="00BF37D6">
      <w:rPr>
        <w:sz w:val="14"/>
        <w:szCs w:val="16"/>
        <w:lang w:val="nl-BE"/>
      </w:rPr>
      <w:t xml:space="preserve"> </w:t>
    </w:r>
    <w:proofErr w:type="spellStart"/>
    <w:r w:rsidR="00BF37D6">
      <w:rPr>
        <w:sz w:val="14"/>
        <w:szCs w:val="16"/>
        <w:lang w:val="nl-BE"/>
      </w:rPr>
      <w:t>septembre</w:t>
    </w:r>
    <w:proofErr w:type="spellEnd"/>
    <w:r w:rsidR="00BF37D6">
      <w:rPr>
        <w:sz w:val="14"/>
        <w:szCs w:val="16"/>
        <w:lang w:val="nl-BE"/>
      </w:rPr>
      <w:t xml:space="preserve"> 2017</w:t>
    </w:r>
    <w:r>
      <w:rPr>
        <w:b/>
        <w:sz w:val="16"/>
        <w:szCs w:val="14"/>
        <w:lang w:val="nl-BE"/>
      </w:rPr>
      <w:tab/>
      <w:t>C</w:t>
    </w:r>
    <w:r w:rsidR="008C3AAF">
      <w:rPr>
        <w:b/>
        <w:sz w:val="16"/>
        <w:szCs w:val="14"/>
        <w:lang w:val="nl-BE"/>
      </w:rPr>
      <w:t>irculaire</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E31AF4">
      <w:rPr>
        <w:b/>
        <w:noProof/>
        <w:sz w:val="16"/>
        <w:szCs w:val="14"/>
        <w:lang w:val="nl-BE"/>
      </w:rPr>
      <w:t>5</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E31AF4">
      <w:rPr>
        <w:b/>
        <w:noProof/>
        <w:sz w:val="16"/>
        <w:szCs w:val="14"/>
        <w:lang w:val="nl-BE"/>
      </w:rPr>
      <w:t>5</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BF37D6">
      <w:rPr>
        <w:sz w:val="14"/>
        <w:szCs w:val="16"/>
        <w:lang w:val="nl-BE"/>
      </w:rPr>
      <w:t>2</w:t>
    </w:r>
    <w:r w:rsidR="00863843">
      <w:rPr>
        <w:sz w:val="14"/>
        <w:szCs w:val="16"/>
        <w:lang w:val="nl-BE"/>
      </w:rPr>
      <w:t>3</w:t>
    </w:r>
    <w:r>
      <w:rPr>
        <w:rFonts w:cs="Arial"/>
        <w:sz w:val="14"/>
        <w:szCs w:val="16"/>
        <w:lang w:val="nl-BE"/>
      </w:rPr>
      <w:t> </w:t>
    </w:r>
    <w:r>
      <w:rPr>
        <w:rFonts w:cs="Arial"/>
        <w:sz w:val="14"/>
        <w:szCs w:val="16"/>
        <w:lang w:val="nl-BE"/>
      </w:rPr>
      <w:t>–</w:t>
    </w:r>
    <w:r>
      <w:rPr>
        <w:rFonts w:cs="Arial"/>
        <w:sz w:val="14"/>
        <w:szCs w:val="16"/>
        <w:lang w:val="nl-BE"/>
      </w:rPr>
      <w:t> </w:t>
    </w:r>
    <w:r w:rsidR="00BF37D6">
      <w:rPr>
        <w:sz w:val="14"/>
        <w:szCs w:val="16"/>
        <w:lang w:val="nl-BE"/>
      </w:rPr>
      <w:t>1</w:t>
    </w:r>
    <w:r w:rsidR="002B60A0">
      <w:rPr>
        <w:sz w:val="14"/>
        <w:szCs w:val="16"/>
        <w:lang w:val="nl-BE"/>
      </w:rPr>
      <w:t>4</w:t>
    </w:r>
    <w:r w:rsidR="00BF37D6">
      <w:rPr>
        <w:sz w:val="14"/>
        <w:szCs w:val="16"/>
        <w:lang w:val="nl-BE"/>
      </w:rPr>
      <w:t xml:space="preserve"> </w:t>
    </w:r>
    <w:proofErr w:type="spellStart"/>
    <w:r w:rsidR="00BF37D6">
      <w:rPr>
        <w:sz w:val="14"/>
        <w:szCs w:val="16"/>
        <w:lang w:val="nl-BE"/>
      </w:rPr>
      <w:t>septembre</w:t>
    </w:r>
    <w:proofErr w:type="spellEnd"/>
    <w:r>
      <w:rPr>
        <w:sz w:val="14"/>
        <w:szCs w:val="16"/>
        <w:lang w:val="nl-BE"/>
      </w:rPr>
      <w:t xml:space="preserve"> 2017</w:t>
    </w:r>
    <w:r>
      <w:rPr>
        <w:b/>
        <w:sz w:val="16"/>
        <w:szCs w:val="16"/>
        <w:lang w:val="nl-BE"/>
      </w:rPr>
      <w:tab/>
      <w:t>C</w:t>
    </w:r>
    <w:r w:rsidR="008C3AAF">
      <w:rPr>
        <w:b/>
        <w:sz w:val="16"/>
        <w:szCs w:val="16"/>
        <w:lang w:val="nl-BE"/>
      </w:rPr>
      <w:t>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31AF4">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31AF4">
      <w:rPr>
        <w:b/>
        <w:noProof/>
        <w:sz w:val="16"/>
        <w:szCs w:val="16"/>
        <w:lang w:val="nl-BE"/>
      </w:rPr>
      <w:t>5</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AE" w:rsidRPr="00117F31" w:rsidRDefault="00A94DAE" w:rsidP="00117F31">
      <w:pPr>
        <w:pStyle w:val="Footer"/>
      </w:pPr>
    </w:p>
  </w:footnote>
  <w:footnote w:type="continuationSeparator" w:id="0">
    <w:p w:rsidR="00A94DAE" w:rsidRPr="00117F31" w:rsidRDefault="00A94DAE" w:rsidP="00117F31">
      <w:pPr>
        <w:pStyle w:val="Footer"/>
      </w:pPr>
    </w:p>
  </w:footnote>
  <w:footnote w:type="continuationNotice" w:id="1">
    <w:p w:rsidR="00A94DAE" w:rsidRDefault="00A94DAE"/>
  </w:footnote>
  <w:footnote w:id="2">
    <w:p w:rsidR="008771A8" w:rsidRPr="008771A8" w:rsidRDefault="008771A8" w:rsidP="00422FE4">
      <w:pPr>
        <w:pStyle w:val="FootnoteText"/>
        <w:tabs>
          <w:tab w:val="clear" w:pos="284"/>
        </w:tabs>
        <w:spacing w:line="240" w:lineRule="auto"/>
        <w:jc w:val="both"/>
        <w:rPr>
          <w:lang w:val="fr-BE"/>
        </w:rPr>
      </w:pPr>
      <w:r>
        <w:rPr>
          <w:rStyle w:val="FootnoteReference"/>
        </w:rPr>
        <w:footnoteRef/>
      </w:r>
      <w:r w:rsidR="00422FE4">
        <w:tab/>
      </w:r>
      <w:r w:rsidRPr="00422FE4">
        <w:rPr>
          <w:rFonts w:cs="Arial"/>
          <w:szCs w:val="18"/>
          <w:lang w:val="fr-BE" w:eastAsia="nl-BE"/>
        </w:rPr>
        <w:t>Cf. annexe 8 de la communication NBB_</w:t>
      </w:r>
      <w:r w:rsidR="00BF2F83">
        <w:rPr>
          <w:rFonts w:cs="Arial"/>
          <w:szCs w:val="18"/>
          <w:lang w:val="fr-BE" w:eastAsia="nl-BE"/>
        </w:rPr>
        <w:t>2017</w:t>
      </w:r>
      <w:r w:rsidRPr="00422FE4">
        <w:rPr>
          <w:rFonts w:cs="Arial"/>
          <w:szCs w:val="18"/>
          <w:lang w:val="fr-BE" w:eastAsia="nl-BE"/>
        </w:rPr>
        <w:t>_</w:t>
      </w:r>
      <w:r w:rsidR="00BF2F83">
        <w:rPr>
          <w:rFonts w:cs="Arial"/>
          <w:szCs w:val="18"/>
          <w:lang w:val="fr-BE" w:eastAsia="nl-BE"/>
        </w:rPr>
        <w:t>2</w:t>
      </w:r>
      <w:r w:rsidR="007A0CE5">
        <w:rPr>
          <w:rFonts w:cs="Arial"/>
          <w:szCs w:val="18"/>
          <w:lang w:val="fr-BE" w:eastAsia="nl-BE"/>
        </w:rPr>
        <w:t>2</w:t>
      </w:r>
      <w:r w:rsidRPr="00422FE4">
        <w:rPr>
          <w:rFonts w:cs="Arial"/>
          <w:szCs w:val="18"/>
          <w:lang w:val="fr-BE" w:eastAsia="nl-BE"/>
        </w:rPr>
        <w:t xml:space="preserve"> aux personnes ayant l'intention d'acquérir, d'accroître, de réduire ou de céder une participation qualifiée dans le capital d'organismes financiers ainsi qu’aux personnes détenant une participation qualifiée qui reprend de manière intégrale les orientations communes des AES.</w:t>
      </w:r>
    </w:p>
  </w:footnote>
  <w:footnote w:id="3">
    <w:p w:rsidR="00CF256F" w:rsidRPr="00CF256F" w:rsidRDefault="00CF256F" w:rsidP="00422FE4">
      <w:pPr>
        <w:tabs>
          <w:tab w:val="clear" w:pos="284"/>
        </w:tabs>
        <w:autoSpaceDE w:val="0"/>
        <w:autoSpaceDN w:val="0"/>
        <w:adjustRightInd w:val="0"/>
        <w:spacing w:line="240" w:lineRule="auto"/>
        <w:ind w:left="284" w:hanging="284"/>
        <w:jc w:val="both"/>
        <w:rPr>
          <w:lang w:val="fr-BE"/>
        </w:rPr>
      </w:pPr>
      <w:r>
        <w:rPr>
          <w:rStyle w:val="FootnoteReference"/>
        </w:rPr>
        <w:footnoteRef/>
      </w:r>
      <w:r w:rsidR="00422FE4">
        <w:t xml:space="preserve"> </w:t>
      </w:r>
      <w:r w:rsidR="00422FE4">
        <w:tab/>
      </w:r>
      <w:proofErr w:type="spellStart"/>
      <w:r w:rsidRPr="00BF44C1">
        <w:rPr>
          <w:sz w:val="18"/>
          <w:szCs w:val="18"/>
        </w:rPr>
        <w:t>C’est</w:t>
      </w:r>
      <w:proofErr w:type="spellEnd"/>
      <w:r w:rsidRPr="00BF44C1">
        <w:rPr>
          <w:sz w:val="18"/>
          <w:szCs w:val="18"/>
        </w:rPr>
        <w:t>-à-dire (</w:t>
      </w:r>
      <w:proofErr w:type="spellStart"/>
      <w:r w:rsidRPr="00BF44C1">
        <w:rPr>
          <w:sz w:val="18"/>
          <w:szCs w:val="18"/>
        </w:rPr>
        <w:t>i</w:t>
      </w:r>
      <w:proofErr w:type="spellEnd"/>
      <w:r w:rsidRPr="00BF44C1">
        <w:rPr>
          <w:sz w:val="18"/>
          <w:szCs w:val="18"/>
        </w:rPr>
        <w:t xml:space="preserve">) </w:t>
      </w:r>
      <w:r w:rsidRPr="00BF44C1">
        <w:rPr>
          <w:rFonts w:cs="Arial"/>
          <w:sz w:val="18"/>
          <w:szCs w:val="18"/>
          <w:lang w:val="fr-BE" w:eastAsia="nl-BE"/>
        </w:rPr>
        <w:t>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w:t>
      </w:r>
      <w:r w:rsidR="00456D63">
        <w:rPr>
          <w:rFonts w:cs="Arial"/>
          <w:sz w:val="18"/>
          <w:szCs w:val="18"/>
          <w:lang w:val="fr-BE" w:eastAsia="nl-BE"/>
        </w:rPr>
        <w:t>,</w:t>
      </w:r>
      <w:r w:rsidRPr="00BF44C1">
        <w:rPr>
          <w:rFonts w:cs="Arial"/>
          <w:sz w:val="18"/>
          <w:szCs w:val="18"/>
          <w:lang w:val="fr-BE" w:eastAsia="nl-BE"/>
        </w:rPr>
        <w:t xml:space="preserve"> la Banque centrale européenne (BCE) </w:t>
      </w:r>
      <w:r w:rsidR="00456D63">
        <w:rPr>
          <w:rFonts w:cs="Arial"/>
          <w:sz w:val="18"/>
          <w:szCs w:val="18"/>
          <w:lang w:val="fr-BE" w:eastAsia="nl-BE"/>
        </w:rPr>
        <w:t>conformément aux</w:t>
      </w:r>
      <w:r w:rsidRPr="00BF44C1">
        <w:rPr>
          <w:rFonts w:cs="Arial"/>
          <w:sz w:val="18"/>
          <w:szCs w:val="18"/>
          <w:lang w:val="fr-BE" w:eastAsia="nl-BE"/>
        </w:rPr>
        <w:t xml:space="preserve"> répartitions de compétences prévues par ou en vertu du Règlement MSU en matière de contrôle des établissements de crédit; et (iii) pour ce qui concerne les sociétés de bourse de droit belge la Banque nationale de Belgique.</w:t>
      </w:r>
    </w:p>
  </w:footnote>
  <w:footnote w:id="4">
    <w:p w:rsidR="00666773" w:rsidRPr="005A7033" w:rsidRDefault="00666773" w:rsidP="00BF37D6">
      <w:pPr>
        <w:pStyle w:val="FootnoteText"/>
        <w:spacing w:line="240" w:lineRule="auto"/>
        <w:rPr>
          <w:lang w:val="fr-BE"/>
        </w:rPr>
      </w:pPr>
      <w:r>
        <w:rPr>
          <w:rStyle w:val="FootnoteReference"/>
        </w:rPr>
        <w:footnoteRef/>
      </w:r>
      <w:r>
        <w:t xml:space="preserve"> </w:t>
      </w:r>
      <w:r>
        <w:tab/>
      </w:r>
      <w:r>
        <w:rPr>
          <w:lang w:val="fr-BE"/>
        </w:rPr>
        <w:t>Par information crédible, on entend une information à laquelle l’</w:t>
      </w:r>
      <w:proofErr w:type="spellStart"/>
      <w:r>
        <w:rPr>
          <w:lang w:val="fr-BE"/>
        </w:rPr>
        <w:t>organsime</w:t>
      </w:r>
      <w:proofErr w:type="spellEnd"/>
      <w:r>
        <w:rPr>
          <w:lang w:val="fr-BE"/>
        </w:rPr>
        <w:t xml:space="preserve"> financier peut </w:t>
      </w:r>
      <w:proofErr w:type="spellStart"/>
      <w:r>
        <w:rPr>
          <w:lang w:val="fr-BE"/>
        </w:rPr>
        <w:t>raisonablement</w:t>
      </w:r>
      <w:proofErr w:type="spellEnd"/>
      <w:r>
        <w:rPr>
          <w:lang w:val="fr-BE"/>
        </w:rPr>
        <w:t xml:space="preserve"> </w:t>
      </w:r>
      <w:r w:rsidR="001E5B4F">
        <w:rPr>
          <w:lang w:val="fr-BE"/>
        </w:rPr>
        <w:t>croire</w:t>
      </w:r>
      <w:r>
        <w:rPr>
          <w:rStyle w:val="tgc"/>
          <w:rFonts w:cs="Arial"/>
          <w:color w:val="222222"/>
          <w:lang w:val="fr-BE"/>
        </w:rPr>
        <w:t>.</w:t>
      </w:r>
    </w:p>
  </w:footnote>
  <w:footnote w:id="5">
    <w:p w:rsidR="00304619" w:rsidRPr="005A7033" w:rsidRDefault="00304619" w:rsidP="00BF37D6">
      <w:pPr>
        <w:pStyle w:val="FootnoteText"/>
        <w:spacing w:line="240" w:lineRule="auto"/>
        <w:jc w:val="both"/>
        <w:rPr>
          <w:lang w:val="fr-BE"/>
        </w:rPr>
      </w:pPr>
      <w:r>
        <w:rPr>
          <w:rStyle w:val="FootnoteReference"/>
        </w:rPr>
        <w:footnoteRef/>
      </w:r>
      <w:r>
        <w:t xml:space="preserve"> </w:t>
      </w:r>
      <w:r>
        <w:rPr>
          <w:lang w:val="fr-BE"/>
        </w:rPr>
        <w:t xml:space="preserve"> </w:t>
      </w:r>
      <w:r>
        <w:rPr>
          <w:lang w:val="fr-BE"/>
        </w:rPr>
        <w:tab/>
      </w:r>
      <w:r w:rsidR="000A2AE6">
        <w:rPr>
          <w:lang w:val="fr-BE"/>
        </w:rPr>
        <w:t>En cas de cession ou d’acquisition lorsque l’actionnaire est déjà connu (p.ex. en cas d’opération intragroupe sans véritable changement de contrôle ou en cas de cession de participations indirectes sans modification du pourcentage détenu à l’échelon actionnarial supérieur), certaines demandes d’informations</w:t>
      </w:r>
      <w:r w:rsidR="00766241">
        <w:rPr>
          <w:lang w:val="fr-BE"/>
        </w:rPr>
        <w:t xml:space="preserve"> à joindre à la déclaration </w:t>
      </w:r>
      <w:proofErr w:type="spellStart"/>
      <w:r w:rsidR="00766241">
        <w:rPr>
          <w:lang w:val="fr-BE"/>
        </w:rPr>
        <w:t>ocasionnelle</w:t>
      </w:r>
      <w:proofErr w:type="spellEnd"/>
      <w:r w:rsidR="000A2AE6">
        <w:rPr>
          <w:lang w:val="fr-BE"/>
        </w:rPr>
        <w:t xml:space="preserve"> </w:t>
      </w:r>
      <w:r w:rsidR="00766241">
        <w:rPr>
          <w:lang w:val="fr-BE"/>
        </w:rPr>
        <w:t>reprise</w:t>
      </w:r>
      <w:r w:rsidR="000A2AE6">
        <w:rPr>
          <w:lang w:val="fr-BE"/>
        </w:rPr>
        <w:t xml:space="preserve"> en annexe 1 peuvent être </w:t>
      </w:r>
      <w:r w:rsidR="00766241">
        <w:rPr>
          <w:lang w:val="fr-BE"/>
        </w:rPr>
        <w:t>réduites</w:t>
      </w:r>
      <w:r w:rsidR="000A2AE6">
        <w:rPr>
          <w:lang w:val="fr-BE"/>
        </w:rPr>
        <w:t xml:space="preserve"> </w:t>
      </w:r>
      <w:r w:rsidR="00766241">
        <w:rPr>
          <w:lang w:val="fr-BE"/>
        </w:rPr>
        <w:t>pour autant qu’il y ait un accord préalable de</w:t>
      </w:r>
      <w:r w:rsidR="000A2AE6">
        <w:rPr>
          <w:lang w:val="fr-BE"/>
        </w:rPr>
        <w:t xml:space="preserve"> l’autorité de contrôle</w:t>
      </w:r>
      <w:r>
        <w:rPr>
          <w:lang w:val="fr-BE"/>
        </w:rPr>
        <w:t>. A cet égard, il convient de prendre contact préalablement avec l’autorité de contrôle</w:t>
      </w:r>
      <w:r w:rsidR="00766241">
        <w:rPr>
          <w:lang w:val="fr-BE"/>
        </w:rPr>
        <w:t xml:space="preserve"> et de motiver cette demande</w:t>
      </w:r>
      <w:r>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43" w:rsidRDefault="00863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09911A2"/>
    <w:multiLevelType w:val="hybridMultilevel"/>
    <w:tmpl w:val="477821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ACE5ACE"/>
    <w:multiLevelType w:val="hybridMultilevel"/>
    <w:tmpl w:val="12FCB87A"/>
    <w:lvl w:ilvl="0" w:tplc="30E074B0">
      <w:start w:val="5"/>
      <w:numFmt w:val="bullet"/>
      <w:lvlText w:val="-"/>
      <w:lvlJc w:val="left"/>
      <w:pPr>
        <w:ind w:left="1208" w:hanging="360"/>
      </w:pPr>
      <w:rPr>
        <w:rFonts w:ascii="Arial" w:eastAsia="Times New Roman" w:hAnsi="Arial" w:cs="Arial" w:hint="default"/>
        <w:i/>
        <w:color w:val="000000"/>
      </w:rPr>
    </w:lvl>
    <w:lvl w:ilvl="1" w:tplc="080C0003" w:tentative="1">
      <w:start w:val="1"/>
      <w:numFmt w:val="bullet"/>
      <w:lvlText w:val="o"/>
      <w:lvlJc w:val="left"/>
      <w:pPr>
        <w:ind w:left="1928" w:hanging="360"/>
      </w:pPr>
      <w:rPr>
        <w:rFonts w:ascii="Courier New" w:hAnsi="Courier New" w:cs="Courier New" w:hint="default"/>
      </w:rPr>
    </w:lvl>
    <w:lvl w:ilvl="2" w:tplc="080C0005" w:tentative="1">
      <w:start w:val="1"/>
      <w:numFmt w:val="bullet"/>
      <w:lvlText w:val=""/>
      <w:lvlJc w:val="left"/>
      <w:pPr>
        <w:ind w:left="2648" w:hanging="360"/>
      </w:pPr>
      <w:rPr>
        <w:rFonts w:ascii="Wingdings" w:hAnsi="Wingdings" w:hint="default"/>
      </w:rPr>
    </w:lvl>
    <w:lvl w:ilvl="3" w:tplc="080C0001" w:tentative="1">
      <w:start w:val="1"/>
      <w:numFmt w:val="bullet"/>
      <w:lvlText w:val=""/>
      <w:lvlJc w:val="left"/>
      <w:pPr>
        <w:ind w:left="3368" w:hanging="360"/>
      </w:pPr>
      <w:rPr>
        <w:rFonts w:ascii="Symbol" w:hAnsi="Symbol" w:hint="default"/>
      </w:rPr>
    </w:lvl>
    <w:lvl w:ilvl="4" w:tplc="080C0003" w:tentative="1">
      <w:start w:val="1"/>
      <w:numFmt w:val="bullet"/>
      <w:lvlText w:val="o"/>
      <w:lvlJc w:val="left"/>
      <w:pPr>
        <w:ind w:left="4088" w:hanging="360"/>
      </w:pPr>
      <w:rPr>
        <w:rFonts w:ascii="Courier New" w:hAnsi="Courier New" w:cs="Courier New" w:hint="default"/>
      </w:rPr>
    </w:lvl>
    <w:lvl w:ilvl="5" w:tplc="080C0005" w:tentative="1">
      <w:start w:val="1"/>
      <w:numFmt w:val="bullet"/>
      <w:lvlText w:val=""/>
      <w:lvlJc w:val="left"/>
      <w:pPr>
        <w:ind w:left="4808" w:hanging="360"/>
      </w:pPr>
      <w:rPr>
        <w:rFonts w:ascii="Wingdings" w:hAnsi="Wingdings" w:hint="default"/>
      </w:rPr>
    </w:lvl>
    <w:lvl w:ilvl="6" w:tplc="080C0001" w:tentative="1">
      <w:start w:val="1"/>
      <w:numFmt w:val="bullet"/>
      <w:lvlText w:val=""/>
      <w:lvlJc w:val="left"/>
      <w:pPr>
        <w:ind w:left="5528" w:hanging="360"/>
      </w:pPr>
      <w:rPr>
        <w:rFonts w:ascii="Symbol" w:hAnsi="Symbol" w:hint="default"/>
      </w:rPr>
    </w:lvl>
    <w:lvl w:ilvl="7" w:tplc="080C0003" w:tentative="1">
      <w:start w:val="1"/>
      <w:numFmt w:val="bullet"/>
      <w:lvlText w:val="o"/>
      <w:lvlJc w:val="left"/>
      <w:pPr>
        <w:ind w:left="6248" w:hanging="360"/>
      </w:pPr>
      <w:rPr>
        <w:rFonts w:ascii="Courier New" w:hAnsi="Courier New" w:cs="Courier New" w:hint="default"/>
      </w:rPr>
    </w:lvl>
    <w:lvl w:ilvl="8" w:tplc="080C0005" w:tentative="1">
      <w:start w:val="1"/>
      <w:numFmt w:val="bullet"/>
      <w:lvlText w:val=""/>
      <w:lvlJc w:val="left"/>
      <w:pPr>
        <w:ind w:left="6968" w:hanging="360"/>
      </w:pPr>
      <w:rPr>
        <w:rFonts w:ascii="Wingdings" w:hAnsi="Wingdings" w:hint="default"/>
      </w:rPr>
    </w:lvl>
  </w:abstractNum>
  <w:abstractNum w:abstractNumId="17">
    <w:nsid w:val="32B05212"/>
    <w:multiLevelType w:val="hybridMultilevel"/>
    <w:tmpl w:val="8216F860"/>
    <w:lvl w:ilvl="0" w:tplc="30E074B0">
      <w:start w:val="5"/>
      <w:numFmt w:val="bullet"/>
      <w:lvlText w:val="-"/>
      <w:lvlJc w:val="left"/>
      <w:pPr>
        <w:ind w:left="720" w:hanging="360"/>
      </w:pPr>
      <w:rPr>
        <w:rFonts w:ascii="Arial" w:eastAsia="Times New Roman" w:hAnsi="Arial" w:cs="Arial"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7549C2"/>
    <w:multiLevelType w:val="hybridMultilevel"/>
    <w:tmpl w:val="D4463D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F5274"/>
    <w:multiLevelType w:val="hybridMultilevel"/>
    <w:tmpl w:val="D11CA0D6"/>
    <w:lvl w:ilvl="0" w:tplc="F7422C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74003B"/>
    <w:multiLevelType w:val="hybridMultilevel"/>
    <w:tmpl w:val="01D22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B44794"/>
    <w:multiLevelType w:val="hybridMultilevel"/>
    <w:tmpl w:val="541403DC"/>
    <w:lvl w:ilvl="0" w:tplc="080C000D">
      <w:start w:val="1"/>
      <w:numFmt w:val="bullet"/>
      <w:lvlText w:val=""/>
      <w:lvlJc w:val="left"/>
      <w:pPr>
        <w:ind w:left="720" w:hanging="360"/>
      </w:pPr>
      <w:rPr>
        <w:rFonts w:ascii="Wingdings" w:hAnsi="Wingdings"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3"/>
  </w:num>
  <w:num w:numId="13">
    <w:abstractNumId w:val="35"/>
  </w:num>
  <w:num w:numId="14">
    <w:abstractNumId w:val="28"/>
  </w:num>
  <w:num w:numId="15">
    <w:abstractNumId w:val="22"/>
  </w:num>
  <w:num w:numId="16">
    <w:abstractNumId w:val="15"/>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1"/>
  </w:num>
  <w:num w:numId="28">
    <w:abstractNumId w:val="21"/>
  </w:num>
  <w:num w:numId="29">
    <w:abstractNumId w:val="34"/>
  </w:num>
  <w:num w:numId="30">
    <w:abstractNumId w:val="24"/>
  </w:num>
  <w:num w:numId="31">
    <w:abstractNumId w:val="33"/>
  </w:num>
  <w:num w:numId="32">
    <w:abstractNumId w:val="27"/>
  </w:num>
  <w:num w:numId="33">
    <w:abstractNumId w:val="10"/>
  </w:num>
  <w:num w:numId="34">
    <w:abstractNumId w:val="16"/>
  </w:num>
  <w:num w:numId="35">
    <w:abstractNumId w:val="25"/>
  </w:num>
  <w:num w:numId="36">
    <w:abstractNumId w:val="17"/>
  </w:num>
  <w:num w:numId="37">
    <w:abstractNumId w:val="36"/>
  </w:num>
  <w:num w:numId="38">
    <w:abstractNumId w:val="14"/>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E"/>
    <w:rsid w:val="00024A9E"/>
    <w:rsid w:val="000327D2"/>
    <w:rsid w:val="0003333C"/>
    <w:rsid w:val="00036E81"/>
    <w:rsid w:val="0004319E"/>
    <w:rsid w:val="0004570B"/>
    <w:rsid w:val="00051F2C"/>
    <w:rsid w:val="00053EEF"/>
    <w:rsid w:val="00062C1B"/>
    <w:rsid w:val="00064AC6"/>
    <w:rsid w:val="00082FA7"/>
    <w:rsid w:val="000869C2"/>
    <w:rsid w:val="00090275"/>
    <w:rsid w:val="0009327E"/>
    <w:rsid w:val="00097598"/>
    <w:rsid w:val="000A1DA9"/>
    <w:rsid w:val="000A2AE6"/>
    <w:rsid w:val="000B6441"/>
    <w:rsid w:val="000C35AA"/>
    <w:rsid w:val="000C37AB"/>
    <w:rsid w:val="000D0121"/>
    <w:rsid w:val="000D10C0"/>
    <w:rsid w:val="000D405E"/>
    <w:rsid w:val="000E0090"/>
    <w:rsid w:val="000E2A68"/>
    <w:rsid w:val="000E533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1C39"/>
    <w:rsid w:val="00167ACD"/>
    <w:rsid w:val="00172DAF"/>
    <w:rsid w:val="00175ADE"/>
    <w:rsid w:val="001763C2"/>
    <w:rsid w:val="001767CB"/>
    <w:rsid w:val="0018502B"/>
    <w:rsid w:val="0018615D"/>
    <w:rsid w:val="00186EC7"/>
    <w:rsid w:val="0019158E"/>
    <w:rsid w:val="00197FEB"/>
    <w:rsid w:val="001A1D68"/>
    <w:rsid w:val="001A7DC7"/>
    <w:rsid w:val="001B4EEE"/>
    <w:rsid w:val="001B7F21"/>
    <w:rsid w:val="001D503F"/>
    <w:rsid w:val="001E5B4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C9C"/>
    <w:rsid w:val="002B5743"/>
    <w:rsid w:val="002B60A0"/>
    <w:rsid w:val="002D5723"/>
    <w:rsid w:val="002D75B3"/>
    <w:rsid w:val="002E10A2"/>
    <w:rsid w:val="002E15B9"/>
    <w:rsid w:val="002E409B"/>
    <w:rsid w:val="002E5144"/>
    <w:rsid w:val="002F1611"/>
    <w:rsid w:val="00304619"/>
    <w:rsid w:val="003116AA"/>
    <w:rsid w:val="003135E6"/>
    <w:rsid w:val="003364D4"/>
    <w:rsid w:val="00336912"/>
    <w:rsid w:val="003419C5"/>
    <w:rsid w:val="003519BC"/>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2FE4"/>
    <w:rsid w:val="0042595A"/>
    <w:rsid w:val="004275C8"/>
    <w:rsid w:val="004449B7"/>
    <w:rsid w:val="00450949"/>
    <w:rsid w:val="00452093"/>
    <w:rsid w:val="004540E1"/>
    <w:rsid w:val="00454C65"/>
    <w:rsid w:val="00456D63"/>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87ADE"/>
    <w:rsid w:val="00592469"/>
    <w:rsid w:val="00592957"/>
    <w:rsid w:val="005932C7"/>
    <w:rsid w:val="0059396D"/>
    <w:rsid w:val="005A3DA7"/>
    <w:rsid w:val="005A7033"/>
    <w:rsid w:val="005B1D88"/>
    <w:rsid w:val="005B4C1C"/>
    <w:rsid w:val="005C1B25"/>
    <w:rsid w:val="005C3450"/>
    <w:rsid w:val="005C3F84"/>
    <w:rsid w:val="005D16AE"/>
    <w:rsid w:val="005E33F6"/>
    <w:rsid w:val="006107D5"/>
    <w:rsid w:val="00610B4E"/>
    <w:rsid w:val="00611E02"/>
    <w:rsid w:val="00620BFC"/>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6773"/>
    <w:rsid w:val="00667481"/>
    <w:rsid w:val="006703F5"/>
    <w:rsid w:val="0067198D"/>
    <w:rsid w:val="0068065A"/>
    <w:rsid w:val="00680AE8"/>
    <w:rsid w:val="00683802"/>
    <w:rsid w:val="0068679D"/>
    <w:rsid w:val="0069769C"/>
    <w:rsid w:val="00697F48"/>
    <w:rsid w:val="006A3829"/>
    <w:rsid w:val="006B6BFC"/>
    <w:rsid w:val="006B7F19"/>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241"/>
    <w:rsid w:val="00766DE5"/>
    <w:rsid w:val="00766F4D"/>
    <w:rsid w:val="0077019B"/>
    <w:rsid w:val="00773E81"/>
    <w:rsid w:val="00785B6F"/>
    <w:rsid w:val="00787601"/>
    <w:rsid w:val="00796920"/>
    <w:rsid w:val="00797BED"/>
    <w:rsid w:val="007A0CE5"/>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3091"/>
    <w:rsid w:val="00804480"/>
    <w:rsid w:val="00805AFA"/>
    <w:rsid w:val="0081015C"/>
    <w:rsid w:val="00814FBE"/>
    <w:rsid w:val="00821F74"/>
    <w:rsid w:val="00822375"/>
    <w:rsid w:val="00824A23"/>
    <w:rsid w:val="00836C05"/>
    <w:rsid w:val="008437C4"/>
    <w:rsid w:val="00843F67"/>
    <w:rsid w:val="00847145"/>
    <w:rsid w:val="008503E8"/>
    <w:rsid w:val="00863843"/>
    <w:rsid w:val="008771A8"/>
    <w:rsid w:val="008837CF"/>
    <w:rsid w:val="00896CFE"/>
    <w:rsid w:val="008977A1"/>
    <w:rsid w:val="008C3AAF"/>
    <w:rsid w:val="008C4032"/>
    <w:rsid w:val="008E5948"/>
    <w:rsid w:val="008E6931"/>
    <w:rsid w:val="0090354E"/>
    <w:rsid w:val="0090398E"/>
    <w:rsid w:val="00905D03"/>
    <w:rsid w:val="0090678D"/>
    <w:rsid w:val="00914031"/>
    <w:rsid w:val="00932175"/>
    <w:rsid w:val="00935B26"/>
    <w:rsid w:val="00937808"/>
    <w:rsid w:val="00940522"/>
    <w:rsid w:val="00940C81"/>
    <w:rsid w:val="00942B19"/>
    <w:rsid w:val="00942EE2"/>
    <w:rsid w:val="009466D6"/>
    <w:rsid w:val="00947C4D"/>
    <w:rsid w:val="00950C45"/>
    <w:rsid w:val="00954143"/>
    <w:rsid w:val="009600D3"/>
    <w:rsid w:val="00974952"/>
    <w:rsid w:val="00977D9F"/>
    <w:rsid w:val="00981916"/>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0F2E"/>
    <w:rsid w:val="00A7250C"/>
    <w:rsid w:val="00A73D60"/>
    <w:rsid w:val="00A83B23"/>
    <w:rsid w:val="00A876D8"/>
    <w:rsid w:val="00A912F7"/>
    <w:rsid w:val="00A94DAE"/>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2F83"/>
    <w:rsid w:val="00BF37D6"/>
    <w:rsid w:val="00BF44C1"/>
    <w:rsid w:val="00BF5C8A"/>
    <w:rsid w:val="00C0402A"/>
    <w:rsid w:val="00C0490F"/>
    <w:rsid w:val="00C079B3"/>
    <w:rsid w:val="00C24707"/>
    <w:rsid w:val="00C33CD7"/>
    <w:rsid w:val="00C34E1C"/>
    <w:rsid w:val="00C474DC"/>
    <w:rsid w:val="00C47857"/>
    <w:rsid w:val="00C5387A"/>
    <w:rsid w:val="00C55176"/>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B6234"/>
    <w:rsid w:val="00CC0365"/>
    <w:rsid w:val="00CC4296"/>
    <w:rsid w:val="00CE5D84"/>
    <w:rsid w:val="00CF256F"/>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1C3F"/>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1AF4"/>
    <w:rsid w:val="00E348BA"/>
    <w:rsid w:val="00E34A80"/>
    <w:rsid w:val="00E36D9F"/>
    <w:rsid w:val="00E471A8"/>
    <w:rsid w:val="00E63E0F"/>
    <w:rsid w:val="00E65C86"/>
    <w:rsid w:val="00E66CEF"/>
    <w:rsid w:val="00E73749"/>
    <w:rsid w:val="00E759E4"/>
    <w:rsid w:val="00E77B8A"/>
    <w:rsid w:val="00E829D6"/>
    <w:rsid w:val="00E83920"/>
    <w:rsid w:val="00E87276"/>
    <w:rsid w:val="00E9511F"/>
    <w:rsid w:val="00E966D1"/>
    <w:rsid w:val="00E96BA3"/>
    <w:rsid w:val="00EA2226"/>
    <w:rsid w:val="00EA33BE"/>
    <w:rsid w:val="00EB13F8"/>
    <w:rsid w:val="00EB28A5"/>
    <w:rsid w:val="00EB3741"/>
    <w:rsid w:val="00EB3F3D"/>
    <w:rsid w:val="00EB6DE0"/>
    <w:rsid w:val="00EC70D2"/>
    <w:rsid w:val="00ED10C8"/>
    <w:rsid w:val="00ED1B50"/>
    <w:rsid w:val="00ED445E"/>
    <w:rsid w:val="00ED687C"/>
    <w:rsid w:val="00ED6928"/>
    <w:rsid w:val="00EE3A7B"/>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lang w:val="en-US"/>
    </w:rPr>
  </w:style>
  <w:style w:type="character" w:customStyle="1" w:styleId="tgc">
    <w:name w:val="_tgc"/>
    <w:basedOn w:val="DefaultParagraphFont"/>
    <w:rsid w:val="00666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lang w:val="en-US"/>
    </w:rPr>
  </w:style>
  <w:style w:type="character" w:customStyle="1" w:styleId="tgc">
    <w:name w:val="_tgc"/>
    <w:basedOn w:val="DefaultParagraphFont"/>
    <w:rsid w:val="0066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4CAE-1C01-4C3E-A5E3-2266571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88</TotalTime>
  <Pages>5</Pages>
  <Words>1686</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16</cp:revision>
  <cp:lastPrinted>2017-09-15T11:29:00Z</cp:lastPrinted>
  <dcterms:created xsi:type="dcterms:W3CDTF">2017-09-12T10:11:00Z</dcterms:created>
  <dcterms:modified xsi:type="dcterms:W3CDTF">2017-09-21T20:44:00Z</dcterms:modified>
</cp:coreProperties>
</file>