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850941" w:rsidRPr="00AD7B1C" w14:paraId="33F88FF3" w14:textId="77777777" w:rsidTr="003A6DA4">
        <w:trPr>
          <w:cantSplit/>
          <w:trHeight w:val="1077"/>
        </w:trPr>
        <w:tc>
          <w:tcPr>
            <w:tcW w:w="6067" w:type="dxa"/>
            <w:vAlign w:val="center"/>
          </w:tcPr>
          <w:p w14:paraId="5EDE2631" w14:textId="77777777" w:rsidR="00850941" w:rsidRPr="00AD7B1C" w:rsidRDefault="00850941" w:rsidP="003A6DA4">
            <w:pPr>
              <w:pStyle w:val="AdresseAdres"/>
              <w:spacing w:before="300"/>
              <w:rPr>
                <w:lang w:val="fr-BE"/>
              </w:rPr>
            </w:pPr>
            <w:r w:rsidRPr="00AD7B1C">
              <w:rPr>
                <w:lang w:val="fr-BE"/>
              </w:rPr>
              <w:t>boulevard de Berlaimont 14 – BE-1000 Bruxelles</w:t>
            </w:r>
          </w:p>
          <w:p w14:paraId="0B6BFC59" w14:textId="77777777" w:rsidR="00850941" w:rsidRPr="00AD7B1C" w:rsidRDefault="00850941" w:rsidP="003A6DA4">
            <w:pPr>
              <w:pStyle w:val="AdresseAdres"/>
              <w:rPr>
                <w:lang w:val="fr-BE"/>
              </w:rPr>
            </w:pPr>
            <w:r w:rsidRPr="00AD7B1C">
              <w:rPr>
                <w:lang w:val="fr-BE"/>
              </w:rPr>
              <w:t xml:space="preserve">tél. +32 2 221 </w:t>
            </w:r>
            <w:r w:rsidR="004D368F">
              <w:rPr>
                <w:lang w:val="fr-BE"/>
              </w:rPr>
              <w:t>38 12</w:t>
            </w:r>
            <w:r w:rsidRPr="00AD7B1C">
              <w:rPr>
                <w:lang w:val="fr-BE"/>
              </w:rPr>
              <w:t xml:space="preserve"> – fax + 32 2 221 </w:t>
            </w:r>
            <w:r w:rsidR="004D368F">
              <w:rPr>
                <w:lang w:val="fr-BE"/>
              </w:rPr>
              <w:t>31 04</w:t>
            </w:r>
          </w:p>
          <w:p w14:paraId="48BC8DF1" w14:textId="77777777" w:rsidR="00850941" w:rsidRPr="00AD7B1C" w:rsidRDefault="00850941" w:rsidP="003A6DA4">
            <w:pPr>
              <w:pStyle w:val="AdresseAdres"/>
              <w:rPr>
                <w:lang w:val="fr-BE"/>
              </w:rPr>
            </w:pPr>
            <w:r w:rsidRPr="00AD7B1C">
              <w:rPr>
                <w:lang w:val="fr-BE"/>
              </w:rPr>
              <w:t>numéro d’entreprise: 0203.201.340</w:t>
            </w:r>
          </w:p>
          <w:p w14:paraId="049E2574" w14:textId="77777777" w:rsidR="00850941" w:rsidRPr="00AD7B1C" w:rsidRDefault="00850941" w:rsidP="003A6DA4">
            <w:pPr>
              <w:pStyle w:val="AdresseAdres"/>
              <w:rPr>
                <w:lang w:val="fr-BE"/>
              </w:rPr>
            </w:pPr>
            <w:r w:rsidRPr="00AD7B1C">
              <w:rPr>
                <w:lang w:val="fr-BE"/>
              </w:rPr>
              <w:t>RPM Bruxelles</w:t>
            </w:r>
          </w:p>
          <w:p w14:paraId="420F90E2" w14:textId="77777777" w:rsidR="00850941" w:rsidRPr="00AD7B1C" w:rsidRDefault="00850941" w:rsidP="00850941">
            <w:pPr>
              <w:pStyle w:val="AdresseAdres"/>
              <w:rPr>
                <w:lang w:val="fr-BE"/>
              </w:rPr>
            </w:pPr>
            <w:r w:rsidRPr="00AD7B1C">
              <w:rPr>
                <w:lang w:val="fr-BE"/>
              </w:rPr>
              <w:t>www.bnb.be</w:t>
            </w:r>
          </w:p>
        </w:tc>
        <w:tc>
          <w:tcPr>
            <w:tcW w:w="3856" w:type="dxa"/>
            <w:gridSpan w:val="2"/>
            <w:shd w:val="clear" w:color="auto" w:fill="auto"/>
            <w:vAlign w:val="center"/>
          </w:tcPr>
          <w:p w14:paraId="6A35FB5A" w14:textId="77777777" w:rsidR="00850941" w:rsidRPr="00AD7B1C" w:rsidRDefault="00850941" w:rsidP="003A6DA4">
            <w:pPr>
              <w:spacing w:line="260" w:lineRule="atLeast"/>
              <w:rPr>
                <w:sz w:val="16"/>
                <w:szCs w:val="16"/>
                <w:lang w:val="fr-BE"/>
              </w:rPr>
            </w:pPr>
            <w:r w:rsidRPr="00AD7B1C">
              <w:rPr>
                <w:noProof/>
                <w:sz w:val="16"/>
                <w:szCs w:val="16"/>
                <w:lang w:val="fr-BE" w:eastAsia="fr-BE"/>
              </w:rPr>
              <w:drawing>
                <wp:inline distT="0" distB="0" distL="0" distR="0" wp14:anchorId="08D5F4CF" wp14:editId="131D68D1">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850941" w:rsidRPr="00AD7B1C" w14:paraId="48B56B76" w14:textId="77777777" w:rsidTr="003A6DA4">
        <w:trPr>
          <w:cantSplit/>
          <w:trHeight w:hRule="exact" w:val="850"/>
        </w:trPr>
        <w:tc>
          <w:tcPr>
            <w:tcW w:w="6067" w:type="dxa"/>
            <w:shd w:val="clear" w:color="auto" w:fill="auto"/>
          </w:tcPr>
          <w:p w14:paraId="61B73877" w14:textId="77777777" w:rsidR="00850941" w:rsidRPr="00AD7B1C" w:rsidRDefault="00850941" w:rsidP="003A6DA4">
            <w:pPr>
              <w:pStyle w:val="AdresseAdres"/>
              <w:tabs>
                <w:tab w:val="center" w:pos="4678"/>
                <w:tab w:val="right" w:pos="9356"/>
              </w:tabs>
              <w:spacing w:line="260" w:lineRule="atLeast"/>
              <w:rPr>
                <w:sz w:val="16"/>
                <w:lang w:val="fr-BE"/>
              </w:rPr>
            </w:pPr>
          </w:p>
        </w:tc>
        <w:tc>
          <w:tcPr>
            <w:tcW w:w="3856" w:type="dxa"/>
            <w:gridSpan w:val="2"/>
            <w:shd w:val="clear" w:color="auto" w:fill="auto"/>
            <w:vAlign w:val="bottom"/>
          </w:tcPr>
          <w:p w14:paraId="4CFE093E" w14:textId="77777777" w:rsidR="00850941" w:rsidRPr="00AD7B1C" w:rsidRDefault="00850941" w:rsidP="003A6DA4">
            <w:pPr>
              <w:pStyle w:val="TitreTitel"/>
              <w:keepLines/>
              <w:tabs>
                <w:tab w:val="left" w:pos="284"/>
                <w:tab w:val="right" w:leader="dot" w:pos="9639"/>
              </w:tabs>
              <w:spacing w:after="170"/>
              <w:ind w:left="397" w:right="567" w:hanging="397"/>
              <w:rPr>
                <w:lang w:val="fr-BE"/>
              </w:rPr>
            </w:pPr>
            <w:r w:rsidRPr="00AD7B1C">
              <w:rPr>
                <w:lang w:val="fr-BE"/>
              </w:rPr>
              <w:t>Communication</w:t>
            </w:r>
          </w:p>
        </w:tc>
      </w:tr>
      <w:tr w:rsidR="00850941" w:rsidRPr="00AD7B1C" w14:paraId="0C08B82C" w14:textId="77777777" w:rsidTr="003A6DA4">
        <w:trPr>
          <w:cantSplit/>
          <w:trHeight w:hRule="exact" w:val="794"/>
        </w:trPr>
        <w:tc>
          <w:tcPr>
            <w:tcW w:w="6067" w:type="dxa"/>
            <w:vMerge w:val="restart"/>
            <w:shd w:val="clear" w:color="auto" w:fill="auto"/>
          </w:tcPr>
          <w:p w14:paraId="72E862D5" w14:textId="77777777" w:rsidR="00850941" w:rsidRPr="00AD7B1C" w:rsidRDefault="00850941" w:rsidP="003A6DA4">
            <w:pPr>
              <w:pStyle w:val="AdresseAdres"/>
              <w:rPr>
                <w:lang w:val="fr-BE"/>
              </w:rPr>
            </w:pPr>
          </w:p>
        </w:tc>
        <w:tc>
          <w:tcPr>
            <w:tcW w:w="3856" w:type="dxa"/>
            <w:gridSpan w:val="2"/>
          </w:tcPr>
          <w:p w14:paraId="582484D5" w14:textId="77777777" w:rsidR="00850941" w:rsidRPr="00AD7B1C" w:rsidRDefault="00850941" w:rsidP="004D368F">
            <w:pPr>
              <w:spacing w:line="200" w:lineRule="atLeast"/>
              <w:rPr>
                <w:lang w:val="fr-BE"/>
              </w:rPr>
            </w:pPr>
            <w:r w:rsidRPr="00AD7B1C">
              <w:rPr>
                <w:lang w:val="fr-BE"/>
              </w:rPr>
              <w:t xml:space="preserve">Bruxelles, le </w:t>
            </w:r>
            <w:r w:rsidR="004D368F">
              <w:rPr>
                <w:lang w:val="fr-BE"/>
              </w:rPr>
              <w:t xml:space="preserve">14 septembre </w:t>
            </w:r>
            <w:r w:rsidRPr="00AD7B1C">
              <w:rPr>
                <w:lang w:val="fr-BE"/>
              </w:rPr>
              <w:t>2017</w:t>
            </w:r>
          </w:p>
        </w:tc>
      </w:tr>
      <w:tr w:rsidR="00850941" w:rsidRPr="00AD7B1C" w14:paraId="1C2D4667" w14:textId="77777777" w:rsidTr="003A6DA4">
        <w:trPr>
          <w:cantSplit/>
          <w:trHeight w:hRule="exact" w:val="198"/>
        </w:trPr>
        <w:tc>
          <w:tcPr>
            <w:tcW w:w="6067" w:type="dxa"/>
            <w:vMerge/>
          </w:tcPr>
          <w:p w14:paraId="458E2CD3" w14:textId="77777777" w:rsidR="00850941" w:rsidRPr="00AD7B1C" w:rsidRDefault="00850941" w:rsidP="003A6DA4">
            <w:pPr>
              <w:spacing w:line="260" w:lineRule="atLeast"/>
              <w:rPr>
                <w:lang w:val="fr-BE"/>
              </w:rPr>
            </w:pPr>
          </w:p>
        </w:tc>
        <w:tc>
          <w:tcPr>
            <w:tcW w:w="1644" w:type="dxa"/>
            <w:vAlign w:val="center"/>
          </w:tcPr>
          <w:p w14:paraId="7A5A875F" w14:textId="77777777" w:rsidR="00850941" w:rsidRPr="00AD7B1C" w:rsidRDefault="00850941" w:rsidP="003A6DA4">
            <w:pPr>
              <w:pStyle w:val="BoiteVakje"/>
            </w:pPr>
          </w:p>
        </w:tc>
        <w:tc>
          <w:tcPr>
            <w:tcW w:w="2212" w:type="dxa"/>
            <w:vAlign w:val="center"/>
          </w:tcPr>
          <w:p w14:paraId="7E0836DA" w14:textId="77777777" w:rsidR="00850941" w:rsidRPr="00AD7B1C" w:rsidRDefault="00850941" w:rsidP="003A6DA4">
            <w:pPr>
              <w:pStyle w:val="BoiteVakje"/>
              <w:rPr>
                <w:sz w:val="16"/>
                <w:szCs w:val="16"/>
              </w:rPr>
            </w:pPr>
          </w:p>
        </w:tc>
      </w:tr>
      <w:tr w:rsidR="00850941" w:rsidRPr="00AD7B1C" w14:paraId="43BFEE6A" w14:textId="77777777" w:rsidTr="003A6DA4">
        <w:trPr>
          <w:cantSplit/>
          <w:trHeight w:hRule="exact" w:val="198"/>
        </w:trPr>
        <w:tc>
          <w:tcPr>
            <w:tcW w:w="6067" w:type="dxa"/>
            <w:vMerge/>
          </w:tcPr>
          <w:p w14:paraId="0FF2A4FA" w14:textId="77777777" w:rsidR="00850941" w:rsidRPr="00AD7B1C" w:rsidRDefault="00850941" w:rsidP="003A6DA4">
            <w:pPr>
              <w:tabs>
                <w:tab w:val="left" w:pos="1276"/>
                <w:tab w:val="left" w:pos="2268"/>
              </w:tabs>
              <w:spacing w:line="260" w:lineRule="atLeast"/>
              <w:rPr>
                <w:lang w:val="fr-BE"/>
              </w:rPr>
            </w:pPr>
          </w:p>
        </w:tc>
        <w:tc>
          <w:tcPr>
            <w:tcW w:w="1644" w:type="dxa"/>
            <w:vAlign w:val="center"/>
          </w:tcPr>
          <w:p w14:paraId="6AAFD034" w14:textId="77777777" w:rsidR="00850941" w:rsidRPr="00AD7B1C" w:rsidRDefault="00850941" w:rsidP="003A6DA4">
            <w:pPr>
              <w:pStyle w:val="BoiteVakje"/>
            </w:pPr>
            <w:proofErr w:type="gramStart"/>
            <w:r w:rsidRPr="00AD7B1C">
              <w:t>Référence:</w:t>
            </w:r>
            <w:proofErr w:type="gramEnd"/>
            <w:r w:rsidRPr="00AD7B1C">
              <w:t xml:space="preserve"> </w:t>
            </w:r>
            <w:r w:rsidRPr="00AD7B1C">
              <w:rPr>
                <w:vanish/>
                <w:color w:val="FF0000"/>
              </w:rPr>
              <w:t>---------------&gt;</w:t>
            </w:r>
          </w:p>
        </w:tc>
        <w:tc>
          <w:tcPr>
            <w:tcW w:w="2212" w:type="dxa"/>
            <w:vAlign w:val="center"/>
          </w:tcPr>
          <w:p w14:paraId="75D33C5F" w14:textId="77777777" w:rsidR="00850941" w:rsidRPr="00AD7B1C" w:rsidRDefault="00850941" w:rsidP="007A24BA">
            <w:pPr>
              <w:pStyle w:val="BoitetexteVakjetekst"/>
            </w:pPr>
            <w:r w:rsidRPr="00AD7B1C">
              <w:t>NBB_2017</w:t>
            </w:r>
            <w:r w:rsidR="0060681F">
              <w:t>_</w:t>
            </w:r>
            <w:r w:rsidR="004D368F">
              <w:t>2</w:t>
            </w:r>
            <w:r w:rsidR="007A24BA">
              <w:t>2</w:t>
            </w:r>
          </w:p>
        </w:tc>
      </w:tr>
      <w:tr w:rsidR="00850941" w:rsidRPr="00AD7B1C" w14:paraId="6CEF6800" w14:textId="77777777" w:rsidTr="003A6DA4">
        <w:trPr>
          <w:cantSplit/>
          <w:trHeight w:hRule="exact" w:val="198"/>
        </w:trPr>
        <w:tc>
          <w:tcPr>
            <w:tcW w:w="6067" w:type="dxa"/>
            <w:vMerge/>
          </w:tcPr>
          <w:p w14:paraId="352A338C" w14:textId="77777777" w:rsidR="00850941" w:rsidRPr="00AD7B1C" w:rsidRDefault="00850941" w:rsidP="003A6DA4">
            <w:pPr>
              <w:spacing w:line="260" w:lineRule="atLeast"/>
              <w:rPr>
                <w:lang w:val="fr-BE"/>
              </w:rPr>
            </w:pPr>
          </w:p>
        </w:tc>
        <w:tc>
          <w:tcPr>
            <w:tcW w:w="3856" w:type="dxa"/>
            <w:gridSpan w:val="2"/>
          </w:tcPr>
          <w:p w14:paraId="2F084FF0" w14:textId="77777777" w:rsidR="00850941" w:rsidRPr="00AD7B1C" w:rsidRDefault="00850941" w:rsidP="003A6DA4">
            <w:pPr>
              <w:pStyle w:val="BoiteVakje"/>
              <w:rPr>
                <w:sz w:val="16"/>
                <w:szCs w:val="16"/>
              </w:rPr>
            </w:pPr>
          </w:p>
        </w:tc>
      </w:tr>
      <w:tr w:rsidR="00850941" w:rsidRPr="00AD7B1C" w14:paraId="6A481BE6" w14:textId="77777777" w:rsidTr="003A6DA4">
        <w:trPr>
          <w:cantSplit/>
          <w:trHeight w:hRule="exact" w:val="198"/>
        </w:trPr>
        <w:tc>
          <w:tcPr>
            <w:tcW w:w="6067" w:type="dxa"/>
            <w:vMerge w:val="restart"/>
          </w:tcPr>
          <w:p w14:paraId="3775C295" w14:textId="77777777" w:rsidR="00850941" w:rsidRPr="00AD7B1C" w:rsidRDefault="00850941" w:rsidP="003A6DA4">
            <w:pPr>
              <w:pStyle w:val="AdresseAdres"/>
              <w:rPr>
                <w:lang w:val="fr-BE"/>
              </w:rPr>
            </w:pPr>
          </w:p>
        </w:tc>
        <w:tc>
          <w:tcPr>
            <w:tcW w:w="3856" w:type="dxa"/>
            <w:gridSpan w:val="2"/>
            <w:vAlign w:val="center"/>
          </w:tcPr>
          <w:p w14:paraId="3BB6AE43" w14:textId="77777777" w:rsidR="00850941" w:rsidRPr="00AD7B1C" w:rsidRDefault="00850941" w:rsidP="003A6DA4">
            <w:pPr>
              <w:pStyle w:val="BoiteVakje"/>
            </w:pPr>
            <w:proofErr w:type="gramStart"/>
            <w:r w:rsidRPr="00AD7B1C">
              <w:t>votre</w:t>
            </w:r>
            <w:proofErr w:type="gramEnd"/>
            <w:r w:rsidRPr="00AD7B1C">
              <w:t xml:space="preserve"> correspondant: </w:t>
            </w:r>
            <w:r w:rsidRPr="00AD7B1C">
              <w:rPr>
                <w:rFonts w:cs="Arial"/>
                <w:vanish/>
                <w:color w:val="FF0000"/>
              </w:rPr>
              <w:t>mettez le nom ci-dessous</w:t>
            </w:r>
          </w:p>
        </w:tc>
      </w:tr>
      <w:tr w:rsidR="00850941" w:rsidRPr="00AD7B1C" w14:paraId="45CEE32A" w14:textId="77777777" w:rsidTr="003A6DA4">
        <w:trPr>
          <w:cantSplit/>
          <w:trHeight w:hRule="exact" w:val="57"/>
        </w:trPr>
        <w:tc>
          <w:tcPr>
            <w:tcW w:w="6067" w:type="dxa"/>
            <w:vMerge/>
          </w:tcPr>
          <w:p w14:paraId="6B634568" w14:textId="77777777" w:rsidR="00850941" w:rsidRPr="00AD7B1C" w:rsidRDefault="00850941" w:rsidP="003A6DA4">
            <w:pPr>
              <w:spacing w:line="260" w:lineRule="atLeast"/>
              <w:rPr>
                <w:lang w:val="fr-BE"/>
              </w:rPr>
            </w:pPr>
          </w:p>
        </w:tc>
        <w:tc>
          <w:tcPr>
            <w:tcW w:w="3856" w:type="dxa"/>
            <w:gridSpan w:val="2"/>
            <w:vAlign w:val="center"/>
          </w:tcPr>
          <w:p w14:paraId="5A6A947A" w14:textId="77777777" w:rsidR="00850941" w:rsidRPr="00AD7B1C" w:rsidRDefault="00850941" w:rsidP="003A6DA4">
            <w:pPr>
              <w:pStyle w:val="BoiteVakje"/>
            </w:pPr>
          </w:p>
        </w:tc>
      </w:tr>
      <w:tr w:rsidR="00850941" w:rsidRPr="00AD7B1C" w14:paraId="72E63A4A" w14:textId="77777777" w:rsidTr="003A6DA4">
        <w:trPr>
          <w:cantSplit/>
          <w:trHeight w:val="198"/>
        </w:trPr>
        <w:tc>
          <w:tcPr>
            <w:tcW w:w="6067" w:type="dxa"/>
            <w:vMerge/>
          </w:tcPr>
          <w:p w14:paraId="2CED89BE" w14:textId="77777777" w:rsidR="00850941" w:rsidRPr="00AD7B1C" w:rsidRDefault="00850941" w:rsidP="003A6DA4">
            <w:pPr>
              <w:spacing w:line="260" w:lineRule="atLeast"/>
              <w:rPr>
                <w:lang w:val="fr-BE"/>
              </w:rPr>
            </w:pPr>
          </w:p>
        </w:tc>
        <w:tc>
          <w:tcPr>
            <w:tcW w:w="3856" w:type="dxa"/>
            <w:gridSpan w:val="2"/>
            <w:vAlign w:val="center"/>
          </w:tcPr>
          <w:p w14:paraId="2FC9FC71" w14:textId="77777777" w:rsidR="00850941" w:rsidRPr="00AD7B1C" w:rsidRDefault="009A7603" w:rsidP="003A6DA4">
            <w:pPr>
              <w:pStyle w:val="BoiteVakje"/>
            </w:pPr>
            <w:r>
              <w:t>Nicolas Strypstein</w:t>
            </w:r>
          </w:p>
        </w:tc>
      </w:tr>
      <w:tr w:rsidR="00850941" w:rsidRPr="00AD7B1C" w14:paraId="1C1AABF2" w14:textId="77777777" w:rsidTr="003A6DA4">
        <w:trPr>
          <w:cantSplit/>
          <w:trHeight w:val="198"/>
        </w:trPr>
        <w:tc>
          <w:tcPr>
            <w:tcW w:w="6067" w:type="dxa"/>
            <w:vMerge/>
          </w:tcPr>
          <w:p w14:paraId="05570E6A" w14:textId="77777777" w:rsidR="00850941" w:rsidRPr="00AD7B1C" w:rsidRDefault="00850941" w:rsidP="003A6DA4">
            <w:pPr>
              <w:spacing w:line="260" w:lineRule="atLeast"/>
              <w:rPr>
                <w:lang w:val="fr-BE"/>
              </w:rPr>
            </w:pPr>
          </w:p>
        </w:tc>
        <w:tc>
          <w:tcPr>
            <w:tcW w:w="3856" w:type="dxa"/>
            <w:gridSpan w:val="2"/>
            <w:vAlign w:val="center"/>
          </w:tcPr>
          <w:p w14:paraId="77D0B0C7" w14:textId="77777777" w:rsidR="00850941" w:rsidRPr="00AD7B1C" w:rsidRDefault="00850941" w:rsidP="00F008E9">
            <w:pPr>
              <w:pStyle w:val="BoiteVakje"/>
            </w:pPr>
            <w:r w:rsidRPr="00AD7B1C">
              <w:t xml:space="preserve">tél. +32 2 221 </w:t>
            </w:r>
            <w:r w:rsidR="009A7603">
              <w:t>44 74</w:t>
            </w:r>
            <w:r w:rsidRPr="00AD7B1C">
              <w:t xml:space="preserve"> – fax +32 2 221 </w:t>
            </w:r>
            <w:r w:rsidR="009A7603">
              <w:t>38 12</w:t>
            </w:r>
          </w:p>
        </w:tc>
      </w:tr>
      <w:tr w:rsidR="00850941" w:rsidRPr="00AD7B1C" w14:paraId="0925C6D5" w14:textId="77777777" w:rsidTr="003A6DA4">
        <w:trPr>
          <w:cantSplit/>
          <w:trHeight w:val="198"/>
        </w:trPr>
        <w:tc>
          <w:tcPr>
            <w:tcW w:w="6067" w:type="dxa"/>
            <w:vMerge/>
          </w:tcPr>
          <w:p w14:paraId="46431AE3" w14:textId="77777777" w:rsidR="00850941" w:rsidRPr="00AD7B1C" w:rsidRDefault="00850941" w:rsidP="003A6DA4">
            <w:pPr>
              <w:pStyle w:val="SujetOnderwerp"/>
              <w:rPr>
                <w:b w:val="0"/>
                <w:sz w:val="16"/>
                <w:lang w:val="fr-BE"/>
              </w:rPr>
            </w:pPr>
          </w:p>
        </w:tc>
        <w:tc>
          <w:tcPr>
            <w:tcW w:w="3856" w:type="dxa"/>
            <w:gridSpan w:val="2"/>
            <w:vAlign w:val="center"/>
          </w:tcPr>
          <w:p w14:paraId="176B443E" w14:textId="77777777" w:rsidR="00850941" w:rsidRPr="00AD7B1C" w:rsidRDefault="009A7603" w:rsidP="003A6DA4">
            <w:pPr>
              <w:pStyle w:val="BoiteVakje"/>
              <w:rPr>
                <w:b/>
              </w:rPr>
            </w:pPr>
            <w:r>
              <w:t>nicolas.strypstein</w:t>
            </w:r>
            <w:r w:rsidR="00850941" w:rsidRPr="00AD7B1C">
              <w:t>@nbb.be</w:t>
            </w:r>
          </w:p>
        </w:tc>
      </w:tr>
      <w:tr w:rsidR="00850941" w:rsidRPr="00AD7B1C" w14:paraId="674E4C7A" w14:textId="77777777" w:rsidTr="003A6DA4">
        <w:trPr>
          <w:cantSplit/>
          <w:trHeight w:hRule="exact" w:val="1191"/>
        </w:trPr>
        <w:tc>
          <w:tcPr>
            <w:tcW w:w="9923" w:type="dxa"/>
            <w:gridSpan w:val="3"/>
            <w:tcMar>
              <w:top w:w="113" w:type="dxa"/>
            </w:tcMar>
            <w:vAlign w:val="bottom"/>
          </w:tcPr>
          <w:p w14:paraId="094997B9" w14:textId="27646948" w:rsidR="00850941" w:rsidRPr="00AD7B1C" w:rsidRDefault="00850941" w:rsidP="00BE3219">
            <w:pPr>
              <w:pStyle w:val="SujetOnderwerp"/>
              <w:jc w:val="both"/>
              <w:rPr>
                <w:lang w:val="fr-BE"/>
              </w:rPr>
            </w:pPr>
            <w:r w:rsidRPr="00AD7B1C">
              <w:rPr>
                <w:lang w:val="fr-BE"/>
              </w:rPr>
              <w:t>Communication aux personnes ayant l'intention d'acquérir, d'accroître, de réduire ou de céder une participation qualifiée dans le capital d'organismes financiers</w:t>
            </w:r>
            <w:r w:rsidR="00A9513C">
              <w:rPr>
                <w:lang w:val="fr-BE"/>
              </w:rPr>
              <w:t xml:space="preserve"> ainsi qu’aux personnes </w:t>
            </w:r>
            <w:r w:rsidR="00760B7B">
              <w:rPr>
                <w:lang w:val="fr-BE"/>
              </w:rPr>
              <w:t>détenant</w:t>
            </w:r>
            <w:r w:rsidR="00A9513C">
              <w:rPr>
                <w:lang w:val="fr-BE"/>
              </w:rPr>
              <w:t xml:space="preserve"> une participation qualifiée</w:t>
            </w:r>
            <w:r w:rsidR="00156AD0">
              <w:rPr>
                <w:rStyle w:val="FootnoteReference"/>
                <w:lang w:val="fr-BE"/>
              </w:rPr>
              <w:footnoteReference w:id="2"/>
            </w:r>
            <w:r w:rsidR="00A9513C">
              <w:rPr>
                <w:lang w:val="fr-BE"/>
              </w:rPr>
              <w:t xml:space="preserve"> </w:t>
            </w:r>
          </w:p>
        </w:tc>
      </w:tr>
      <w:tr w:rsidR="00850941" w:rsidRPr="00AD7B1C" w14:paraId="35628148" w14:textId="77777777" w:rsidTr="00850941">
        <w:trPr>
          <w:cantSplit/>
          <w:trHeight w:hRule="exact" w:val="397"/>
        </w:trPr>
        <w:tc>
          <w:tcPr>
            <w:tcW w:w="9923" w:type="dxa"/>
            <w:gridSpan w:val="3"/>
            <w:vAlign w:val="center"/>
          </w:tcPr>
          <w:p w14:paraId="41D8CDF8" w14:textId="77777777" w:rsidR="00850941" w:rsidRPr="00AD7B1C" w:rsidRDefault="00850941" w:rsidP="00BE3219">
            <w:pPr>
              <w:spacing w:line="260" w:lineRule="atLeast"/>
              <w:jc w:val="both"/>
              <w:rPr>
                <w:lang w:val="fr-BE"/>
              </w:rPr>
            </w:pPr>
          </w:p>
        </w:tc>
      </w:tr>
    </w:tbl>
    <w:p w14:paraId="1F0666FF" w14:textId="77777777" w:rsidR="00850941" w:rsidRPr="00AD7B1C" w:rsidRDefault="00850941" w:rsidP="00BE3219">
      <w:pPr>
        <w:tabs>
          <w:tab w:val="left" w:pos="3402"/>
        </w:tabs>
        <w:jc w:val="both"/>
        <w:rPr>
          <w:lang w:val="fr-BE"/>
        </w:rPr>
      </w:pPr>
    </w:p>
    <w:p w14:paraId="53AA152F" w14:textId="77777777" w:rsidR="00850941" w:rsidRPr="004D368F" w:rsidRDefault="00850941" w:rsidP="00BE3219">
      <w:pPr>
        <w:pStyle w:val="Sous-titreOndertitel"/>
        <w:jc w:val="both"/>
        <w:rPr>
          <w:lang w:val="fr-BE"/>
        </w:rPr>
      </w:pPr>
      <w:r w:rsidRPr="004D368F">
        <w:rPr>
          <w:lang w:val="fr-BE"/>
        </w:rPr>
        <w:t xml:space="preserve">Champ </w:t>
      </w:r>
      <w:proofErr w:type="gramStart"/>
      <w:r w:rsidRPr="004D368F">
        <w:rPr>
          <w:lang w:val="fr-BE"/>
        </w:rPr>
        <w:t>d’application</w:t>
      </w:r>
      <w:r w:rsidR="00A024E2" w:rsidRPr="004D368F">
        <w:rPr>
          <w:lang w:val="fr-BE"/>
        </w:rPr>
        <w:t>:</w:t>
      </w:r>
      <w:proofErr w:type="gramEnd"/>
    </w:p>
    <w:p w14:paraId="3EFB9007" w14:textId="77777777" w:rsidR="00A024E2" w:rsidRPr="004D368F" w:rsidRDefault="00A024E2" w:rsidP="004D368F">
      <w:pPr>
        <w:pStyle w:val="Sous-titreOndertitel"/>
        <w:spacing w:before="120"/>
        <w:jc w:val="both"/>
        <w:rPr>
          <w:rFonts w:cs="Arial"/>
          <w:i/>
          <w:iCs/>
          <w:u w:val="none"/>
          <w:lang w:val="fr-BE" w:eastAsia="nl-BE"/>
        </w:rPr>
      </w:pPr>
      <w:r w:rsidRPr="004D368F">
        <w:rPr>
          <w:rFonts w:cs="Arial"/>
          <w:i/>
          <w:iCs/>
          <w:u w:val="none"/>
          <w:lang w:val="fr-BE" w:eastAsia="nl-BE"/>
        </w:rPr>
        <w:t>Toutes personnes physiques ou morales ayant l’inte</w:t>
      </w:r>
      <w:r w:rsidR="002D65F3" w:rsidRPr="004D368F">
        <w:rPr>
          <w:rFonts w:cs="Arial"/>
          <w:i/>
          <w:iCs/>
          <w:u w:val="none"/>
          <w:lang w:val="fr-BE" w:eastAsia="nl-BE"/>
        </w:rPr>
        <w:t>n</w:t>
      </w:r>
      <w:r w:rsidRPr="004D368F">
        <w:rPr>
          <w:rFonts w:cs="Arial"/>
          <w:i/>
          <w:iCs/>
          <w:u w:val="none"/>
          <w:lang w:val="fr-BE" w:eastAsia="nl-BE"/>
        </w:rPr>
        <w:t xml:space="preserve">tion de procéder à des acquisitions, accroissements, </w:t>
      </w:r>
      <w:r w:rsidR="00AD7B1C" w:rsidRPr="004D368F">
        <w:rPr>
          <w:rFonts w:cs="Arial"/>
          <w:i/>
          <w:iCs/>
          <w:u w:val="none"/>
          <w:lang w:val="fr-BE" w:eastAsia="nl-BE"/>
        </w:rPr>
        <w:t>réductions</w:t>
      </w:r>
      <w:r w:rsidRPr="004D368F">
        <w:rPr>
          <w:rFonts w:cs="Arial"/>
          <w:i/>
          <w:iCs/>
          <w:u w:val="none"/>
          <w:lang w:val="fr-BE" w:eastAsia="nl-BE"/>
        </w:rPr>
        <w:t xml:space="preserve"> et cessions de participations qualifi</w:t>
      </w:r>
      <w:r w:rsidR="002D65F3" w:rsidRPr="004D368F">
        <w:rPr>
          <w:rFonts w:cs="Arial"/>
          <w:i/>
          <w:iCs/>
          <w:u w:val="none"/>
          <w:lang w:val="fr-BE" w:eastAsia="nl-BE"/>
        </w:rPr>
        <w:t>é</w:t>
      </w:r>
      <w:r w:rsidRPr="004D368F">
        <w:rPr>
          <w:rFonts w:cs="Arial"/>
          <w:i/>
          <w:iCs/>
          <w:u w:val="none"/>
          <w:lang w:val="fr-BE" w:eastAsia="nl-BE"/>
        </w:rPr>
        <w:t>es dans</w:t>
      </w:r>
      <w:r w:rsidR="002D65F3" w:rsidRPr="004D368F">
        <w:rPr>
          <w:rFonts w:cs="Arial"/>
          <w:i/>
          <w:iCs/>
          <w:u w:val="none"/>
          <w:lang w:val="fr-BE" w:eastAsia="nl-BE"/>
        </w:rPr>
        <w:t xml:space="preserve"> les établissements suivants (établissements qui sont collectivement dénommés ci-après « organismes financiers</w:t>
      </w:r>
      <w:r w:rsidR="00AD7B1C" w:rsidRPr="004D368F">
        <w:rPr>
          <w:rFonts w:cs="Arial"/>
          <w:i/>
          <w:iCs/>
          <w:u w:val="none"/>
          <w:lang w:val="fr-BE" w:eastAsia="nl-BE"/>
        </w:rPr>
        <w:t> »)</w:t>
      </w:r>
      <w:r w:rsidR="004D368F">
        <w:rPr>
          <w:rFonts w:cs="Arial"/>
          <w:i/>
          <w:iCs/>
          <w:u w:val="none"/>
          <w:lang w:val="fr-BE" w:eastAsia="nl-BE"/>
        </w:rPr>
        <w:t> </w:t>
      </w:r>
      <w:r w:rsidRPr="004D368F">
        <w:rPr>
          <w:rFonts w:cs="Arial"/>
          <w:i/>
          <w:iCs/>
          <w:u w:val="none"/>
          <w:lang w:val="fr-BE" w:eastAsia="nl-BE"/>
        </w:rPr>
        <w:t>:</w:t>
      </w:r>
    </w:p>
    <w:p w14:paraId="53D14238" w14:textId="77777777" w:rsidR="00243AE4" w:rsidRPr="004D368F" w:rsidRDefault="00243AE4"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les</w:t>
      </w:r>
      <w:proofErr w:type="gramEnd"/>
      <w:r w:rsidRPr="004D368F">
        <w:rPr>
          <w:rFonts w:ascii="Arial" w:hAnsi="Arial" w:cs="Arial"/>
          <w:i/>
          <w:iCs/>
          <w:color w:val="auto"/>
          <w:sz w:val="22"/>
          <w:szCs w:val="22"/>
          <w:lang w:val="fr-BE"/>
        </w:rPr>
        <w:t xml:space="preserve"> établissements de crédit</w:t>
      </w:r>
      <w:r w:rsidR="009B3005" w:rsidRPr="004D368F">
        <w:rPr>
          <w:rFonts w:ascii="Arial" w:hAnsi="Arial" w:cs="Arial"/>
          <w:i/>
          <w:iCs/>
          <w:color w:val="auto"/>
          <w:sz w:val="22"/>
          <w:szCs w:val="22"/>
          <w:lang w:val="fr-BE"/>
        </w:rPr>
        <w:t xml:space="preserve"> de droit belge</w:t>
      </w:r>
    </w:p>
    <w:p w14:paraId="1DE64AD8" w14:textId="77777777" w:rsidR="002518B6" w:rsidRPr="004D368F" w:rsidRDefault="00AD7B1C"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w:t>
      </w:r>
      <w:r w:rsidR="00A024E2" w:rsidRPr="004D368F">
        <w:rPr>
          <w:rFonts w:ascii="Arial" w:hAnsi="Arial" w:cs="Arial"/>
          <w:i/>
          <w:iCs/>
          <w:color w:val="auto"/>
          <w:sz w:val="22"/>
          <w:szCs w:val="22"/>
          <w:lang w:val="fr-BE"/>
        </w:rPr>
        <w:t>es</w:t>
      </w:r>
      <w:proofErr w:type="gramEnd"/>
      <w:r w:rsidR="00A024E2" w:rsidRPr="004D368F">
        <w:rPr>
          <w:rFonts w:ascii="Arial" w:hAnsi="Arial" w:cs="Arial"/>
          <w:i/>
          <w:iCs/>
          <w:color w:val="auto"/>
          <w:sz w:val="22"/>
          <w:szCs w:val="22"/>
          <w:lang w:val="fr-BE"/>
        </w:rPr>
        <w:t xml:space="preserve"> e</w:t>
      </w:r>
      <w:r w:rsidR="002518B6" w:rsidRPr="004D368F">
        <w:rPr>
          <w:rFonts w:ascii="Arial" w:hAnsi="Arial" w:cs="Arial"/>
          <w:i/>
          <w:iCs/>
          <w:color w:val="auto"/>
          <w:sz w:val="22"/>
          <w:szCs w:val="22"/>
          <w:lang w:val="fr-BE"/>
        </w:rPr>
        <w:t xml:space="preserve">ntreprises d'assurance </w:t>
      </w:r>
      <w:r w:rsidR="009B3005" w:rsidRPr="004D368F">
        <w:rPr>
          <w:rFonts w:ascii="Arial" w:hAnsi="Arial" w:cs="Arial"/>
          <w:i/>
          <w:iCs/>
          <w:color w:val="auto"/>
          <w:sz w:val="22"/>
          <w:szCs w:val="22"/>
          <w:lang w:val="fr-BE"/>
        </w:rPr>
        <w:t>de droit belge</w:t>
      </w:r>
    </w:p>
    <w:p w14:paraId="26D1F48C" w14:textId="77777777" w:rsidR="00243AE4" w:rsidRPr="004D368F" w:rsidRDefault="00243AE4"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les</w:t>
      </w:r>
      <w:proofErr w:type="gramEnd"/>
      <w:r w:rsidRPr="004D368F">
        <w:rPr>
          <w:rFonts w:ascii="Arial" w:hAnsi="Arial" w:cs="Arial"/>
          <w:i/>
          <w:iCs/>
          <w:color w:val="auto"/>
          <w:sz w:val="22"/>
          <w:szCs w:val="22"/>
          <w:lang w:val="fr-BE"/>
        </w:rPr>
        <w:t xml:space="preserve"> entreprises de réassuran</w:t>
      </w:r>
      <w:r w:rsidR="009B3005" w:rsidRPr="004D368F">
        <w:rPr>
          <w:rFonts w:ascii="Arial" w:hAnsi="Arial" w:cs="Arial"/>
          <w:i/>
          <w:iCs/>
          <w:color w:val="auto"/>
          <w:sz w:val="22"/>
          <w:szCs w:val="22"/>
          <w:lang w:val="fr-BE"/>
        </w:rPr>
        <w:t>ce de droit belge</w:t>
      </w:r>
    </w:p>
    <w:p w14:paraId="5F9F5B8D" w14:textId="77777777" w:rsidR="00243AE4" w:rsidRPr="004D368F" w:rsidRDefault="00243AE4"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les</w:t>
      </w:r>
      <w:proofErr w:type="gramEnd"/>
      <w:r w:rsidRPr="004D368F">
        <w:rPr>
          <w:rFonts w:ascii="Arial" w:hAnsi="Arial" w:cs="Arial"/>
          <w:i/>
          <w:iCs/>
          <w:color w:val="auto"/>
          <w:sz w:val="22"/>
          <w:szCs w:val="22"/>
          <w:lang w:val="fr-BE"/>
        </w:rPr>
        <w:t xml:space="preserve"> sociétés de bourse de droit belge</w:t>
      </w:r>
    </w:p>
    <w:p w14:paraId="7F880F01" w14:textId="77777777" w:rsidR="00243AE4" w:rsidRPr="004D368F" w:rsidRDefault="00243AE4"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les</w:t>
      </w:r>
      <w:proofErr w:type="gramEnd"/>
      <w:r w:rsidRPr="004D368F">
        <w:rPr>
          <w:rFonts w:ascii="Arial" w:hAnsi="Arial" w:cs="Arial"/>
          <w:i/>
          <w:iCs/>
          <w:color w:val="auto"/>
          <w:sz w:val="22"/>
          <w:szCs w:val="22"/>
          <w:lang w:val="fr-BE"/>
        </w:rPr>
        <w:t xml:space="preserve"> compagnies</w:t>
      </w:r>
      <w:r w:rsidR="009B3005" w:rsidRPr="004D368F">
        <w:rPr>
          <w:rFonts w:ascii="Arial" w:hAnsi="Arial" w:cs="Arial"/>
          <w:i/>
          <w:iCs/>
          <w:color w:val="auto"/>
          <w:sz w:val="22"/>
          <w:szCs w:val="22"/>
          <w:lang w:val="fr-BE"/>
        </w:rPr>
        <w:t xml:space="preserve"> financières de droit belge</w:t>
      </w:r>
    </w:p>
    <w:p w14:paraId="21B490F3" w14:textId="77777777" w:rsidR="002518B6" w:rsidRPr="004D368F" w:rsidRDefault="00AD7B1C"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w:t>
      </w:r>
      <w:r w:rsidR="00A024E2" w:rsidRPr="004D368F">
        <w:rPr>
          <w:rFonts w:ascii="Arial" w:hAnsi="Arial" w:cs="Arial"/>
          <w:i/>
          <w:iCs/>
          <w:color w:val="auto"/>
          <w:sz w:val="22"/>
          <w:szCs w:val="22"/>
          <w:lang w:val="fr-BE"/>
        </w:rPr>
        <w:t>es</w:t>
      </w:r>
      <w:proofErr w:type="gramEnd"/>
      <w:r w:rsidR="00A024E2" w:rsidRPr="004D368F">
        <w:rPr>
          <w:rFonts w:ascii="Arial" w:hAnsi="Arial" w:cs="Arial"/>
          <w:i/>
          <w:iCs/>
          <w:color w:val="auto"/>
          <w:sz w:val="22"/>
          <w:szCs w:val="22"/>
          <w:lang w:val="fr-BE"/>
        </w:rPr>
        <w:t xml:space="preserve"> </w:t>
      </w:r>
      <w:r w:rsidRPr="004D368F">
        <w:rPr>
          <w:rFonts w:ascii="Arial" w:hAnsi="Arial" w:cs="Arial"/>
          <w:i/>
          <w:iCs/>
          <w:color w:val="auto"/>
          <w:sz w:val="22"/>
          <w:szCs w:val="22"/>
          <w:lang w:val="fr-BE"/>
        </w:rPr>
        <w:t>s</w:t>
      </w:r>
      <w:r w:rsidR="00A024E2" w:rsidRPr="004D368F">
        <w:rPr>
          <w:rFonts w:ascii="Arial" w:hAnsi="Arial" w:cs="Arial"/>
          <w:i/>
          <w:iCs/>
          <w:color w:val="auto"/>
          <w:sz w:val="22"/>
          <w:szCs w:val="22"/>
          <w:lang w:val="fr-BE"/>
        </w:rPr>
        <w:t>ociétés holding d’assurance de droit belge</w:t>
      </w:r>
    </w:p>
    <w:p w14:paraId="27299039" w14:textId="77777777" w:rsidR="00A024E2" w:rsidRPr="004D368F" w:rsidRDefault="00AD7B1C" w:rsidP="00BE3219">
      <w:pPr>
        <w:pStyle w:val="Default"/>
        <w:numPr>
          <w:ilvl w:val="0"/>
          <w:numId w:val="32"/>
        </w:numPr>
        <w:spacing w:before="120" w:after="60"/>
        <w:jc w:val="both"/>
        <w:rPr>
          <w:rFonts w:ascii="Arial" w:hAnsi="Arial" w:cs="Arial"/>
          <w:i/>
          <w:iCs/>
          <w:color w:val="auto"/>
          <w:sz w:val="22"/>
          <w:szCs w:val="22"/>
          <w:lang w:val="fr-BE"/>
        </w:rPr>
      </w:pPr>
      <w:proofErr w:type="gramStart"/>
      <w:r w:rsidRPr="004D368F">
        <w:rPr>
          <w:rFonts w:ascii="Arial" w:hAnsi="Arial" w:cs="Arial"/>
          <w:i/>
          <w:iCs/>
          <w:color w:val="auto"/>
          <w:sz w:val="22"/>
          <w:szCs w:val="22"/>
          <w:lang w:val="fr-BE"/>
        </w:rPr>
        <w:t>les</w:t>
      </w:r>
      <w:proofErr w:type="gramEnd"/>
      <w:r w:rsidRPr="004D368F">
        <w:rPr>
          <w:rFonts w:ascii="Arial" w:hAnsi="Arial" w:cs="Arial"/>
          <w:i/>
          <w:iCs/>
          <w:color w:val="auto"/>
          <w:sz w:val="22"/>
          <w:szCs w:val="22"/>
          <w:lang w:val="fr-BE"/>
        </w:rPr>
        <w:t xml:space="preserve"> c</w:t>
      </w:r>
      <w:r w:rsidR="00A024E2" w:rsidRPr="004D368F">
        <w:rPr>
          <w:rFonts w:ascii="Arial" w:hAnsi="Arial" w:cs="Arial"/>
          <w:i/>
          <w:iCs/>
          <w:color w:val="auto"/>
          <w:sz w:val="22"/>
          <w:szCs w:val="22"/>
          <w:lang w:val="fr-BE"/>
        </w:rPr>
        <w:t xml:space="preserve">ompagnies financières </w:t>
      </w:r>
      <w:r w:rsidR="009B3005" w:rsidRPr="004D368F">
        <w:rPr>
          <w:rFonts w:ascii="Arial" w:hAnsi="Arial" w:cs="Arial"/>
          <w:i/>
          <w:iCs/>
          <w:color w:val="auto"/>
          <w:sz w:val="22"/>
          <w:szCs w:val="22"/>
          <w:lang w:val="fr-BE"/>
        </w:rPr>
        <w:t>mixtes de droit belge</w:t>
      </w:r>
    </w:p>
    <w:p w14:paraId="008E9B4D" w14:textId="77777777" w:rsidR="002D65F3" w:rsidRPr="004D368F" w:rsidRDefault="009F0E2E" w:rsidP="00BE3219">
      <w:pPr>
        <w:pStyle w:val="Sous-titreOndertitel"/>
        <w:jc w:val="both"/>
        <w:rPr>
          <w:rFonts w:cs="Arial"/>
          <w:i/>
          <w:iCs/>
          <w:u w:val="none"/>
          <w:lang w:val="fr-BE" w:eastAsia="nl-BE"/>
        </w:rPr>
      </w:pPr>
      <w:proofErr w:type="gramStart"/>
      <w:r w:rsidRPr="004D368F">
        <w:rPr>
          <w:rFonts w:cs="Arial"/>
          <w:i/>
          <w:iCs/>
          <w:u w:val="none"/>
          <w:lang w:val="fr-BE" w:eastAsia="nl-BE"/>
        </w:rPr>
        <w:t>ainsi</w:t>
      </w:r>
      <w:proofErr w:type="gramEnd"/>
      <w:r w:rsidRPr="004D368F">
        <w:rPr>
          <w:rFonts w:cs="Arial"/>
          <w:i/>
          <w:iCs/>
          <w:u w:val="none"/>
          <w:lang w:val="fr-BE" w:eastAsia="nl-BE"/>
        </w:rPr>
        <w:t xml:space="preserve"> que toutes personnes physiques ou morales détenant une participation qualifiée dans un de ces établissements qui sont soumises à un contrôle sur base continue.</w:t>
      </w:r>
      <w:r w:rsidRPr="004D368F" w:rsidDel="00746966">
        <w:rPr>
          <w:rFonts w:cs="Arial"/>
          <w:i/>
          <w:iCs/>
          <w:u w:val="none"/>
          <w:lang w:val="fr-BE" w:eastAsia="nl-BE"/>
        </w:rPr>
        <w:t xml:space="preserve"> </w:t>
      </w:r>
    </w:p>
    <w:p w14:paraId="79E87C1C" w14:textId="77777777" w:rsidR="009F0E2E" w:rsidRPr="004D368F" w:rsidRDefault="009F0E2E" w:rsidP="00BE3219">
      <w:pPr>
        <w:pStyle w:val="Sous-titreOndertitel"/>
        <w:jc w:val="both"/>
        <w:rPr>
          <w:lang w:val="fr-BE"/>
        </w:rPr>
      </w:pPr>
    </w:p>
    <w:p w14:paraId="66EE45A4" w14:textId="77777777" w:rsidR="00850941" w:rsidRPr="004D368F" w:rsidRDefault="00850941" w:rsidP="00BE3219">
      <w:pPr>
        <w:pStyle w:val="Sous-titreOndertitel"/>
        <w:jc w:val="both"/>
        <w:rPr>
          <w:lang w:val="fr-BE"/>
        </w:rPr>
      </w:pPr>
      <w:r w:rsidRPr="004D368F">
        <w:rPr>
          <w:lang w:val="fr-BE"/>
        </w:rPr>
        <w:t>Résumé/Objectifs</w:t>
      </w:r>
    </w:p>
    <w:p w14:paraId="5DF2998A" w14:textId="77777777" w:rsidR="00FA6968" w:rsidRPr="004D368F" w:rsidRDefault="005E4198" w:rsidP="004D368F">
      <w:pPr>
        <w:tabs>
          <w:tab w:val="clear" w:pos="284"/>
        </w:tabs>
        <w:autoSpaceDE w:val="0"/>
        <w:autoSpaceDN w:val="0"/>
        <w:adjustRightInd w:val="0"/>
        <w:spacing w:before="120" w:line="240" w:lineRule="auto"/>
        <w:jc w:val="both"/>
        <w:rPr>
          <w:rFonts w:cs="Arial"/>
          <w:i/>
          <w:iCs/>
          <w:sz w:val="22"/>
          <w:szCs w:val="22"/>
          <w:lang w:val="fr-BE" w:eastAsia="nl-BE"/>
        </w:rPr>
      </w:pPr>
      <w:r w:rsidRPr="004D368F">
        <w:rPr>
          <w:rFonts w:cs="Arial"/>
          <w:i/>
          <w:iCs/>
          <w:sz w:val="22"/>
          <w:szCs w:val="22"/>
          <w:lang w:val="fr-BE" w:eastAsia="nl-BE"/>
        </w:rPr>
        <w:t xml:space="preserve">La présente </w:t>
      </w:r>
      <w:r w:rsidR="00F06771" w:rsidRPr="004D368F">
        <w:rPr>
          <w:rFonts w:cs="Arial"/>
          <w:i/>
          <w:iCs/>
          <w:sz w:val="22"/>
          <w:szCs w:val="22"/>
          <w:lang w:val="fr-BE" w:eastAsia="nl-BE"/>
        </w:rPr>
        <w:t>communication</w:t>
      </w:r>
      <w:r w:rsidRPr="004D368F">
        <w:rPr>
          <w:rFonts w:cs="Arial"/>
          <w:i/>
          <w:iCs/>
          <w:sz w:val="22"/>
          <w:szCs w:val="22"/>
          <w:lang w:val="fr-BE" w:eastAsia="nl-BE"/>
        </w:rPr>
        <w:t xml:space="preserve"> transpose dans le cadre prudentiel belge les orientations communes </w:t>
      </w:r>
      <w:r w:rsidR="00C004A7" w:rsidRPr="004D368F">
        <w:rPr>
          <w:rFonts w:cs="Arial"/>
          <w:i/>
          <w:iCs/>
          <w:sz w:val="22"/>
          <w:szCs w:val="22"/>
          <w:lang w:val="fr-BE" w:eastAsia="nl-BE"/>
        </w:rPr>
        <w:t xml:space="preserve">des autorités européennes de surveillance </w:t>
      </w:r>
      <w:r w:rsidR="00CC4596" w:rsidRPr="004D368F">
        <w:rPr>
          <w:rFonts w:cs="Arial"/>
          <w:i/>
          <w:iCs/>
          <w:sz w:val="22"/>
          <w:szCs w:val="22"/>
          <w:lang w:val="fr-BE" w:eastAsia="nl-BE"/>
        </w:rPr>
        <w:t xml:space="preserve">ou </w:t>
      </w:r>
      <w:r w:rsidR="002518B6" w:rsidRPr="004D368F">
        <w:rPr>
          <w:rFonts w:cs="Arial"/>
          <w:i/>
          <w:iCs/>
          <w:sz w:val="22"/>
          <w:szCs w:val="22"/>
          <w:lang w:val="fr-BE" w:eastAsia="nl-BE"/>
        </w:rPr>
        <w:t xml:space="preserve">“AES” </w:t>
      </w:r>
      <w:r w:rsidR="00CC4596" w:rsidRPr="004D368F">
        <w:rPr>
          <w:rFonts w:cs="Arial"/>
          <w:i/>
          <w:iCs/>
          <w:sz w:val="22"/>
          <w:szCs w:val="22"/>
          <w:lang w:val="fr-BE" w:eastAsia="nl-BE"/>
        </w:rPr>
        <w:t>(</w:t>
      </w:r>
      <w:r w:rsidR="00C004A7" w:rsidRPr="004D368F">
        <w:rPr>
          <w:rFonts w:cs="Arial"/>
          <w:i/>
          <w:iCs/>
          <w:sz w:val="22"/>
          <w:szCs w:val="22"/>
          <w:lang w:val="fr-BE" w:eastAsia="nl-BE"/>
        </w:rPr>
        <w:t xml:space="preserve">c’est-à-dire </w:t>
      </w:r>
      <w:r w:rsidRPr="004D368F">
        <w:rPr>
          <w:rFonts w:cs="Arial"/>
          <w:i/>
          <w:iCs/>
          <w:sz w:val="22"/>
          <w:szCs w:val="22"/>
          <w:lang w:val="fr-BE" w:eastAsia="nl-BE"/>
        </w:rPr>
        <w:t xml:space="preserve">l’Autorité bancaire européenne ou en anglais </w:t>
      </w:r>
      <w:r w:rsidR="002518B6" w:rsidRPr="004D368F">
        <w:rPr>
          <w:rFonts w:cs="Arial"/>
          <w:i/>
          <w:iCs/>
          <w:sz w:val="22"/>
          <w:szCs w:val="22"/>
          <w:lang w:val="fr-BE" w:eastAsia="nl-BE"/>
        </w:rPr>
        <w:t>“</w:t>
      </w:r>
      <w:r w:rsidRPr="004D368F">
        <w:rPr>
          <w:rFonts w:cs="Arial"/>
          <w:i/>
          <w:iCs/>
          <w:sz w:val="22"/>
          <w:szCs w:val="22"/>
          <w:lang w:val="fr-BE" w:eastAsia="nl-BE"/>
        </w:rPr>
        <w:t>EBA</w:t>
      </w:r>
      <w:r w:rsidR="002518B6" w:rsidRPr="004D368F">
        <w:rPr>
          <w:rFonts w:cs="Arial"/>
          <w:i/>
          <w:iCs/>
          <w:sz w:val="22"/>
          <w:szCs w:val="22"/>
          <w:lang w:val="fr-BE" w:eastAsia="nl-BE"/>
        </w:rPr>
        <w:t>”</w:t>
      </w:r>
      <w:r w:rsidRPr="004D368F">
        <w:rPr>
          <w:rFonts w:cs="Arial"/>
          <w:i/>
          <w:iCs/>
          <w:sz w:val="22"/>
          <w:szCs w:val="22"/>
          <w:lang w:val="fr-BE" w:eastAsia="nl-BE"/>
        </w:rPr>
        <w:t xml:space="preserve">, l’Autorité européenne des assurances et des pensions professionnelles ou en anglais </w:t>
      </w:r>
      <w:r w:rsidR="002518B6" w:rsidRPr="004D368F">
        <w:rPr>
          <w:rFonts w:cs="Arial"/>
          <w:i/>
          <w:iCs/>
          <w:sz w:val="22"/>
          <w:szCs w:val="22"/>
          <w:lang w:val="fr-BE" w:eastAsia="nl-BE"/>
        </w:rPr>
        <w:t>“</w:t>
      </w:r>
      <w:r w:rsidRPr="004D368F">
        <w:rPr>
          <w:rFonts w:cs="Arial"/>
          <w:i/>
          <w:iCs/>
          <w:sz w:val="22"/>
          <w:szCs w:val="22"/>
          <w:lang w:val="fr-BE" w:eastAsia="nl-BE"/>
        </w:rPr>
        <w:t>EIOPA</w:t>
      </w:r>
      <w:r w:rsidR="002518B6" w:rsidRPr="004D368F">
        <w:rPr>
          <w:rFonts w:cs="Arial"/>
          <w:i/>
          <w:iCs/>
          <w:sz w:val="22"/>
          <w:szCs w:val="22"/>
          <w:lang w:val="fr-BE" w:eastAsia="nl-BE"/>
        </w:rPr>
        <w:t>”</w:t>
      </w:r>
      <w:r w:rsidRPr="004D368F">
        <w:rPr>
          <w:rFonts w:cs="Arial"/>
          <w:i/>
          <w:iCs/>
          <w:sz w:val="22"/>
          <w:szCs w:val="22"/>
          <w:lang w:val="fr-BE" w:eastAsia="nl-BE"/>
        </w:rPr>
        <w:t xml:space="preserve"> et l’Autorité europ</w:t>
      </w:r>
      <w:r w:rsidR="002518B6" w:rsidRPr="004D368F">
        <w:rPr>
          <w:rFonts w:cs="Arial"/>
          <w:i/>
          <w:iCs/>
          <w:sz w:val="22"/>
          <w:szCs w:val="22"/>
          <w:lang w:val="fr-BE" w:eastAsia="nl-BE"/>
        </w:rPr>
        <w:t>é</w:t>
      </w:r>
      <w:r w:rsidRPr="004D368F">
        <w:rPr>
          <w:rFonts w:cs="Arial"/>
          <w:i/>
          <w:iCs/>
          <w:sz w:val="22"/>
          <w:szCs w:val="22"/>
          <w:lang w:val="fr-BE" w:eastAsia="nl-BE"/>
        </w:rPr>
        <w:t xml:space="preserve">enne des marches financiers ou en anglais </w:t>
      </w:r>
      <w:r w:rsidR="002518B6" w:rsidRPr="004D368F">
        <w:rPr>
          <w:rFonts w:cs="Arial"/>
          <w:i/>
          <w:iCs/>
          <w:sz w:val="22"/>
          <w:szCs w:val="22"/>
          <w:lang w:val="fr-BE" w:eastAsia="nl-BE"/>
        </w:rPr>
        <w:t>“ESMA”)</w:t>
      </w:r>
      <w:r w:rsidRPr="004D368F">
        <w:rPr>
          <w:rFonts w:cs="Arial"/>
          <w:i/>
          <w:iCs/>
          <w:sz w:val="22"/>
          <w:szCs w:val="22"/>
          <w:lang w:val="fr-BE" w:eastAsia="nl-BE"/>
        </w:rPr>
        <w:t xml:space="preserve"> </w:t>
      </w:r>
      <w:r w:rsidR="00FA6968" w:rsidRPr="004D368F">
        <w:rPr>
          <w:rFonts w:cs="Arial"/>
          <w:i/>
          <w:iCs/>
          <w:sz w:val="22"/>
          <w:szCs w:val="22"/>
          <w:lang w:val="fr-BE" w:eastAsia="nl-BE"/>
        </w:rPr>
        <w:t xml:space="preserve">du 5 mai 2017 relatives à l’évaluation prudentielle des acquisitions et des augmentations de participations </w:t>
      </w:r>
      <w:r w:rsidR="00AD7B1C" w:rsidRPr="004D368F">
        <w:rPr>
          <w:rFonts w:cs="Arial"/>
          <w:i/>
          <w:iCs/>
          <w:sz w:val="22"/>
          <w:szCs w:val="22"/>
          <w:lang w:val="fr-BE" w:eastAsia="nl-BE"/>
        </w:rPr>
        <w:t>qualifiées</w:t>
      </w:r>
      <w:r w:rsidR="00FA6968" w:rsidRPr="004D368F">
        <w:rPr>
          <w:rFonts w:cs="Arial"/>
          <w:i/>
          <w:iCs/>
          <w:sz w:val="22"/>
          <w:szCs w:val="22"/>
          <w:lang w:val="fr-BE" w:eastAsia="nl-BE"/>
        </w:rPr>
        <w:t xml:space="preserve"> dans des entités du secteur financier. </w:t>
      </w:r>
    </w:p>
    <w:p w14:paraId="3EF931BA" w14:textId="77777777" w:rsidR="00FA6968" w:rsidRPr="004D368F" w:rsidRDefault="00FA6968" w:rsidP="00BE3219">
      <w:pPr>
        <w:tabs>
          <w:tab w:val="clear" w:pos="284"/>
        </w:tabs>
        <w:autoSpaceDE w:val="0"/>
        <w:autoSpaceDN w:val="0"/>
        <w:adjustRightInd w:val="0"/>
        <w:spacing w:line="240" w:lineRule="auto"/>
        <w:jc w:val="both"/>
        <w:rPr>
          <w:rFonts w:cs="Arial"/>
          <w:i/>
          <w:iCs/>
          <w:sz w:val="22"/>
          <w:szCs w:val="22"/>
          <w:lang w:val="fr-BE" w:eastAsia="nl-BE"/>
        </w:rPr>
      </w:pPr>
    </w:p>
    <w:p w14:paraId="78F58A4D" w14:textId="77777777" w:rsidR="005E4198" w:rsidRPr="004D368F" w:rsidRDefault="00F06771" w:rsidP="00BE3219">
      <w:pPr>
        <w:tabs>
          <w:tab w:val="clear" w:pos="284"/>
        </w:tabs>
        <w:autoSpaceDE w:val="0"/>
        <w:autoSpaceDN w:val="0"/>
        <w:adjustRightInd w:val="0"/>
        <w:spacing w:line="240" w:lineRule="auto"/>
        <w:jc w:val="both"/>
        <w:rPr>
          <w:rFonts w:cs="Arial"/>
          <w:i/>
          <w:iCs/>
          <w:sz w:val="22"/>
          <w:szCs w:val="22"/>
          <w:lang w:val="fr-BE" w:eastAsia="nl-BE"/>
        </w:rPr>
      </w:pPr>
      <w:r w:rsidRPr="004D368F">
        <w:rPr>
          <w:rFonts w:cs="Arial"/>
          <w:i/>
          <w:iCs/>
          <w:sz w:val="22"/>
          <w:szCs w:val="22"/>
          <w:lang w:val="fr-BE" w:eastAsia="nl-BE"/>
        </w:rPr>
        <w:t>Cette communication remplace</w:t>
      </w:r>
      <w:r w:rsidR="005E4198" w:rsidRPr="004D368F">
        <w:rPr>
          <w:rFonts w:cs="Arial"/>
          <w:i/>
          <w:iCs/>
          <w:sz w:val="22"/>
          <w:szCs w:val="22"/>
          <w:lang w:val="fr-BE" w:eastAsia="nl-BE"/>
        </w:rPr>
        <w:t xml:space="preserve"> à compter du 1er </w:t>
      </w:r>
      <w:r w:rsidR="00FA6968" w:rsidRPr="004D368F">
        <w:rPr>
          <w:rFonts w:cs="Arial"/>
          <w:i/>
          <w:iCs/>
          <w:sz w:val="22"/>
          <w:szCs w:val="22"/>
          <w:lang w:val="fr-BE" w:eastAsia="nl-BE"/>
        </w:rPr>
        <w:t>octobre</w:t>
      </w:r>
      <w:r w:rsidR="005E4198" w:rsidRPr="004D368F">
        <w:rPr>
          <w:rFonts w:cs="Arial"/>
          <w:i/>
          <w:iCs/>
          <w:sz w:val="22"/>
          <w:szCs w:val="22"/>
          <w:lang w:val="fr-BE" w:eastAsia="nl-BE"/>
        </w:rPr>
        <w:t xml:space="preserve"> 2017</w:t>
      </w:r>
      <w:r w:rsidR="00FA6968" w:rsidRPr="004D368F">
        <w:rPr>
          <w:rFonts w:cs="Arial"/>
          <w:i/>
          <w:iCs/>
          <w:sz w:val="22"/>
          <w:szCs w:val="22"/>
          <w:lang w:val="fr-BE" w:eastAsia="nl-BE"/>
        </w:rPr>
        <w:t xml:space="preserve"> </w:t>
      </w:r>
      <w:r w:rsidR="001E49AB" w:rsidRPr="004D368F">
        <w:rPr>
          <w:rFonts w:cs="Arial"/>
          <w:i/>
          <w:iCs/>
          <w:sz w:val="22"/>
          <w:szCs w:val="22"/>
          <w:lang w:val="fr-BE" w:eastAsia="nl-BE"/>
        </w:rPr>
        <w:t xml:space="preserve">la </w:t>
      </w:r>
      <w:r w:rsidR="004D368F">
        <w:rPr>
          <w:rFonts w:cs="Arial"/>
          <w:i/>
          <w:iCs/>
          <w:sz w:val="22"/>
          <w:szCs w:val="22"/>
          <w:lang w:val="fr-BE" w:eastAsia="nl-BE"/>
        </w:rPr>
        <w:br/>
      </w:r>
      <w:r w:rsidR="001E49AB" w:rsidRPr="004D368F">
        <w:rPr>
          <w:rFonts w:cs="Arial"/>
          <w:i/>
          <w:iCs/>
          <w:sz w:val="22"/>
          <w:szCs w:val="22"/>
          <w:lang w:val="fr-BE" w:eastAsia="nl-BE"/>
        </w:rPr>
        <w:t>communication CBFA_2009</w:t>
      </w:r>
      <w:r w:rsidR="00BE110B">
        <w:rPr>
          <w:rFonts w:cs="Arial"/>
          <w:i/>
          <w:iCs/>
          <w:sz w:val="22"/>
          <w:szCs w:val="22"/>
          <w:lang w:val="fr-BE" w:eastAsia="nl-BE"/>
        </w:rPr>
        <w:t>_</w:t>
      </w:r>
      <w:r w:rsidR="001E49AB" w:rsidRPr="004D368F">
        <w:rPr>
          <w:rFonts w:cs="Arial"/>
          <w:i/>
          <w:iCs/>
          <w:sz w:val="22"/>
          <w:szCs w:val="22"/>
          <w:lang w:val="fr-BE" w:eastAsia="nl-BE"/>
        </w:rPr>
        <w:t xml:space="preserve">31 du 18 novembre 2009 sur l’acquisition, l’accroissement, la </w:t>
      </w:r>
      <w:r w:rsidR="00AD7B1C" w:rsidRPr="004D368F">
        <w:rPr>
          <w:rFonts w:cs="Arial"/>
          <w:i/>
          <w:iCs/>
          <w:sz w:val="22"/>
          <w:szCs w:val="22"/>
          <w:lang w:val="fr-BE" w:eastAsia="nl-BE"/>
        </w:rPr>
        <w:t>réduction</w:t>
      </w:r>
      <w:r w:rsidRPr="004D368F">
        <w:rPr>
          <w:rFonts w:cs="Arial"/>
          <w:i/>
          <w:iCs/>
          <w:sz w:val="22"/>
          <w:szCs w:val="22"/>
          <w:lang w:val="fr-BE" w:eastAsia="nl-BE"/>
        </w:rPr>
        <w:t xml:space="preserve"> </w:t>
      </w:r>
      <w:r w:rsidR="001E49AB" w:rsidRPr="004D368F">
        <w:rPr>
          <w:rFonts w:cs="Arial"/>
          <w:i/>
          <w:iCs/>
          <w:sz w:val="22"/>
          <w:szCs w:val="22"/>
          <w:lang w:val="fr-BE" w:eastAsia="nl-BE"/>
        </w:rPr>
        <w:t xml:space="preserve">ou la cession d’une participation qualifiée dans le capital d’organismes financiers </w:t>
      </w:r>
      <w:r w:rsidRPr="004D368F">
        <w:rPr>
          <w:rFonts w:cs="Arial"/>
          <w:i/>
          <w:iCs/>
          <w:sz w:val="22"/>
          <w:szCs w:val="22"/>
          <w:lang w:val="fr-BE" w:eastAsia="nl-BE"/>
        </w:rPr>
        <w:t xml:space="preserve">qui </w:t>
      </w:r>
      <w:r w:rsidRPr="004D368F">
        <w:rPr>
          <w:rFonts w:cs="Arial"/>
          <w:i/>
          <w:iCs/>
          <w:sz w:val="22"/>
          <w:szCs w:val="22"/>
          <w:lang w:val="fr-BE" w:eastAsia="nl-BE"/>
        </w:rPr>
        <w:lastRenderedPageBreak/>
        <w:t xml:space="preserve">reprenait en annexe les </w:t>
      </w:r>
      <w:r w:rsidR="00FA6968" w:rsidRPr="004D368F">
        <w:rPr>
          <w:rFonts w:cs="Arial"/>
          <w:i/>
          <w:iCs/>
          <w:sz w:val="22"/>
          <w:szCs w:val="22"/>
          <w:lang w:val="fr-BE" w:eastAsia="nl-BE"/>
        </w:rPr>
        <w:t xml:space="preserve">orientations communes </w:t>
      </w:r>
      <w:r w:rsidRPr="004D368F">
        <w:rPr>
          <w:rFonts w:cs="Arial"/>
          <w:i/>
          <w:iCs/>
          <w:sz w:val="22"/>
          <w:szCs w:val="22"/>
          <w:lang w:val="fr-BE" w:eastAsia="nl-BE"/>
        </w:rPr>
        <w:t xml:space="preserve">que les </w:t>
      </w:r>
      <w:r w:rsidR="00FA6968" w:rsidRPr="004D368F">
        <w:rPr>
          <w:rFonts w:cs="Arial"/>
          <w:i/>
          <w:iCs/>
          <w:sz w:val="22"/>
          <w:szCs w:val="22"/>
          <w:lang w:val="fr-BE" w:eastAsia="nl-BE"/>
        </w:rPr>
        <w:t xml:space="preserve">autorités européennes de surveillance </w:t>
      </w:r>
      <w:r w:rsidRPr="004D368F">
        <w:rPr>
          <w:rFonts w:cs="Arial"/>
          <w:i/>
          <w:iCs/>
          <w:sz w:val="22"/>
          <w:szCs w:val="22"/>
          <w:lang w:val="fr-BE" w:eastAsia="nl-BE"/>
        </w:rPr>
        <w:t xml:space="preserve">de l’époque </w:t>
      </w:r>
      <w:r w:rsidR="00FA6968" w:rsidRPr="004D368F">
        <w:rPr>
          <w:rFonts w:cs="Arial"/>
          <w:i/>
          <w:iCs/>
          <w:sz w:val="22"/>
          <w:szCs w:val="22"/>
          <w:lang w:val="fr-BE" w:eastAsia="nl-BE"/>
        </w:rPr>
        <w:t xml:space="preserve">(CEBS, CESR et CEIOPS) </w:t>
      </w:r>
      <w:r w:rsidRPr="004D368F">
        <w:rPr>
          <w:rFonts w:cs="Arial"/>
          <w:i/>
          <w:iCs/>
          <w:sz w:val="22"/>
          <w:szCs w:val="22"/>
          <w:lang w:val="fr-BE" w:eastAsia="nl-BE"/>
        </w:rPr>
        <w:t xml:space="preserve">avaient publiées sur le même sujet en </w:t>
      </w:r>
      <w:r w:rsidR="00C004A7" w:rsidRPr="004D368F">
        <w:rPr>
          <w:rFonts w:cs="Arial"/>
          <w:i/>
          <w:iCs/>
          <w:sz w:val="22"/>
          <w:szCs w:val="22"/>
          <w:lang w:val="fr-BE" w:eastAsia="nl-BE"/>
        </w:rPr>
        <w:t>200</w:t>
      </w:r>
      <w:r w:rsidR="001E49AB" w:rsidRPr="004D368F">
        <w:rPr>
          <w:rFonts w:cs="Arial"/>
          <w:i/>
          <w:iCs/>
          <w:sz w:val="22"/>
          <w:szCs w:val="22"/>
          <w:lang w:val="fr-BE" w:eastAsia="nl-BE"/>
        </w:rPr>
        <w:t>8</w:t>
      </w:r>
      <w:r w:rsidR="00C004A7" w:rsidRPr="004D368F">
        <w:rPr>
          <w:rFonts w:cs="Arial"/>
          <w:i/>
          <w:iCs/>
          <w:sz w:val="22"/>
          <w:szCs w:val="22"/>
          <w:lang w:val="fr-BE" w:eastAsia="nl-BE"/>
        </w:rPr>
        <w:t>.</w:t>
      </w:r>
    </w:p>
    <w:p w14:paraId="7EC7B517" w14:textId="77777777" w:rsidR="00FA6968" w:rsidRPr="004D368F" w:rsidRDefault="00FA6968" w:rsidP="00BE3219">
      <w:pPr>
        <w:tabs>
          <w:tab w:val="clear" w:pos="284"/>
        </w:tabs>
        <w:autoSpaceDE w:val="0"/>
        <w:autoSpaceDN w:val="0"/>
        <w:adjustRightInd w:val="0"/>
        <w:spacing w:line="240" w:lineRule="auto"/>
        <w:jc w:val="both"/>
        <w:rPr>
          <w:rFonts w:cs="Arial"/>
          <w:i/>
          <w:iCs/>
          <w:sz w:val="22"/>
          <w:szCs w:val="22"/>
          <w:lang w:val="fr-BE" w:eastAsia="nl-BE"/>
        </w:rPr>
      </w:pPr>
    </w:p>
    <w:p w14:paraId="4E7B1CC7" w14:textId="77777777" w:rsidR="003F5E55" w:rsidRPr="004D368F" w:rsidRDefault="00F06771" w:rsidP="00BE3219">
      <w:pPr>
        <w:tabs>
          <w:tab w:val="clear" w:pos="284"/>
        </w:tabs>
        <w:autoSpaceDE w:val="0"/>
        <w:autoSpaceDN w:val="0"/>
        <w:adjustRightInd w:val="0"/>
        <w:spacing w:line="240" w:lineRule="auto"/>
        <w:jc w:val="both"/>
        <w:rPr>
          <w:rFonts w:cs="Arial"/>
          <w:i/>
          <w:iCs/>
          <w:sz w:val="22"/>
          <w:szCs w:val="22"/>
          <w:lang w:val="fr-BE" w:eastAsia="nl-BE"/>
        </w:rPr>
      </w:pPr>
      <w:r w:rsidRPr="004D368F">
        <w:rPr>
          <w:rFonts w:cs="Arial"/>
          <w:i/>
          <w:iCs/>
          <w:sz w:val="22"/>
          <w:szCs w:val="22"/>
          <w:lang w:val="fr-BE" w:eastAsia="nl-BE"/>
        </w:rPr>
        <w:t xml:space="preserve">La présente </w:t>
      </w:r>
      <w:r w:rsidR="003F5E55" w:rsidRPr="004D368F">
        <w:rPr>
          <w:rFonts w:cs="Arial"/>
          <w:i/>
          <w:iCs/>
          <w:sz w:val="22"/>
          <w:szCs w:val="22"/>
          <w:lang w:val="fr-BE" w:eastAsia="nl-BE"/>
        </w:rPr>
        <w:t>communication constitue donc le nouveau cadre règlementaire de référence en matière de contrôle de l’actionnariat.  T</w:t>
      </w:r>
      <w:r w:rsidR="00C004A7" w:rsidRPr="004D368F">
        <w:rPr>
          <w:rFonts w:cs="Arial"/>
          <w:i/>
          <w:iCs/>
          <w:sz w:val="22"/>
          <w:szCs w:val="22"/>
          <w:lang w:val="fr-BE" w:eastAsia="nl-BE"/>
        </w:rPr>
        <w:t xml:space="preserve">oute personne ayant décidé d’acquérir, d’accroître, de réduire ou de céder une participation qualifiée directe ou indirecte dans un organisme financier relevant des compétences de contrôle </w:t>
      </w:r>
      <w:r w:rsidR="00AD7B1C" w:rsidRPr="004D368F">
        <w:rPr>
          <w:rFonts w:cs="Arial"/>
          <w:i/>
          <w:iCs/>
          <w:sz w:val="22"/>
          <w:szCs w:val="22"/>
          <w:lang w:val="fr-BE" w:eastAsia="nl-BE"/>
        </w:rPr>
        <w:t>prudentiel</w:t>
      </w:r>
      <w:r w:rsidR="00C004A7" w:rsidRPr="004D368F">
        <w:rPr>
          <w:rFonts w:cs="Arial"/>
          <w:i/>
          <w:iCs/>
          <w:sz w:val="22"/>
          <w:szCs w:val="22"/>
          <w:lang w:val="fr-BE" w:eastAsia="nl-BE"/>
        </w:rPr>
        <w:t xml:space="preserve"> de </w:t>
      </w:r>
      <w:r w:rsidR="00353A88" w:rsidRPr="004D368F">
        <w:rPr>
          <w:rFonts w:cs="Arial"/>
          <w:i/>
          <w:iCs/>
          <w:sz w:val="22"/>
          <w:szCs w:val="22"/>
          <w:lang w:val="fr-BE" w:eastAsia="nl-BE"/>
        </w:rPr>
        <w:t>l’autorité compétente</w:t>
      </w:r>
      <w:r w:rsidR="00C004A7" w:rsidRPr="004D368F">
        <w:rPr>
          <w:rFonts w:cs="Arial"/>
          <w:i/>
          <w:iCs/>
          <w:sz w:val="22"/>
          <w:szCs w:val="22"/>
          <w:lang w:val="fr-BE" w:eastAsia="nl-BE"/>
        </w:rPr>
        <w:t xml:space="preserve"> nationale de Belgique (</w:t>
      </w:r>
      <w:r w:rsidR="00353A88" w:rsidRPr="004D368F">
        <w:rPr>
          <w:rFonts w:cs="Arial"/>
          <w:i/>
          <w:iCs/>
          <w:sz w:val="22"/>
          <w:szCs w:val="22"/>
          <w:lang w:val="fr-BE" w:eastAsia="nl-BE"/>
        </w:rPr>
        <w:t>l’autorité compétente</w:t>
      </w:r>
      <w:r w:rsidR="00C004A7" w:rsidRPr="004D368F">
        <w:rPr>
          <w:rFonts w:cs="Arial"/>
          <w:i/>
          <w:iCs/>
          <w:sz w:val="22"/>
          <w:szCs w:val="22"/>
          <w:lang w:val="fr-BE" w:eastAsia="nl-BE"/>
        </w:rPr>
        <w:t xml:space="preserve">) </w:t>
      </w:r>
      <w:r w:rsidR="003F5E55" w:rsidRPr="004D368F">
        <w:rPr>
          <w:rFonts w:cs="Arial"/>
          <w:i/>
          <w:iCs/>
          <w:sz w:val="22"/>
          <w:szCs w:val="22"/>
          <w:lang w:val="fr-BE" w:eastAsia="nl-BE"/>
        </w:rPr>
        <w:t xml:space="preserve">y trouvera </w:t>
      </w:r>
      <w:r w:rsidR="00C004A7" w:rsidRPr="004D368F">
        <w:rPr>
          <w:rFonts w:cs="Arial"/>
          <w:i/>
          <w:iCs/>
          <w:sz w:val="22"/>
          <w:szCs w:val="22"/>
          <w:lang w:val="fr-BE" w:eastAsia="nl-BE"/>
        </w:rPr>
        <w:t xml:space="preserve">les informations nécessaires pour </w:t>
      </w:r>
      <w:r w:rsidR="003F5E55" w:rsidRPr="004D368F">
        <w:rPr>
          <w:rFonts w:cs="Arial"/>
          <w:i/>
          <w:iCs/>
          <w:sz w:val="22"/>
          <w:szCs w:val="22"/>
          <w:lang w:val="fr-BE" w:eastAsia="nl-BE"/>
        </w:rPr>
        <w:t xml:space="preserve">lui permettre de transmettre son projet à l’autorité de contrôle.  </w:t>
      </w:r>
    </w:p>
    <w:p w14:paraId="640BEE02" w14:textId="77777777" w:rsidR="003F5E55" w:rsidRPr="004D368F" w:rsidRDefault="003F5E55" w:rsidP="00BE3219">
      <w:pPr>
        <w:tabs>
          <w:tab w:val="clear" w:pos="284"/>
        </w:tabs>
        <w:autoSpaceDE w:val="0"/>
        <w:autoSpaceDN w:val="0"/>
        <w:adjustRightInd w:val="0"/>
        <w:spacing w:line="240" w:lineRule="auto"/>
        <w:jc w:val="both"/>
        <w:rPr>
          <w:rFonts w:cs="Arial"/>
          <w:i/>
          <w:iCs/>
          <w:sz w:val="22"/>
          <w:szCs w:val="22"/>
          <w:lang w:val="fr-BE" w:eastAsia="nl-BE"/>
        </w:rPr>
      </w:pPr>
    </w:p>
    <w:p w14:paraId="38B6BC43" w14:textId="77777777" w:rsidR="00C004A7" w:rsidRPr="004D368F" w:rsidRDefault="003F5E55" w:rsidP="00BE3219">
      <w:pPr>
        <w:tabs>
          <w:tab w:val="clear" w:pos="284"/>
        </w:tabs>
        <w:autoSpaceDE w:val="0"/>
        <w:autoSpaceDN w:val="0"/>
        <w:adjustRightInd w:val="0"/>
        <w:spacing w:line="240" w:lineRule="auto"/>
        <w:jc w:val="both"/>
        <w:rPr>
          <w:rFonts w:cs="Arial"/>
          <w:i/>
          <w:iCs/>
          <w:sz w:val="22"/>
          <w:szCs w:val="22"/>
          <w:lang w:val="fr-BE" w:eastAsia="nl-BE"/>
        </w:rPr>
      </w:pPr>
      <w:r w:rsidRPr="004D368F">
        <w:rPr>
          <w:rFonts w:cs="Arial"/>
          <w:i/>
          <w:iCs/>
          <w:sz w:val="22"/>
          <w:szCs w:val="22"/>
          <w:lang w:val="fr-BE" w:eastAsia="nl-BE"/>
        </w:rPr>
        <w:t xml:space="preserve">La présente communication clarifie également </w:t>
      </w:r>
      <w:r w:rsidR="004F43C8" w:rsidRPr="004D368F">
        <w:rPr>
          <w:rFonts w:cs="Arial"/>
          <w:i/>
          <w:iCs/>
          <w:sz w:val="22"/>
          <w:szCs w:val="22"/>
          <w:lang w:val="fr-BE" w:eastAsia="nl-BE"/>
        </w:rPr>
        <w:t xml:space="preserve">les règles de procédure et les critères d’évaluation que </w:t>
      </w:r>
      <w:r w:rsidR="00353A88" w:rsidRPr="004D368F">
        <w:rPr>
          <w:rFonts w:cs="Arial"/>
          <w:i/>
          <w:iCs/>
          <w:sz w:val="22"/>
          <w:szCs w:val="22"/>
          <w:lang w:val="fr-BE" w:eastAsia="nl-BE"/>
        </w:rPr>
        <w:t>l’autorité compétente</w:t>
      </w:r>
      <w:r w:rsidR="004F43C8" w:rsidRPr="004D368F">
        <w:rPr>
          <w:rFonts w:cs="Arial"/>
          <w:i/>
          <w:iCs/>
          <w:sz w:val="22"/>
          <w:szCs w:val="22"/>
          <w:lang w:val="fr-BE" w:eastAsia="nl-BE"/>
        </w:rPr>
        <w:t xml:space="preserve"> applique aux fins de l’évaluation prudentielle des </w:t>
      </w:r>
      <w:r w:rsidR="00AD7B1C" w:rsidRPr="004D368F">
        <w:rPr>
          <w:rFonts w:cs="Arial"/>
          <w:i/>
          <w:iCs/>
          <w:sz w:val="22"/>
          <w:szCs w:val="22"/>
          <w:lang w:val="fr-BE" w:eastAsia="nl-BE"/>
        </w:rPr>
        <w:t>opérations</w:t>
      </w:r>
      <w:r w:rsidR="004F43C8" w:rsidRPr="004D368F">
        <w:rPr>
          <w:rFonts w:cs="Arial"/>
          <w:i/>
          <w:iCs/>
          <w:sz w:val="22"/>
          <w:szCs w:val="22"/>
          <w:lang w:val="fr-BE" w:eastAsia="nl-BE"/>
        </w:rPr>
        <w:t xml:space="preserve"> précitées. </w:t>
      </w:r>
    </w:p>
    <w:p w14:paraId="556121A4" w14:textId="77777777" w:rsidR="005E4198" w:rsidRPr="004D368F" w:rsidRDefault="005E4198" w:rsidP="00BE3219">
      <w:pPr>
        <w:pStyle w:val="Sous-titreOndertitel"/>
        <w:jc w:val="both"/>
        <w:rPr>
          <w:rFonts w:cs="Arial"/>
          <w:iCs/>
          <w:u w:val="none"/>
          <w:lang w:val="fr-BE" w:eastAsia="nl-BE"/>
        </w:rPr>
      </w:pPr>
    </w:p>
    <w:p w14:paraId="0A547F7A" w14:textId="77777777" w:rsidR="0036635F" w:rsidRPr="004D368F" w:rsidRDefault="0036635F" w:rsidP="00BE3219">
      <w:pPr>
        <w:tabs>
          <w:tab w:val="clear" w:pos="284"/>
        </w:tabs>
        <w:autoSpaceDE w:val="0"/>
        <w:autoSpaceDN w:val="0"/>
        <w:adjustRightInd w:val="0"/>
        <w:spacing w:line="240" w:lineRule="auto"/>
        <w:jc w:val="both"/>
        <w:rPr>
          <w:rFonts w:cs="Arial"/>
          <w:i/>
          <w:iCs/>
          <w:sz w:val="22"/>
          <w:szCs w:val="22"/>
          <w:u w:val="single"/>
          <w:lang w:val="fr-BE" w:eastAsia="nl-BE"/>
        </w:rPr>
      </w:pPr>
      <w:r w:rsidRPr="004D368F">
        <w:rPr>
          <w:rFonts w:cs="Arial"/>
          <w:i/>
          <w:iCs/>
          <w:sz w:val="22"/>
          <w:szCs w:val="22"/>
          <w:u w:val="single"/>
          <w:lang w:val="fr-BE" w:eastAsia="nl-BE"/>
        </w:rPr>
        <w:t>Références juridiques</w:t>
      </w:r>
    </w:p>
    <w:p w14:paraId="66AB1833" w14:textId="77777777" w:rsidR="0036635F" w:rsidRPr="004D368F" w:rsidRDefault="0036635F" w:rsidP="004D368F">
      <w:pPr>
        <w:pStyle w:val="ListParagraph"/>
        <w:numPr>
          <w:ilvl w:val="0"/>
          <w:numId w:val="33"/>
        </w:numPr>
        <w:tabs>
          <w:tab w:val="clear" w:pos="284"/>
        </w:tabs>
        <w:autoSpaceDE w:val="0"/>
        <w:autoSpaceDN w:val="0"/>
        <w:adjustRightInd w:val="0"/>
        <w:spacing w:before="120" w:line="240" w:lineRule="auto"/>
        <w:ind w:left="357" w:hanging="357"/>
        <w:contextualSpacing w:val="0"/>
        <w:jc w:val="both"/>
        <w:rPr>
          <w:rFonts w:cs="Arial"/>
          <w:i/>
          <w:iCs/>
          <w:sz w:val="22"/>
          <w:szCs w:val="22"/>
          <w:lang w:val="fr-BE" w:eastAsia="nl-BE"/>
        </w:rPr>
      </w:pPr>
      <w:r w:rsidRPr="004D368F">
        <w:rPr>
          <w:rFonts w:cs="Arial"/>
          <w:i/>
          <w:iCs/>
          <w:sz w:val="22"/>
          <w:szCs w:val="22"/>
          <w:lang w:val="fr-BE" w:eastAsia="nl-BE"/>
        </w:rPr>
        <w:t>Loi du 13 mars 2016 relative au statut et au contrôle des entreprises d'assurance ou de réassurance</w:t>
      </w:r>
      <w:r w:rsidR="00911629" w:rsidRPr="004D368F">
        <w:rPr>
          <w:rFonts w:cs="Arial"/>
          <w:i/>
          <w:iCs/>
          <w:sz w:val="22"/>
          <w:szCs w:val="22"/>
          <w:lang w:val="fr-BE" w:eastAsia="nl-BE"/>
        </w:rPr>
        <w:t> :</w:t>
      </w:r>
      <w:r w:rsidRPr="004D368F">
        <w:rPr>
          <w:rFonts w:cs="Arial"/>
          <w:i/>
          <w:iCs/>
          <w:sz w:val="22"/>
          <w:szCs w:val="22"/>
          <w:lang w:val="fr-BE" w:eastAsia="nl-BE"/>
        </w:rPr>
        <w:t xml:space="preserve"> articles </w:t>
      </w:r>
      <w:r w:rsidR="009940DB" w:rsidRPr="004D368F">
        <w:rPr>
          <w:rFonts w:cs="Arial"/>
          <w:i/>
          <w:iCs/>
          <w:sz w:val="22"/>
          <w:szCs w:val="22"/>
          <w:lang w:val="fr-BE" w:eastAsia="nl-BE"/>
        </w:rPr>
        <w:t>64 à 73 (entreprises d’assurance ou de réassurance) et 443 (sociétés holdings d’assurance et compagnies financières mixtes</w:t>
      </w:r>
      <w:r w:rsidR="00DD048B" w:rsidRPr="004D368F">
        <w:rPr>
          <w:rFonts w:cs="Arial"/>
          <w:i/>
          <w:iCs/>
          <w:sz w:val="22"/>
          <w:szCs w:val="22"/>
          <w:lang w:val="fr-BE" w:eastAsia="nl-BE"/>
        </w:rPr>
        <w:t xml:space="preserve"> incluses dans un groupe d’assurance</w:t>
      </w:r>
      <w:r w:rsidR="009940DB" w:rsidRPr="004D368F">
        <w:rPr>
          <w:rFonts w:cs="Arial"/>
          <w:i/>
          <w:iCs/>
          <w:sz w:val="22"/>
          <w:szCs w:val="22"/>
          <w:lang w:val="fr-BE" w:eastAsia="nl-BE"/>
        </w:rPr>
        <w:t xml:space="preserve">) </w:t>
      </w:r>
      <w:r w:rsidRPr="004D368F">
        <w:rPr>
          <w:rFonts w:cs="Arial"/>
          <w:i/>
          <w:iCs/>
          <w:sz w:val="22"/>
          <w:szCs w:val="22"/>
          <w:lang w:val="fr-BE" w:eastAsia="nl-BE"/>
        </w:rPr>
        <w:t>;</w:t>
      </w:r>
      <w:r w:rsidR="003F5E55" w:rsidRPr="004D368F">
        <w:rPr>
          <w:rFonts w:cs="Arial"/>
          <w:i/>
          <w:iCs/>
          <w:sz w:val="22"/>
          <w:szCs w:val="22"/>
          <w:lang w:val="fr-BE" w:eastAsia="nl-BE"/>
        </w:rPr>
        <w:t xml:space="preserve"> et</w:t>
      </w:r>
    </w:p>
    <w:p w14:paraId="4CCC5529" w14:textId="77777777" w:rsidR="0036635F" w:rsidRPr="004D368F" w:rsidRDefault="0036635F" w:rsidP="00BE3219">
      <w:pPr>
        <w:pStyle w:val="ListParagraph"/>
        <w:numPr>
          <w:ilvl w:val="0"/>
          <w:numId w:val="33"/>
        </w:numPr>
        <w:tabs>
          <w:tab w:val="clear" w:pos="284"/>
        </w:tabs>
        <w:autoSpaceDE w:val="0"/>
        <w:autoSpaceDN w:val="0"/>
        <w:adjustRightInd w:val="0"/>
        <w:spacing w:line="240" w:lineRule="auto"/>
        <w:jc w:val="both"/>
        <w:rPr>
          <w:rFonts w:cs="Arial"/>
          <w:i/>
          <w:iCs/>
          <w:sz w:val="22"/>
          <w:szCs w:val="22"/>
          <w:lang w:val="fr-BE" w:eastAsia="nl-BE"/>
        </w:rPr>
      </w:pPr>
      <w:r w:rsidRPr="004D368F">
        <w:rPr>
          <w:rFonts w:cs="Arial"/>
          <w:i/>
          <w:iCs/>
          <w:sz w:val="22"/>
          <w:szCs w:val="22"/>
          <w:lang w:val="fr-BE" w:eastAsia="nl-BE"/>
        </w:rPr>
        <w:t xml:space="preserve">Loi </w:t>
      </w:r>
      <w:r w:rsidR="00911629" w:rsidRPr="004D368F">
        <w:rPr>
          <w:rFonts w:cs="Arial"/>
          <w:i/>
          <w:iCs/>
          <w:sz w:val="22"/>
          <w:szCs w:val="22"/>
          <w:lang w:val="fr-BE" w:eastAsia="nl-BE"/>
        </w:rPr>
        <w:t>du 25 avril 2014 relative au statut et au contrôle des établissements de crédit et des sociétés de bourse : articles 46 à 54 (établissements de crédit), 212 (compagnies financières et compagnies financières mixtes</w:t>
      </w:r>
      <w:r w:rsidR="00DD048B" w:rsidRPr="004D368F">
        <w:rPr>
          <w:rFonts w:cs="Arial"/>
          <w:i/>
          <w:iCs/>
          <w:sz w:val="22"/>
          <w:szCs w:val="22"/>
          <w:lang w:val="fr-BE" w:eastAsia="nl-BE"/>
        </w:rPr>
        <w:t xml:space="preserve"> incluses dans un groupe bancaire</w:t>
      </w:r>
      <w:r w:rsidR="00911629" w:rsidRPr="004D368F">
        <w:rPr>
          <w:rFonts w:cs="Arial"/>
          <w:i/>
          <w:iCs/>
          <w:sz w:val="22"/>
          <w:szCs w:val="22"/>
          <w:lang w:val="fr-BE" w:eastAsia="nl-BE"/>
        </w:rPr>
        <w:t>) et 514 à 518 (sociétés de bourse)</w:t>
      </w:r>
      <w:r w:rsidR="003F5E55" w:rsidRPr="004D368F">
        <w:rPr>
          <w:rFonts w:cs="Arial"/>
          <w:i/>
          <w:iCs/>
          <w:sz w:val="22"/>
          <w:szCs w:val="22"/>
          <w:lang w:val="fr-BE" w:eastAsia="nl-BE"/>
        </w:rPr>
        <w:t>.</w:t>
      </w:r>
    </w:p>
    <w:p w14:paraId="55EBF0AB" w14:textId="77777777" w:rsidR="0036635F" w:rsidRPr="004D368F" w:rsidRDefault="0036635F" w:rsidP="00BE3219">
      <w:pPr>
        <w:pStyle w:val="Sous-titreOndertitel"/>
        <w:jc w:val="both"/>
        <w:rPr>
          <w:rFonts w:cs="Arial"/>
          <w:iCs/>
          <w:u w:val="none"/>
          <w:lang w:val="fr-BE" w:eastAsia="nl-BE"/>
        </w:rPr>
      </w:pPr>
    </w:p>
    <w:p w14:paraId="577CA3BD" w14:textId="77777777" w:rsidR="00850941" w:rsidRPr="004D368F" w:rsidRDefault="00850941" w:rsidP="00BE3219">
      <w:pPr>
        <w:pStyle w:val="Sous-titreOndertitel"/>
        <w:jc w:val="both"/>
        <w:rPr>
          <w:lang w:val="fr-BE"/>
        </w:rPr>
      </w:pPr>
      <w:r w:rsidRPr="004D368F">
        <w:rPr>
          <w:lang w:val="fr-BE"/>
        </w:rPr>
        <w:t>Structure</w:t>
      </w:r>
    </w:p>
    <w:p w14:paraId="63A27EC5" w14:textId="77777777" w:rsidR="00C004A7" w:rsidRPr="004D368F" w:rsidRDefault="00C004A7" w:rsidP="004D368F">
      <w:pPr>
        <w:tabs>
          <w:tab w:val="clear" w:pos="284"/>
          <w:tab w:val="left" w:pos="426"/>
        </w:tabs>
        <w:autoSpaceDE w:val="0"/>
        <w:autoSpaceDN w:val="0"/>
        <w:adjustRightInd w:val="0"/>
        <w:spacing w:before="120" w:line="240" w:lineRule="auto"/>
        <w:ind w:left="567" w:hanging="567"/>
        <w:jc w:val="both"/>
        <w:rPr>
          <w:rFonts w:cs="Arial"/>
          <w:i/>
          <w:iCs/>
          <w:sz w:val="22"/>
          <w:szCs w:val="22"/>
          <w:lang w:val="fr-BE" w:eastAsia="nl-BE"/>
        </w:rPr>
      </w:pPr>
      <w:r w:rsidRPr="004D368F">
        <w:rPr>
          <w:rFonts w:cs="Arial"/>
          <w:i/>
          <w:iCs/>
          <w:sz w:val="22"/>
          <w:szCs w:val="22"/>
          <w:lang w:val="fr-BE" w:eastAsia="nl-BE"/>
        </w:rPr>
        <w:t>1.</w:t>
      </w:r>
      <w:r w:rsidR="004D368F">
        <w:rPr>
          <w:rFonts w:cs="Arial"/>
          <w:i/>
          <w:iCs/>
          <w:sz w:val="22"/>
          <w:szCs w:val="22"/>
          <w:lang w:val="fr-BE" w:eastAsia="nl-BE"/>
        </w:rPr>
        <w:tab/>
      </w:r>
      <w:r w:rsidRPr="004D368F">
        <w:rPr>
          <w:rFonts w:cs="Arial"/>
          <w:i/>
          <w:iCs/>
          <w:sz w:val="22"/>
          <w:szCs w:val="22"/>
          <w:lang w:val="fr-BE" w:eastAsia="nl-BE"/>
        </w:rPr>
        <w:t>Contexte</w:t>
      </w:r>
    </w:p>
    <w:p w14:paraId="6BE64818" w14:textId="77777777" w:rsidR="00760B7B" w:rsidRPr="004D368F" w:rsidRDefault="004D368F" w:rsidP="004D368F">
      <w:pPr>
        <w:tabs>
          <w:tab w:val="clear" w:pos="284"/>
          <w:tab w:val="left" w:pos="426"/>
        </w:tabs>
        <w:spacing w:before="60"/>
        <w:ind w:left="567" w:hanging="567"/>
        <w:jc w:val="both"/>
        <w:rPr>
          <w:rFonts w:cs="Arial"/>
          <w:i/>
          <w:iCs/>
          <w:sz w:val="22"/>
          <w:szCs w:val="22"/>
          <w:lang w:val="fr-BE" w:eastAsia="nl-BE"/>
        </w:rPr>
      </w:pPr>
      <w:r>
        <w:rPr>
          <w:rFonts w:cs="Arial"/>
          <w:i/>
          <w:iCs/>
          <w:sz w:val="22"/>
          <w:szCs w:val="22"/>
          <w:lang w:val="fr-BE" w:eastAsia="nl-BE"/>
        </w:rPr>
        <w:t>2.</w:t>
      </w:r>
      <w:r>
        <w:rPr>
          <w:rFonts w:cs="Arial"/>
          <w:i/>
          <w:iCs/>
          <w:sz w:val="22"/>
          <w:szCs w:val="22"/>
          <w:lang w:val="fr-BE" w:eastAsia="nl-BE"/>
        </w:rPr>
        <w:tab/>
      </w:r>
      <w:r w:rsidR="00760B7B" w:rsidRPr="004D368F">
        <w:rPr>
          <w:rFonts w:cs="Arial"/>
          <w:i/>
          <w:iCs/>
          <w:sz w:val="22"/>
          <w:szCs w:val="22"/>
          <w:lang w:val="fr-BE" w:eastAsia="nl-BE"/>
        </w:rPr>
        <w:t>Définitions</w:t>
      </w:r>
    </w:p>
    <w:p w14:paraId="7C68BC92" w14:textId="77777777" w:rsidR="00760B7B" w:rsidRPr="004D368F" w:rsidRDefault="004D368F" w:rsidP="004D368F">
      <w:pPr>
        <w:tabs>
          <w:tab w:val="clear" w:pos="284"/>
        </w:tabs>
        <w:spacing w:before="60"/>
        <w:ind w:left="426" w:hanging="426"/>
        <w:jc w:val="both"/>
        <w:rPr>
          <w:rFonts w:cs="Arial"/>
          <w:i/>
          <w:iCs/>
          <w:sz w:val="22"/>
          <w:szCs w:val="22"/>
          <w:lang w:val="fr-BE" w:eastAsia="nl-BE"/>
        </w:rPr>
      </w:pPr>
      <w:r>
        <w:rPr>
          <w:rFonts w:cs="Arial"/>
          <w:i/>
          <w:iCs/>
          <w:sz w:val="22"/>
          <w:szCs w:val="22"/>
          <w:lang w:val="fr-BE" w:eastAsia="nl-BE"/>
        </w:rPr>
        <w:t>3.</w:t>
      </w:r>
      <w:r>
        <w:rPr>
          <w:rFonts w:cs="Arial"/>
          <w:i/>
          <w:iCs/>
          <w:sz w:val="22"/>
          <w:szCs w:val="22"/>
          <w:lang w:val="fr-BE" w:eastAsia="nl-BE"/>
        </w:rPr>
        <w:tab/>
      </w:r>
      <w:r w:rsidR="00760B7B" w:rsidRPr="004D368F">
        <w:rPr>
          <w:rFonts w:cs="Arial"/>
          <w:i/>
          <w:iCs/>
          <w:sz w:val="22"/>
          <w:szCs w:val="22"/>
          <w:lang w:val="fr-BE" w:eastAsia="nl-BE"/>
        </w:rPr>
        <w:t>Situations où une décision d’acquisition ou de cession doit être notifiée à l’autorité compétente</w:t>
      </w:r>
    </w:p>
    <w:p w14:paraId="591736FB" w14:textId="77777777" w:rsidR="00760B7B" w:rsidRPr="004D368F" w:rsidRDefault="00760B7B" w:rsidP="004D368F">
      <w:pPr>
        <w:tabs>
          <w:tab w:val="clear" w:pos="284"/>
          <w:tab w:val="left" w:pos="426"/>
        </w:tabs>
        <w:spacing w:before="60"/>
        <w:ind w:left="567" w:hanging="567"/>
        <w:jc w:val="both"/>
        <w:rPr>
          <w:rFonts w:cs="Arial"/>
          <w:i/>
          <w:iCs/>
          <w:sz w:val="22"/>
          <w:szCs w:val="22"/>
          <w:lang w:val="fr-BE" w:eastAsia="nl-BE"/>
        </w:rPr>
      </w:pPr>
      <w:r w:rsidRPr="004D368F">
        <w:rPr>
          <w:rFonts w:cs="Arial"/>
          <w:i/>
          <w:iCs/>
          <w:sz w:val="22"/>
          <w:szCs w:val="22"/>
          <w:lang w:val="fr-BE" w:eastAsia="nl-BE"/>
        </w:rPr>
        <w:t>4.</w:t>
      </w:r>
      <w:r w:rsidR="004D368F">
        <w:rPr>
          <w:rFonts w:cs="Arial"/>
          <w:i/>
          <w:iCs/>
          <w:sz w:val="22"/>
          <w:szCs w:val="22"/>
          <w:lang w:val="fr-BE" w:eastAsia="nl-BE"/>
        </w:rPr>
        <w:tab/>
      </w:r>
      <w:r w:rsidRPr="004D368F">
        <w:rPr>
          <w:rFonts w:cs="Arial"/>
          <w:i/>
          <w:iCs/>
          <w:sz w:val="22"/>
          <w:szCs w:val="22"/>
          <w:lang w:val="fr-BE" w:eastAsia="nl-BE"/>
        </w:rPr>
        <w:t>Formalités à accomplir par le candidat acquéreur ou cédant</w:t>
      </w:r>
    </w:p>
    <w:p w14:paraId="6AA52475" w14:textId="77777777" w:rsidR="00760B7B" w:rsidRPr="004D368F" w:rsidRDefault="00760B7B" w:rsidP="004D368F">
      <w:pPr>
        <w:tabs>
          <w:tab w:val="clear" w:pos="284"/>
          <w:tab w:val="left" w:pos="426"/>
        </w:tabs>
        <w:spacing w:before="60"/>
        <w:ind w:left="567" w:hanging="567"/>
        <w:jc w:val="both"/>
        <w:rPr>
          <w:rFonts w:cs="Arial"/>
          <w:i/>
          <w:iCs/>
          <w:sz w:val="22"/>
          <w:szCs w:val="22"/>
          <w:lang w:val="fr-BE" w:eastAsia="nl-BE"/>
        </w:rPr>
      </w:pPr>
      <w:r w:rsidRPr="004D368F">
        <w:rPr>
          <w:rFonts w:cs="Arial"/>
          <w:i/>
          <w:iCs/>
          <w:sz w:val="22"/>
          <w:szCs w:val="22"/>
          <w:lang w:val="fr-BE" w:eastAsia="nl-BE"/>
        </w:rPr>
        <w:t>5.</w:t>
      </w:r>
      <w:r w:rsidR="004D368F">
        <w:rPr>
          <w:rFonts w:cs="Arial"/>
          <w:i/>
          <w:iCs/>
          <w:sz w:val="22"/>
          <w:szCs w:val="22"/>
          <w:lang w:val="fr-BE" w:eastAsia="nl-BE"/>
        </w:rPr>
        <w:tab/>
      </w:r>
      <w:r w:rsidR="009F0E2E" w:rsidRPr="004D368F">
        <w:rPr>
          <w:rFonts w:cs="Arial"/>
          <w:i/>
          <w:iCs/>
          <w:sz w:val="22"/>
          <w:szCs w:val="22"/>
          <w:lang w:val="fr-BE" w:eastAsia="nl-BE"/>
        </w:rPr>
        <w:t xml:space="preserve">Evaluation par l’autorité de contrôle </w:t>
      </w:r>
    </w:p>
    <w:p w14:paraId="5C747E36" w14:textId="77777777" w:rsidR="00760B7B" w:rsidRPr="004D368F" w:rsidRDefault="002C2641" w:rsidP="004D368F">
      <w:pPr>
        <w:tabs>
          <w:tab w:val="clear" w:pos="284"/>
          <w:tab w:val="left" w:pos="426"/>
        </w:tabs>
        <w:spacing w:before="60"/>
        <w:ind w:left="567" w:hanging="567"/>
        <w:jc w:val="both"/>
        <w:rPr>
          <w:rFonts w:cs="Arial"/>
          <w:i/>
          <w:iCs/>
          <w:sz w:val="22"/>
          <w:szCs w:val="22"/>
          <w:lang w:val="fr-BE" w:eastAsia="nl-BE"/>
        </w:rPr>
      </w:pPr>
      <w:r w:rsidRPr="004D368F">
        <w:rPr>
          <w:rFonts w:cs="Arial"/>
          <w:i/>
          <w:iCs/>
          <w:sz w:val="22"/>
          <w:szCs w:val="22"/>
          <w:lang w:val="fr-BE" w:eastAsia="nl-BE"/>
        </w:rPr>
        <w:t>6</w:t>
      </w:r>
      <w:r w:rsidR="00760B7B" w:rsidRPr="004D368F">
        <w:rPr>
          <w:rFonts w:cs="Arial"/>
          <w:i/>
          <w:iCs/>
          <w:sz w:val="22"/>
          <w:szCs w:val="22"/>
          <w:lang w:val="fr-BE" w:eastAsia="nl-BE"/>
        </w:rPr>
        <w:t>.</w:t>
      </w:r>
      <w:r w:rsidR="004D368F">
        <w:rPr>
          <w:rFonts w:cs="Arial"/>
          <w:i/>
          <w:iCs/>
          <w:sz w:val="22"/>
          <w:szCs w:val="22"/>
          <w:lang w:val="fr-BE" w:eastAsia="nl-BE"/>
        </w:rPr>
        <w:tab/>
      </w:r>
      <w:r w:rsidR="00760B7B" w:rsidRPr="004D368F">
        <w:rPr>
          <w:rFonts w:cs="Arial"/>
          <w:i/>
          <w:iCs/>
          <w:sz w:val="22"/>
          <w:szCs w:val="22"/>
          <w:lang w:val="fr-BE" w:eastAsia="nl-BE"/>
        </w:rPr>
        <w:t>Pouvoir de contrôle de l’autorité compétente sur base continue</w:t>
      </w:r>
    </w:p>
    <w:p w14:paraId="7C1AB20F" w14:textId="77777777" w:rsidR="00850941" w:rsidRPr="004D368F" w:rsidRDefault="002C2641" w:rsidP="004D368F">
      <w:pPr>
        <w:tabs>
          <w:tab w:val="clear" w:pos="284"/>
          <w:tab w:val="left" w:pos="426"/>
        </w:tabs>
        <w:spacing w:before="60"/>
        <w:ind w:left="567" w:hanging="567"/>
        <w:jc w:val="both"/>
        <w:rPr>
          <w:rFonts w:cs="Arial"/>
          <w:i/>
          <w:iCs/>
          <w:sz w:val="22"/>
          <w:szCs w:val="22"/>
          <w:lang w:val="fr-BE" w:eastAsia="nl-BE"/>
        </w:rPr>
      </w:pPr>
      <w:r w:rsidRPr="004D368F">
        <w:rPr>
          <w:rFonts w:cs="Arial"/>
          <w:i/>
          <w:iCs/>
          <w:sz w:val="22"/>
          <w:szCs w:val="22"/>
          <w:lang w:val="fr-BE" w:eastAsia="nl-BE"/>
        </w:rPr>
        <w:t>7</w:t>
      </w:r>
      <w:r w:rsidR="00C004A7" w:rsidRPr="004D368F">
        <w:rPr>
          <w:rFonts w:cs="Arial"/>
          <w:i/>
          <w:iCs/>
          <w:sz w:val="22"/>
          <w:szCs w:val="22"/>
          <w:lang w:val="fr-BE" w:eastAsia="nl-BE"/>
        </w:rPr>
        <w:t>.</w:t>
      </w:r>
      <w:r w:rsidR="004D368F">
        <w:rPr>
          <w:rFonts w:cs="Arial"/>
          <w:i/>
          <w:iCs/>
          <w:sz w:val="22"/>
          <w:szCs w:val="22"/>
          <w:lang w:val="fr-BE" w:eastAsia="nl-BE"/>
        </w:rPr>
        <w:tab/>
      </w:r>
      <w:r w:rsidR="00C004A7" w:rsidRPr="004D368F">
        <w:rPr>
          <w:rFonts w:cs="Arial"/>
          <w:i/>
          <w:iCs/>
          <w:sz w:val="22"/>
          <w:szCs w:val="22"/>
          <w:lang w:val="fr-BE" w:eastAsia="nl-BE"/>
        </w:rPr>
        <w:t>Entrée en vigueur</w:t>
      </w:r>
    </w:p>
    <w:p w14:paraId="272DDE7D" w14:textId="77777777" w:rsidR="00B614D1" w:rsidRPr="004D368F" w:rsidRDefault="00B614D1" w:rsidP="00BE3219">
      <w:pPr>
        <w:tabs>
          <w:tab w:val="clear" w:pos="284"/>
        </w:tabs>
        <w:spacing w:line="240" w:lineRule="auto"/>
        <w:jc w:val="both"/>
        <w:rPr>
          <w:sz w:val="22"/>
          <w:szCs w:val="22"/>
          <w:lang w:val="fr-BE"/>
        </w:rPr>
      </w:pPr>
    </w:p>
    <w:p w14:paraId="25BD30C3" w14:textId="77777777" w:rsidR="006458DE" w:rsidRPr="00AD7B1C" w:rsidRDefault="006458DE" w:rsidP="00BE3219">
      <w:pPr>
        <w:tabs>
          <w:tab w:val="clear" w:pos="284"/>
        </w:tabs>
        <w:spacing w:line="240" w:lineRule="auto"/>
        <w:jc w:val="both"/>
        <w:rPr>
          <w:lang w:val="fr-BE"/>
        </w:rPr>
      </w:pPr>
    </w:p>
    <w:p w14:paraId="66046A07" w14:textId="77777777" w:rsidR="00C004A7" w:rsidRDefault="00C004A7" w:rsidP="00BE3219">
      <w:pPr>
        <w:tabs>
          <w:tab w:val="clear" w:pos="284"/>
        </w:tabs>
        <w:spacing w:line="240" w:lineRule="auto"/>
        <w:jc w:val="both"/>
        <w:rPr>
          <w:lang w:val="fr-BE"/>
        </w:rPr>
      </w:pPr>
    </w:p>
    <w:p w14:paraId="5264696E" w14:textId="77777777" w:rsidR="00760B7B" w:rsidRPr="00AD7B1C" w:rsidRDefault="00760B7B" w:rsidP="00BE3219">
      <w:pPr>
        <w:tabs>
          <w:tab w:val="clear" w:pos="284"/>
        </w:tabs>
        <w:spacing w:line="240" w:lineRule="auto"/>
        <w:jc w:val="both"/>
        <w:rPr>
          <w:lang w:val="fr-BE"/>
        </w:rPr>
      </w:pPr>
    </w:p>
    <w:p w14:paraId="712D8776" w14:textId="77777777" w:rsidR="00BE3219" w:rsidRDefault="00BE3219">
      <w:pPr>
        <w:tabs>
          <w:tab w:val="clear" w:pos="284"/>
        </w:tabs>
        <w:spacing w:line="240" w:lineRule="auto"/>
        <w:rPr>
          <w:rFonts w:cs="Arial"/>
          <w:lang w:val="fr-BE" w:eastAsia="nl-BE"/>
        </w:rPr>
      </w:pPr>
      <w:r>
        <w:rPr>
          <w:rFonts w:cs="Arial"/>
          <w:lang w:val="fr-BE" w:eastAsia="nl-BE"/>
        </w:rPr>
        <w:br w:type="page"/>
      </w:r>
    </w:p>
    <w:p w14:paraId="7AB2A649"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lastRenderedPageBreak/>
        <w:t>Madame,</w:t>
      </w:r>
    </w:p>
    <w:p w14:paraId="32A2386E"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Monsieur,</w:t>
      </w:r>
    </w:p>
    <w:p w14:paraId="145B9BD2"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p>
    <w:p w14:paraId="1975822F" w14:textId="77777777" w:rsidR="00F06771" w:rsidRPr="00AD7B1C" w:rsidRDefault="00F06771"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Sur le plan prudentiel, il est essentiel que les personnes qui sont susceptibles d'exercer une influence sur la gestion des organismes financiers en raison des participations qu'ils détiennent directement ou indirectement dans leur capital présentent les qualités permettant de considérer qu'ils exerceront cette influence de manière à promouvoir une gestion saine et prudente de ces organismes.</w:t>
      </w:r>
    </w:p>
    <w:p w14:paraId="4C101612" w14:textId="77777777" w:rsidR="00F06771" w:rsidRPr="00AD7B1C" w:rsidRDefault="00F06771" w:rsidP="00BE3219">
      <w:pPr>
        <w:tabs>
          <w:tab w:val="clear" w:pos="284"/>
        </w:tabs>
        <w:autoSpaceDE w:val="0"/>
        <w:autoSpaceDN w:val="0"/>
        <w:adjustRightInd w:val="0"/>
        <w:spacing w:line="240" w:lineRule="auto"/>
        <w:jc w:val="both"/>
        <w:rPr>
          <w:rFonts w:cs="Arial"/>
          <w:lang w:val="fr-BE" w:eastAsia="nl-BE"/>
        </w:rPr>
      </w:pPr>
    </w:p>
    <w:p w14:paraId="202B97F1" w14:textId="77777777" w:rsidR="00F06771" w:rsidRPr="00AD7B1C" w:rsidRDefault="00F06771"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Outre que cette exigence prudentielle constitue une condition d'agrément, elle perdure ensuite, et se traduit notamment par la nécessité de procéder à l'évaluation prudentielle des qualités des personnes physiques ou morales qui ont décidé d'acquérir ou d'accroître significativement une participation dans le capital de ces organismes financiers. Cette évaluation prudentielle doit cependant être effectuée dans des conditions telles qu'elle ne constitue pas un obstacle disproportionné aux opérations d'acquisition dans le secteur financier.</w:t>
      </w:r>
    </w:p>
    <w:p w14:paraId="4370C581" w14:textId="77777777" w:rsidR="00F06771" w:rsidRPr="00AD7B1C" w:rsidRDefault="00F06771" w:rsidP="00BE3219">
      <w:pPr>
        <w:tabs>
          <w:tab w:val="clear" w:pos="284"/>
        </w:tabs>
        <w:autoSpaceDE w:val="0"/>
        <w:autoSpaceDN w:val="0"/>
        <w:adjustRightInd w:val="0"/>
        <w:spacing w:line="240" w:lineRule="auto"/>
        <w:jc w:val="both"/>
        <w:rPr>
          <w:rFonts w:cs="Arial"/>
          <w:lang w:val="fr-BE" w:eastAsia="nl-BE"/>
        </w:rPr>
      </w:pPr>
    </w:p>
    <w:p w14:paraId="5855AE3E"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La présente </w:t>
      </w:r>
      <w:r w:rsidR="00F06771" w:rsidRPr="00AD7B1C">
        <w:rPr>
          <w:rFonts w:cs="Arial"/>
          <w:lang w:val="fr-BE" w:eastAsia="nl-BE"/>
        </w:rPr>
        <w:t>communication</w:t>
      </w:r>
      <w:r w:rsidRPr="00AD7B1C">
        <w:rPr>
          <w:rFonts w:cs="Arial"/>
          <w:lang w:val="fr-BE" w:eastAsia="nl-BE"/>
        </w:rPr>
        <w:t xml:space="preserve"> transpose dans le cadre prudentiel belge les orientations </w:t>
      </w:r>
      <w:r w:rsidR="001E49AB" w:rsidRPr="00AD7B1C">
        <w:rPr>
          <w:rFonts w:cs="Arial"/>
          <w:lang w:val="fr-BE" w:eastAsia="nl-BE"/>
        </w:rPr>
        <w:t xml:space="preserve">communes </w:t>
      </w:r>
      <w:r w:rsidR="003F5E55">
        <w:rPr>
          <w:rFonts w:cs="Arial"/>
          <w:lang w:val="fr-BE" w:eastAsia="nl-BE"/>
        </w:rPr>
        <w:t>que les</w:t>
      </w:r>
      <w:r w:rsidR="003F5E55" w:rsidRPr="00AD7B1C">
        <w:rPr>
          <w:rFonts w:cs="Arial"/>
          <w:lang w:val="fr-BE" w:eastAsia="nl-BE"/>
        </w:rPr>
        <w:t xml:space="preserve"> </w:t>
      </w:r>
      <w:r w:rsidR="001E49AB" w:rsidRPr="00AD7B1C">
        <w:rPr>
          <w:rFonts w:cs="Arial"/>
          <w:lang w:val="fr-BE" w:eastAsia="nl-BE"/>
        </w:rPr>
        <w:t>autorités européennes de surveillance</w:t>
      </w:r>
      <w:r w:rsidR="00CC4596" w:rsidRPr="00AD7B1C">
        <w:rPr>
          <w:rFonts w:cs="Arial"/>
          <w:lang w:val="fr-BE" w:eastAsia="nl-BE"/>
        </w:rPr>
        <w:t xml:space="preserve"> ou</w:t>
      </w:r>
      <w:r w:rsidR="001E49AB" w:rsidRPr="00AD7B1C">
        <w:rPr>
          <w:rFonts w:cs="Arial"/>
          <w:lang w:val="fr-BE" w:eastAsia="nl-BE"/>
        </w:rPr>
        <w:t xml:space="preserve"> “AES” </w:t>
      </w:r>
      <w:r w:rsidR="00CC4596" w:rsidRPr="00AD7B1C">
        <w:rPr>
          <w:rFonts w:cs="Arial"/>
          <w:lang w:val="fr-BE" w:eastAsia="nl-BE"/>
        </w:rPr>
        <w:t>(</w:t>
      </w:r>
      <w:r w:rsidR="001E49AB" w:rsidRPr="00AD7B1C">
        <w:rPr>
          <w:rFonts w:cs="Arial"/>
          <w:lang w:val="fr-BE" w:eastAsia="nl-BE"/>
        </w:rPr>
        <w:t xml:space="preserve">c’est-à-dire l’Autorité bancaire européenne, l’Autorité européenne des assurances et des pensions professionnelles et l’Autorité européenne des marches </w:t>
      </w:r>
      <w:proofErr w:type="gramStart"/>
      <w:r w:rsidR="001E49AB" w:rsidRPr="00AD7B1C">
        <w:rPr>
          <w:rFonts w:cs="Arial"/>
          <w:lang w:val="fr-BE" w:eastAsia="nl-BE"/>
        </w:rPr>
        <w:t>financiers )</w:t>
      </w:r>
      <w:proofErr w:type="gramEnd"/>
      <w:r w:rsidR="001E49AB" w:rsidRPr="00AD7B1C">
        <w:rPr>
          <w:rFonts w:cs="Arial"/>
          <w:lang w:val="fr-BE" w:eastAsia="nl-BE"/>
        </w:rPr>
        <w:t xml:space="preserve"> </w:t>
      </w:r>
      <w:r w:rsidR="003F5E55">
        <w:rPr>
          <w:rFonts w:cs="Arial"/>
          <w:lang w:val="fr-BE" w:eastAsia="nl-BE"/>
        </w:rPr>
        <w:t xml:space="preserve">ont publié le </w:t>
      </w:r>
      <w:r w:rsidR="003F5E55" w:rsidRPr="00AD7B1C">
        <w:rPr>
          <w:rFonts w:cs="Arial"/>
          <w:lang w:val="fr-BE" w:eastAsia="nl-BE"/>
        </w:rPr>
        <w:t xml:space="preserve"> </w:t>
      </w:r>
      <w:r w:rsidR="001E49AB" w:rsidRPr="00AD7B1C">
        <w:rPr>
          <w:rFonts w:cs="Arial"/>
          <w:lang w:val="fr-BE" w:eastAsia="nl-BE"/>
        </w:rPr>
        <w:t xml:space="preserve">5 mai 2017 </w:t>
      </w:r>
      <w:r w:rsidR="003F5E55">
        <w:rPr>
          <w:rFonts w:cs="Arial"/>
          <w:lang w:val="fr-BE" w:eastAsia="nl-BE"/>
        </w:rPr>
        <w:t>au sujet de</w:t>
      </w:r>
      <w:r w:rsidR="001E49AB" w:rsidRPr="00AD7B1C">
        <w:rPr>
          <w:rFonts w:cs="Arial"/>
          <w:lang w:val="fr-BE" w:eastAsia="nl-BE"/>
        </w:rPr>
        <w:t xml:space="preserve"> l’évaluation prudentielle des acquisitions et des augmentations de participations </w:t>
      </w:r>
      <w:r w:rsidR="00AD7B1C" w:rsidRPr="00AD7B1C">
        <w:rPr>
          <w:rFonts w:cs="Arial"/>
          <w:lang w:val="fr-BE" w:eastAsia="nl-BE"/>
        </w:rPr>
        <w:t>qualifiées</w:t>
      </w:r>
      <w:r w:rsidR="001E49AB" w:rsidRPr="00AD7B1C">
        <w:rPr>
          <w:rFonts w:cs="Arial"/>
          <w:lang w:val="fr-BE" w:eastAsia="nl-BE"/>
        </w:rPr>
        <w:t xml:space="preserve"> dans des entités du secteur financier</w:t>
      </w:r>
      <w:r w:rsidR="004F43C8" w:rsidRPr="00AD7B1C">
        <w:rPr>
          <w:rFonts w:cs="Arial"/>
          <w:lang w:val="fr-BE" w:eastAsia="nl-BE"/>
        </w:rPr>
        <w:t xml:space="preserve">.  </w:t>
      </w:r>
      <w:r w:rsidRPr="00AD7B1C">
        <w:rPr>
          <w:rFonts w:cs="Arial"/>
          <w:lang w:val="fr-BE" w:eastAsia="nl-BE"/>
        </w:rPr>
        <w:t>Elle comprend en annexe</w:t>
      </w:r>
      <w:r w:rsidR="009A7603">
        <w:rPr>
          <w:rFonts w:cs="Arial"/>
          <w:lang w:val="fr-BE" w:eastAsia="nl-BE"/>
        </w:rPr>
        <w:t xml:space="preserve"> 8</w:t>
      </w:r>
      <w:r w:rsidR="001E49AB" w:rsidRPr="00AD7B1C">
        <w:rPr>
          <w:rFonts w:cs="Arial"/>
          <w:lang w:val="fr-BE" w:eastAsia="nl-BE"/>
        </w:rPr>
        <w:t xml:space="preserve"> </w:t>
      </w:r>
      <w:r w:rsidRPr="00AD7B1C">
        <w:rPr>
          <w:rFonts w:cs="Arial"/>
          <w:lang w:val="fr-BE" w:eastAsia="nl-BE"/>
        </w:rPr>
        <w:t>le texte français intégral de</w:t>
      </w:r>
      <w:r w:rsidR="003F5E55">
        <w:rPr>
          <w:rFonts w:cs="Arial"/>
          <w:lang w:val="fr-BE" w:eastAsia="nl-BE"/>
        </w:rPr>
        <w:t xml:space="preserve"> ce</w:t>
      </w:r>
      <w:r w:rsidRPr="00AD7B1C">
        <w:rPr>
          <w:rFonts w:cs="Arial"/>
          <w:lang w:val="fr-BE" w:eastAsia="nl-BE"/>
        </w:rPr>
        <w:t xml:space="preserve">s orientations </w:t>
      </w:r>
      <w:r w:rsidR="004F43C8" w:rsidRPr="00AD7B1C">
        <w:rPr>
          <w:rFonts w:cs="Arial"/>
          <w:lang w:val="fr-BE" w:eastAsia="nl-BE"/>
        </w:rPr>
        <w:t>communes</w:t>
      </w:r>
      <w:r w:rsidRPr="00AD7B1C">
        <w:rPr>
          <w:rFonts w:cs="Arial"/>
          <w:lang w:val="fr-BE" w:eastAsia="nl-BE"/>
        </w:rPr>
        <w:t>.</w:t>
      </w:r>
    </w:p>
    <w:p w14:paraId="6A0A6C31"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p>
    <w:p w14:paraId="2CE594AE" w14:textId="77777777" w:rsidR="003F5E55"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La présente </w:t>
      </w:r>
      <w:r w:rsidR="00F06771" w:rsidRPr="00AD7B1C">
        <w:rPr>
          <w:rFonts w:cs="Arial"/>
          <w:lang w:val="fr-BE" w:eastAsia="nl-BE"/>
        </w:rPr>
        <w:t>communication</w:t>
      </w:r>
      <w:r w:rsidRPr="00AD7B1C">
        <w:rPr>
          <w:rFonts w:cs="Arial"/>
          <w:lang w:val="fr-BE" w:eastAsia="nl-BE"/>
        </w:rPr>
        <w:t xml:space="preserve"> s’applique à partir du 1</w:t>
      </w:r>
      <w:r w:rsidRPr="00AD7B1C">
        <w:rPr>
          <w:rFonts w:cs="Arial"/>
          <w:sz w:val="13"/>
          <w:szCs w:val="13"/>
          <w:lang w:val="fr-BE" w:eastAsia="nl-BE"/>
        </w:rPr>
        <w:t xml:space="preserve">er </w:t>
      </w:r>
      <w:r w:rsidR="001E49AB" w:rsidRPr="00AD7B1C">
        <w:rPr>
          <w:rFonts w:cs="Arial"/>
          <w:lang w:val="fr-BE" w:eastAsia="nl-BE"/>
        </w:rPr>
        <w:t>octobre</w:t>
      </w:r>
      <w:r w:rsidRPr="00AD7B1C">
        <w:rPr>
          <w:rFonts w:cs="Arial"/>
          <w:lang w:val="fr-BE" w:eastAsia="nl-BE"/>
        </w:rPr>
        <w:t xml:space="preserve"> 2017</w:t>
      </w:r>
      <w:r w:rsidR="009940DB">
        <w:rPr>
          <w:rFonts w:cs="Arial"/>
          <w:lang w:val="fr-BE" w:eastAsia="nl-BE"/>
        </w:rPr>
        <w:t xml:space="preserve"> (date d’entrée en </w:t>
      </w:r>
      <w:proofErr w:type="spellStart"/>
      <w:r w:rsidR="009940DB">
        <w:rPr>
          <w:rFonts w:cs="Arial"/>
          <w:lang w:val="fr-BE" w:eastAsia="nl-BE"/>
        </w:rPr>
        <w:t>vigeur</w:t>
      </w:r>
      <w:proofErr w:type="spellEnd"/>
      <w:r w:rsidR="009940DB">
        <w:rPr>
          <w:rFonts w:cs="Arial"/>
          <w:lang w:val="fr-BE" w:eastAsia="nl-BE"/>
        </w:rPr>
        <w:t xml:space="preserve"> des </w:t>
      </w:r>
      <w:r w:rsidR="009940DB" w:rsidRPr="00AD7B1C">
        <w:rPr>
          <w:rFonts w:cs="Arial"/>
          <w:lang w:val="fr-BE" w:eastAsia="nl-BE"/>
        </w:rPr>
        <w:t>orientations communes des AES</w:t>
      </w:r>
      <w:r w:rsidR="009940DB">
        <w:rPr>
          <w:rFonts w:cs="Arial"/>
          <w:lang w:val="fr-BE" w:eastAsia="nl-BE"/>
        </w:rPr>
        <w:t>)</w:t>
      </w:r>
      <w:r w:rsidRPr="00AD7B1C">
        <w:rPr>
          <w:rFonts w:cs="Arial"/>
          <w:lang w:val="fr-BE" w:eastAsia="nl-BE"/>
        </w:rPr>
        <w:t xml:space="preserve"> et </w:t>
      </w:r>
      <w:proofErr w:type="spellStart"/>
      <w:r w:rsidRPr="00AD7B1C">
        <w:rPr>
          <w:rFonts w:cs="Arial"/>
          <w:lang w:val="fr-BE" w:eastAsia="nl-BE"/>
        </w:rPr>
        <w:t>remplace</w:t>
      </w:r>
      <w:r w:rsidR="003F5E55">
        <w:rPr>
          <w:rFonts w:cs="Arial"/>
          <w:lang w:val="fr-BE" w:eastAsia="nl-BE"/>
        </w:rPr>
        <w:t>à</w:t>
      </w:r>
      <w:proofErr w:type="spellEnd"/>
      <w:r w:rsidR="003F5E55">
        <w:rPr>
          <w:rFonts w:cs="Arial"/>
          <w:lang w:val="fr-BE" w:eastAsia="nl-BE"/>
        </w:rPr>
        <w:t xml:space="preserve"> partir de ce jour</w:t>
      </w:r>
      <w:r w:rsidRPr="00AD7B1C">
        <w:rPr>
          <w:rFonts w:cs="Arial"/>
          <w:lang w:val="fr-BE" w:eastAsia="nl-BE"/>
        </w:rPr>
        <w:t xml:space="preserve"> la </w:t>
      </w:r>
      <w:r w:rsidR="001E49AB" w:rsidRPr="00AD7B1C">
        <w:rPr>
          <w:rFonts w:cs="Arial"/>
          <w:lang w:val="fr-BE" w:eastAsia="nl-BE"/>
        </w:rPr>
        <w:t>communication CBFA_2009</w:t>
      </w:r>
      <w:r w:rsidR="00BE110B">
        <w:rPr>
          <w:rFonts w:cs="Arial"/>
          <w:lang w:val="fr-BE" w:eastAsia="nl-BE"/>
        </w:rPr>
        <w:t>_</w:t>
      </w:r>
      <w:r w:rsidR="001E49AB" w:rsidRPr="00AD7B1C">
        <w:rPr>
          <w:rFonts w:cs="Arial"/>
          <w:lang w:val="fr-BE" w:eastAsia="nl-BE"/>
        </w:rPr>
        <w:t>31 du 18</w:t>
      </w:r>
      <w:r w:rsidR="004D368F">
        <w:rPr>
          <w:rFonts w:cs="Arial"/>
          <w:lang w:val="fr-BE" w:eastAsia="nl-BE"/>
        </w:rPr>
        <w:t> </w:t>
      </w:r>
      <w:r w:rsidR="001E49AB" w:rsidRPr="00AD7B1C">
        <w:rPr>
          <w:rFonts w:cs="Arial"/>
          <w:lang w:val="fr-BE" w:eastAsia="nl-BE"/>
        </w:rPr>
        <w:t>novembre 2009</w:t>
      </w:r>
      <w:r w:rsidRPr="00AD7B1C">
        <w:rPr>
          <w:rFonts w:cs="Arial"/>
          <w:lang w:val="fr-BE" w:eastAsia="nl-BE"/>
        </w:rPr>
        <w:t xml:space="preserve"> sur le</w:t>
      </w:r>
      <w:r w:rsidR="001E49AB" w:rsidRPr="00AD7B1C">
        <w:rPr>
          <w:rFonts w:cs="Arial"/>
          <w:lang w:val="fr-BE" w:eastAsia="nl-BE"/>
        </w:rPr>
        <w:t xml:space="preserve"> </w:t>
      </w:r>
      <w:r w:rsidRPr="00AD7B1C">
        <w:rPr>
          <w:rFonts w:cs="Arial"/>
          <w:lang w:val="fr-BE" w:eastAsia="nl-BE"/>
        </w:rPr>
        <w:t xml:space="preserve">même sujet. </w:t>
      </w:r>
      <w:r w:rsidR="00B77ACE">
        <w:rPr>
          <w:rFonts w:cs="Arial"/>
          <w:lang w:val="fr-BE" w:eastAsia="nl-BE"/>
        </w:rPr>
        <w:t xml:space="preserve"> </w:t>
      </w:r>
    </w:p>
    <w:p w14:paraId="7E859ADE" w14:textId="77777777" w:rsidR="003F5E55" w:rsidRDefault="003F5E55" w:rsidP="00BE3219">
      <w:pPr>
        <w:tabs>
          <w:tab w:val="clear" w:pos="284"/>
        </w:tabs>
        <w:autoSpaceDE w:val="0"/>
        <w:autoSpaceDN w:val="0"/>
        <w:adjustRightInd w:val="0"/>
        <w:spacing w:line="240" w:lineRule="auto"/>
        <w:jc w:val="both"/>
        <w:rPr>
          <w:rFonts w:cs="Arial"/>
          <w:lang w:val="fr-BE" w:eastAsia="nl-BE"/>
        </w:rPr>
      </w:pPr>
    </w:p>
    <w:p w14:paraId="669337AC" w14:textId="77777777" w:rsidR="001E49AB" w:rsidRPr="00AD7B1C" w:rsidRDefault="003F5E55"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 xml:space="preserve">A ce stade, les formulaires de déclaration d’une modification d’actionnariat ont été revus de manière marginale.  </w:t>
      </w:r>
      <w:r w:rsidR="00B77ACE">
        <w:rPr>
          <w:rFonts w:cs="Arial"/>
          <w:lang w:val="fr-BE" w:eastAsia="nl-BE"/>
        </w:rPr>
        <w:t xml:space="preserve">Une mise-à-jour </w:t>
      </w:r>
      <w:r>
        <w:rPr>
          <w:rFonts w:cs="Arial"/>
          <w:lang w:val="fr-BE" w:eastAsia="nl-BE"/>
        </w:rPr>
        <w:t xml:space="preserve">plus approfondie </w:t>
      </w:r>
      <w:r w:rsidR="00B77ACE">
        <w:rPr>
          <w:rFonts w:cs="Arial"/>
          <w:lang w:val="fr-BE" w:eastAsia="nl-BE"/>
        </w:rPr>
        <w:t>de</w:t>
      </w:r>
      <w:r>
        <w:rPr>
          <w:rFonts w:cs="Arial"/>
          <w:lang w:val="fr-BE" w:eastAsia="nl-BE"/>
        </w:rPr>
        <w:t xml:space="preserve"> ce</w:t>
      </w:r>
      <w:r w:rsidR="00B77ACE">
        <w:rPr>
          <w:rFonts w:cs="Arial"/>
          <w:lang w:val="fr-BE" w:eastAsia="nl-BE"/>
        </w:rPr>
        <w:t>s formulaires aura lieu plus tard pour tenir compte des travaux, notamment au sein de la Banque Centrale Européenne, en matière d’harmonisation de ces formulaires.</w:t>
      </w:r>
    </w:p>
    <w:p w14:paraId="38CBB998" w14:textId="77777777" w:rsidR="001E49AB" w:rsidRDefault="001E49AB" w:rsidP="00BE3219">
      <w:pPr>
        <w:tabs>
          <w:tab w:val="clear" w:pos="284"/>
        </w:tabs>
        <w:autoSpaceDE w:val="0"/>
        <w:autoSpaceDN w:val="0"/>
        <w:adjustRightInd w:val="0"/>
        <w:spacing w:line="240" w:lineRule="auto"/>
        <w:jc w:val="both"/>
        <w:rPr>
          <w:rFonts w:cs="Arial"/>
          <w:lang w:val="fr-BE" w:eastAsia="nl-BE"/>
        </w:rPr>
      </w:pPr>
    </w:p>
    <w:p w14:paraId="7A9BDC93"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p>
    <w:p w14:paraId="4869E3DF" w14:textId="77777777" w:rsidR="00C004A7" w:rsidRPr="00AD7B1C" w:rsidRDefault="00C004A7" w:rsidP="00BE3219">
      <w:pPr>
        <w:tabs>
          <w:tab w:val="clear" w:pos="284"/>
        </w:tabs>
        <w:autoSpaceDE w:val="0"/>
        <w:autoSpaceDN w:val="0"/>
        <w:adjustRightInd w:val="0"/>
        <w:spacing w:line="240" w:lineRule="auto"/>
        <w:jc w:val="both"/>
        <w:rPr>
          <w:rFonts w:cs="Arial"/>
          <w:b/>
          <w:bCs/>
          <w:u w:val="single"/>
          <w:lang w:val="fr-BE" w:eastAsia="nl-BE"/>
        </w:rPr>
      </w:pPr>
      <w:r w:rsidRPr="00AD7B1C">
        <w:rPr>
          <w:rFonts w:cs="Arial"/>
          <w:b/>
          <w:bCs/>
          <w:u w:val="single"/>
          <w:lang w:val="fr-BE" w:eastAsia="nl-BE"/>
        </w:rPr>
        <w:t>1. Contexte</w:t>
      </w:r>
    </w:p>
    <w:p w14:paraId="2157AE37" w14:textId="77777777" w:rsidR="002518B6" w:rsidRPr="00AD7B1C" w:rsidRDefault="002518B6" w:rsidP="00BE3219">
      <w:pPr>
        <w:tabs>
          <w:tab w:val="clear" w:pos="284"/>
        </w:tabs>
        <w:autoSpaceDE w:val="0"/>
        <w:autoSpaceDN w:val="0"/>
        <w:adjustRightInd w:val="0"/>
        <w:spacing w:line="240" w:lineRule="auto"/>
        <w:jc w:val="both"/>
        <w:rPr>
          <w:rFonts w:cs="Arial"/>
          <w:b/>
          <w:bCs/>
          <w:lang w:val="fr-BE" w:eastAsia="nl-BE"/>
        </w:rPr>
      </w:pPr>
    </w:p>
    <w:p w14:paraId="3BC34368" w14:textId="77777777" w:rsidR="00CC4596" w:rsidRPr="00AD7B1C" w:rsidRDefault="00CC459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 5 mai 2017, les AES (EBA, EIOPA et ESMA) ont </w:t>
      </w:r>
      <w:proofErr w:type="gramStart"/>
      <w:r w:rsidRPr="00AD7B1C">
        <w:rPr>
          <w:rFonts w:cs="Arial"/>
          <w:lang w:val="fr-BE" w:eastAsia="nl-BE"/>
        </w:rPr>
        <w:t>publiés</w:t>
      </w:r>
      <w:proofErr w:type="gramEnd"/>
      <w:r w:rsidRPr="00AD7B1C">
        <w:rPr>
          <w:rFonts w:cs="Arial"/>
          <w:lang w:val="fr-BE" w:eastAsia="nl-BE"/>
        </w:rPr>
        <w:t xml:space="preserve"> des orientations communes relatives à l’évaluation prudentielle des acquisitions et des augmentations de participations </w:t>
      </w:r>
      <w:r w:rsidR="00AD7B1C" w:rsidRPr="00AD7B1C">
        <w:rPr>
          <w:rFonts w:cs="Arial"/>
          <w:lang w:val="fr-BE" w:eastAsia="nl-BE"/>
        </w:rPr>
        <w:t>qualifiées</w:t>
      </w:r>
      <w:r w:rsidRPr="00AD7B1C">
        <w:rPr>
          <w:rFonts w:cs="Arial"/>
          <w:lang w:val="fr-BE" w:eastAsia="nl-BE"/>
        </w:rPr>
        <w:t xml:space="preserve"> dans des entités du secteur financier en application de l’article 16 de leurs règlements </w:t>
      </w:r>
      <w:r w:rsidR="00AD7B1C" w:rsidRPr="00AD7B1C">
        <w:rPr>
          <w:rFonts w:cs="Arial"/>
          <w:lang w:val="fr-BE" w:eastAsia="nl-BE"/>
        </w:rPr>
        <w:t>fondateurs</w:t>
      </w:r>
      <w:r w:rsidRPr="00AD7B1C">
        <w:rPr>
          <w:rFonts w:cs="Arial"/>
          <w:lang w:val="fr-BE" w:eastAsia="nl-BE"/>
        </w:rPr>
        <w:t xml:space="preserve"> respectifs. </w:t>
      </w:r>
    </w:p>
    <w:p w14:paraId="4CFDB4F0" w14:textId="77777777" w:rsidR="00CC4596" w:rsidRPr="00AD7B1C" w:rsidRDefault="00CC4596" w:rsidP="00BE3219">
      <w:pPr>
        <w:tabs>
          <w:tab w:val="clear" w:pos="284"/>
        </w:tabs>
        <w:autoSpaceDE w:val="0"/>
        <w:autoSpaceDN w:val="0"/>
        <w:adjustRightInd w:val="0"/>
        <w:spacing w:line="240" w:lineRule="auto"/>
        <w:jc w:val="both"/>
        <w:rPr>
          <w:rFonts w:cs="Arial"/>
          <w:lang w:val="fr-BE" w:eastAsia="nl-BE"/>
        </w:rPr>
      </w:pPr>
    </w:p>
    <w:p w14:paraId="3C1331F4" w14:textId="77777777" w:rsidR="0072762D" w:rsidRPr="00AD7B1C" w:rsidRDefault="00CC459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Ces nouvelles orientations communes remplacent à compter du 1er octobre 2017 les orientations communes que les AES de l’époque (CEBS, CESR et CEIOPS) avaient publiées sur le même sujet en 200</w:t>
      </w:r>
      <w:r w:rsidR="0072762D" w:rsidRPr="00AD7B1C">
        <w:rPr>
          <w:rFonts w:cs="Arial"/>
          <w:lang w:val="fr-BE" w:eastAsia="nl-BE"/>
        </w:rPr>
        <w:t xml:space="preserve">8.  </w:t>
      </w:r>
    </w:p>
    <w:p w14:paraId="47704484" w14:textId="77777777" w:rsidR="004F43C8" w:rsidRPr="00AD7B1C" w:rsidRDefault="004F43C8" w:rsidP="00BE3219">
      <w:pPr>
        <w:tabs>
          <w:tab w:val="clear" w:pos="284"/>
        </w:tabs>
        <w:autoSpaceDE w:val="0"/>
        <w:autoSpaceDN w:val="0"/>
        <w:adjustRightInd w:val="0"/>
        <w:spacing w:line="240" w:lineRule="auto"/>
        <w:jc w:val="both"/>
        <w:rPr>
          <w:rFonts w:cs="Arial"/>
          <w:lang w:val="fr-BE" w:eastAsia="nl-BE"/>
        </w:rPr>
      </w:pPr>
    </w:p>
    <w:p w14:paraId="390164DA"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Les orientations </w:t>
      </w:r>
      <w:r w:rsidR="0072762D" w:rsidRPr="00AD7B1C">
        <w:rPr>
          <w:rFonts w:cs="Arial"/>
          <w:lang w:val="fr-BE" w:eastAsia="nl-BE"/>
        </w:rPr>
        <w:t>communes des AES</w:t>
      </w:r>
      <w:r w:rsidRPr="00AD7B1C">
        <w:rPr>
          <w:rFonts w:cs="Arial"/>
          <w:lang w:val="fr-BE" w:eastAsia="nl-BE"/>
        </w:rPr>
        <w:t xml:space="preserve"> constituent un document de référence étoffé et circonstancié. Elles</w:t>
      </w:r>
      <w:r w:rsidR="0072762D" w:rsidRPr="00AD7B1C">
        <w:rPr>
          <w:rFonts w:cs="Arial"/>
          <w:lang w:val="fr-BE" w:eastAsia="nl-BE"/>
        </w:rPr>
        <w:t xml:space="preserve"> </w:t>
      </w:r>
      <w:r w:rsidRPr="00AD7B1C">
        <w:rPr>
          <w:rFonts w:cs="Arial"/>
          <w:lang w:val="fr-BE" w:eastAsia="nl-BE"/>
        </w:rPr>
        <w:t xml:space="preserve">servent de fil conducteur dans le contrôle effectif </w:t>
      </w:r>
      <w:r w:rsidR="0072762D" w:rsidRPr="00AD7B1C">
        <w:rPr>
          <w:rFonts w:cs="Arial"/>
          <w:lang w:val="fr-BE" w:eastAsia="nl-BE"/>
        </w:rPr>
        <w:t xml:space="preserve">des acquisitions, accroissements, </w:t>
      </w:r>
      <w:r w:rsidR="00AD7B1C" w:rsidRPr="00AD7B1C">
        <w:rPr>
          <w:rFonts w:cs="Arial"/>
          <w:lang w:val="fr-BE" w:eastAsia="nl-BE"/>
        </w:rPr>
        <w:t>réductions</w:t>
      </w:r>
      <w:r w:rsidR="0072762D" w:rsidRPr="00AD7B1C">
        <w:rPr>
          <w:rFonts w:cs="Arial"/>
          <w:lang w:val="fr-BE" w:eastAsia="nl-BE"/>
        </w:rPr>
        <w:t xml:space="preserve"> et cessions de participations qualifiées dans l’ensemble des organismes financiers de droit belge soumis au contrôle de </w:t>
      </w:r>
      <w:r w:rsidR="00353A88">
        <w:rPr>
          <w:rFonts w:cs="Arial"/>
          <w:lang w:val="fr-BE" w:eastAsia="nl-BE"/>
        </w:rPr>
        <w:t>l’autorité compétente</w:t>
      </w:r>
      <w:r w:rsidR="0072762D" w:rsidRPr="00AD7B1C">
        <w:rPr>
          <w:rFonts w:cs="Arial"/>
          <w:lang w:val="fr-BE" w:eastAsia="nl-BE"/>
        </w:rPr>
        <w:t>,</w:t>
      </w:r>
      <w:r w:rsidRPr="00AD7B1C">
        <w:rPr>
          <w:rFonts w:cs="Arial"/>
          <w:lang w:val="fr-BE" w:eastAsia="nl-BE"/>
        </w:rPr>
        <w:t xml:space="preserve"> tout comme cela avait été le cas avec les orientations </w:t>
      </w:r>
      <w:r w:rsidR="0072762D" w:rsidRPr="00AD7B1C">
        <w:rPr>
          <w:rFonts w:cs="Arial"/>
          <w:lang w:val="fr-BE" w:eastAsia="nl-BE"/>
        </w:rPr>
        <w:t xml:space="preserve">communes </w:t>
      </w:r>
      <w:r w:rsidRPr="00AD7B1C">
        <w:rPr>
          <w:rFonts w:cs="Arial"/>
          <w:lang w:val="fr-BE" w:eastAsia="nl-BE"/>
        </w:rPr>
        <w:t xml:space="preserve">du </w:t>
      </w:r>
      <w:r w:rsidR="0072762D" w:rsidRPr="00AD7B1C">
        <w:rPr>
          <w:rFonts w:cs="Arial"/>
          <w:lang w:val="fr-BE" w:eastAsia="nl-BE"/>
        </w:rPr>
        <w:t>CEBS, CESR et CEIOPS de 2008</w:t>
      </w:r>
      <w:r w:rsidRPr="00AD7B1C">
        <w:rPr>
          <w:rFonts w:cs="Arial"/>
          <w:lang w:val="fr-BE" w:eastAsia="nl-BE"/>
        </w:rPr>
        <w:t>.</w:t>
      </w:r>
    </w:p>
    <w:p w14:paraId="0586E46D" w14:textId="77777777" w:rsidR="0072762D" w:rsidRPr="00AD7B1C" w:rsidRDefault="0072762D" w:rsidP="00BE3219">
      <w:pPr>
        <w:tabs>
          <w:tab w:val="clear" w:pos="284"/>
        </w:tabs>
        <w:autoSpaceDE w:val="0"/>
        <w:autoSpaceDN w:val="0"/>
        <w:adjustRightInd w:val="0"/>
        <w:spacing w:line="240" w:lineRule="auto"/>
        <w:jc w:val="both"/>
        <w:rPr>
          <w:rFonts w:cs="Arial"/>
          <w:lang w:val="fr-BE" w:eastAsia="nl-BE"/>
        </w:rPr>
      </w:pPr>
    </w:p>
    <w:p w14:paraId="22F5EC49" w14:textId="77777777" w:rsidR="0072762D"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Les orientations </w:t>
      </w:r>
      <w:r w:rsidR="0072762D" w:rsidRPr="00AD7B1C">
        <w:rPr>
          <w:rFonts w:cs="Arial"/>
          <w:lang w:val="fr-BE" w:eastAsia="nl-BE"/>
        </w:rPr>
        <w:t xml:space="preserve">communes des AES </w:t>
      </w:r>
      <w:r w:rsidRPr="00AD7B1C">
        <w:rPr>
          <w:rFonts w:cs="Arial"/>
          <w:lang w:val="fr-BE" w:eastAsia="nl-BE"/>
        </w:rPr>
        <w:t xml:space="preserve">font donc partie intégrante de la présente </w:t>
      </w:r>
      <w:r w:rsidR="0072762D" w:rsidRPr="00AD7B1C">
        <w:rPr>
          <w:rFonts w:cs="Arial"/>
          <w:lang w:val="fr-BE" w:eastAsia="nl-BE"/>
        </w:rPr>
        <w:t>communication</w:t>
      </w:r>
      <w:r w:rsidRPr="00AD7B1C">
        <w:rPr>
          <w:rFonts w:cs="Arial"/>
          <w:lang w:val="fr-BE" w:eastAsia="nl-BE"/>
        </w:rPr>
        <w:t>, à laquelle elles sont</w:t>
      </w:r>
      <w:r w:rsidR="0072762D" w:rsidRPr="00AD7B1C">
        <w:rPr>
          <w:rFonts w:cs="Arial"/>
          <w:lang w:val="fr-BE" w:eastAsia="nl-BE"/>
        </w:rPr>
        <w:t xml:space="preserve"> </w:t>
      </w:r>
      <w:r w:rsidRPr="00AD7B1C">
        <w:rPr>
          <w:rFonts w:cs="Arial"/>
          <w:lang w:val="fr-BE" w:eastAsia="nl-BE"/>
        </w:rPr>
        <w:t xml:space="preserve">annexées sous la forme d’un lien placé sur le site internet de la </w:t>
      </w:r>
      <w:r w:rsidR="00407C75">
        <w:rPr>
          <w:rFonts w:cs="Arial"/>
          <w:lang w:val="fr-BE" w:eastAsia="nl-BE"/>
        </w:rPr>
        <w:t>Banque nationale de Belgique</w:t>
      </w:r>
      <w:r w:rsidRPr="00AD7B1C">
        <w:rPr>
          <w:rFonts w:cs="Arial"/>
          <w:lang w:val="fr-BE" w:eastAsia="nl-BE"/>
        </w:rPr>
        <w:t xml:space="preserve">. </w:t>
      </w:r>
    </w:p>
    <w:p w14:paraId="4F767952" w14:textId="77777777" w:rsidR="0072762D" w:rsidRDefault="0072762D" w:rsidP="00BE3219">
      <w:pPr>
        <w:tabs>
          <w:tab w:val="clear" w:pos="284"/>
        </w:tabs>
        <w:autoSpaceDE w:val="0"/>
        <w:autoSpaceDN w:val="0"/>
        <w:adjustRightInd w:val="0"/>
        <w:spacing w:line="240" w:lineRule="auto"/>
        <w:jc w:val="both"/>
        <w:rPr>
          <w:rFonts w:cs="Arial"/>
          <w:lang w:val="fr-BE" w:eastAsia="nl-BE"/>
        </w:rPr>
      </w:pPr>
    </w:p>
    <w:p w14:paraId="0F191F9A" w14:textId="77777777" w:rsidR="009F0E2E" w:rsidRDefault="009F0E2E" w:rsidP="00BE3219">
      <w:pPr>
        <w:tabs>
          <w:tab w:val="clear" w:pos="284"/>
        </w:tabs>
        <w:autoSpaceDE w:val="0"/>
        <w:autoSpaceDN w:val="0"/>
        <w:adjustRightInd w:val="0"/>
        <w:spacing w:line="240" w:lineRule="auto"/>
        <w:jc w:val="both"/>
        <w:rPr>
          <w:rFonts w:cs="Arial"/>
          <w:lang w:val="fr-BE" w:eastAsia="nl-BE"/>
        </w:rPr>
      </w:pPr>
    </w:p>
    <w:p w14:paraId="51DDFE22" w14:textId="77777777" w:rsidR="006458DE" w:rsidRPr="00256F87" w:rsidRDefault="006458DE" w:rsidP="00BE3219">
      <w:pPr>
        <w:tabs>
          <w:tab w:val="clear" w:pos="284"/>
        </w:tabs>
        <w:autoSpaceDE w:val="0"/>
        <w:autoSpaceDN w:val="0"/>
        <w:adjustRightInd w:val="0"/>
        <w:spacing w:line="240" w:lineRule="auto"/>
        <w:jc w:val="both"/>
        <w:rPr>
          <w:rFonts w:cs="Arial"/>
          <w:b/>
          <w:bCs/>
          <w:u w:val="single"/>
          <w:lang w:val="fr-BE" w:eastAsia="nl-BE"/>
        </w:rPr>
      </w:pPr>
      <w:r w:rsidRPr="00256F87">
        <w:rPr>
          <w:rFonts w:cs="Arial"/>
          <w:b/>
          <w:bCs/>
          <w:u w:val="single"/>
          <w:lang w:val="fr-BE" w:eastAsia="nl-BE"/>
        </w:rPr>
        <w:t>2. Définitions</w:t>
      </w:r>
    </w:p>
    <w:p w14:paraId="4C6B381D" w14:textId="77777777" w:rsidR="006458DE" w:rsidRDefault="006458DE" w:rsidP="00BE3219">
      <w:pPr>
        <w:tabs>
          <w:tab w:val="clear" w:pos="284"/>
        </w:tabs>
        <w:autoSpaceDE w:val="0"/>
        <w:autoSpaceDN w:val="0"/>
        <w:adjustRightInd w:val="0"/>
        <w:spacing w:line="240" w:lineRule="auto"/>
        <w:jc w:val="both"/>
        <w:rPr>
          <w:rFonts w:cs="Arial"/>
          <w:lang w:val="fr-BE" w:eastAsia="nl-BE"/>
        </w:rPr>
      </w:pPr>
    </w:p>
    <w:p w14:paraId="4854A19A" w14:textId="77777777" w:rsidR="00DD048B" w:rsidRDefault="00174427" w:rsidP="00BE3219">
      <w:pPr>
        <w:pStyle w:val="ListParagraph"/>
        <w:numPr>
          <w:ilvl w:val="0"/>
          <w:numId w:val="39"/>
        </w:numPr>
        <w:tabs>
          <w:tab w:val="clear" w:pos="284"/>
        </w:tabs>
        <w:autoSpaceDE w:val="0"/>
        <w:autoSpaceDN w:val="0"/>
        <w:adjustRightInd w:val="0"/>
        <w:spacing w:line="240" w:lineRule="auto"/>
        <w:jc w:val="both"/>
        <w:rPr>
          <w:rFonts w:cs="Arial"/>
          <w:lang w:val="fr-BE" w:eastAsia="nl-BE"/>
        </w:rPr>
      </w:pPr>
      <w:r w:rsidRPr="00256F87">
        <w:rPr>
          <w:rFonts w:cs="Arial"/>
          <w:u w:val="single"/>
          <w:lang w:val="fr-BE" w:eastAsia="nl-BE"/>
        </w:rPr>
        <w:t>A</w:t>
      </w:r>
      <w:r w:rsidR="006458DE" w:rsidRPr="00256F87">
        <w:rPr>
          <w:rFonts w:cs="Arial"/>
          <w:u w:val="single"/>
          <w:lang w:val="fr-BE" w:eastAsia="nl-BE"/>
        </w:rPr>
        <w:t>utorité de contrôle</w:t>
      </w:r>
      <w:r w:rsidR="006458DE" w:rsidRPr="00DD048B">
        <w:rPr>
          <w:rFonts w:cs="Arial"/>
          <w:lang w:val="fr-BE" w:eastAsia="nl-BE"/>
        </w:rPr>
        <w:t> :</w:t>
      </w:r>
      <w:r w:rsidR="00DD048B" w:rsidRPr="00DD048B">
        <w:rPr>
          <w:rFonts w:cs="Arial"/>
          <w:lang w:val="fr-BE" w:eastAsia="nl-BE"/>
        </w:rPr>
        <w:t xml:space="preserve"> </w:t>
      </w:r>
    </w:p>
    <w:p w14:paraId="71C86E74" w14:textId="77777777" w:rsidR="00DD048B" w:rsidRDefault="00DD048B" w:rsidP="004D368F">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lang w:val="fr-BE" w:eastAsia="nl-BE"/>
        </w:rPr>
      </w:pPr>
      <w:proofErr w:type="gramStart"/>
      <w:r w:rsidRPr="00DD048B">
        <w:rPr>
          <w:rFonts w:cs="Arial"/>
          <w:lang w:val="fr-BE" w:eastAsia="nl-BE"/>
        </w:rPr>
        <w:t>pour</w:t>
      </w:r>
      <w:proofErr w:type="gramEnd"/>
      <w:r w:rsidRPr="00DD048B">
        <w:rPr>
          <w:rFonts w:cs="Arial"/>
          <w:lang w:val="fr-BE" w:eastAsia="nl-BE"/>
        </w:rPr>
        <w:t xml:space="preserve"> ce qui concerne les </w:t>
      </w:r>
      <w:r>
        <w:rPr>
          <w:rFonts w:cs="Arial"/>
          <w:lang w:val="fr-BE" w:eastAsia="nl-BE"/>
        </w:rPr>
        <w:t>entreprises d’assurance ou de réassurance de droit belge, les</w:t>
      </w:r>
      <w:r w:rsidRPr="00256F87">
        <w:rPr>
          <w:rFonts w:cs="Arial"/>
          <w:lang w:val="fr-BE" w:eastAsia="nl-BE"/>
        </w:rPr>
        <w:t xml:space="preserve"> sociétés holdings d’assurance </w:t>
      </w:r>
      <w:r>
        <w:rPr>
          <w:rFonts w:cs="Arial"/>
          <w:lang w:val="fr-BE" w:eastAsia="nl-BE"/>
        </w:rPr>
        <w:t xml:space="preserve">de droit belge </w:t>
      </w:r>
      <w:r w:rsidRPr="00256F87">
        <w:rPr>
          <w:rFonts w:cs="Arial"/>
          <w:lang w:val="fr-BE" w:eastAsia="nl-BE"/>
        </w:rPr>
        <w:t xml:space="preserve">et </w:t>
      </w:r>
      <w:r>
        <w:rPr>
          <w:rFonts w:cs="Arial"/>
          <w:lang w:val="fr-BE" w:eastAsia="nl-BE"/>
        </w:rPr>
        <w:t xml:space="preserve">les </w:t>
      </w:r>
      <w:r w:rsidRPr="00256F87">
        <w:rPr>
          <w:rFonts w:cs="Arial"/>
          <w:lang w:val="fr-BE" w:eastAsia="nl-BE"/>
        </w:rPr>
        <w:t>compagnies financières mixtes incluses dans un groupe d’assurance</w:t>
      </w:r>
      <w:r>
        <w:rPr>
          <w:rFonts w:cs="Arial"/>
          <w:lang w:val="fr-BE" w:eastAsia="nl-BE"/>
        </w:rPr>
        <w:t xml:space="preserve"> belge, la Banque nationale de Belgique ;</w:t>
      </w:r>
    </w:p>
    <w:p w14:paraId="31424C5B" w14:textId="77777777" w:rsidR="00D26511" w:rsidRDefault="00DD048B" w:rsidP="004D368F">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lang w:val="fr-BE" w:eastAsia="nl-BE"/>
        </w:rPr>
      </w:pPr>
      <w:proofErr w:type="gramStart"/>
      <w:r>
        <w:rPr>
          <w:rFonts w:cs="Arial"/>
          <w:lang w:val="fr-BE" w:eastAsia="nl-BE"/>
        </w:rPr>
        <w:t>pour</w:t>
      </w:r>
      <w:proofErr w:type="gramEnd"/>
      <w:r>
        <w:rPr>
          <w:rFonts w:cs="Arial"/>
          <w:lang w:val="fr-BE" w:eastAsia="nl-BE"/>
        </w:rPr>
        <w:t xml:space="preserve"> ce qui concerne les </w:t>
      </w:r>
      <w:r w:rsidRPr="00DD048B">
        <w:rPr>
          <w:rFonts w:cs="Arial"/>
          <w:lang w:val="fr-BE" w:eastAsia="nl-BE"/>
        </w:rPr>
        <w:t>éta</w:t>
      </w:r>
      <w:r w:rsidR="00D26511">
        <w:rPr>
          <w:rFonts w:cs="Arial"/>
          <w:lang w:val="fr-BE" w:eastAsia="nl-BE"/>
        </w:rPr>
        <w:t>b</w:t>
      </w:r>
      <w:r w:rsidRPr="00DD048B">
        <w:rPr>
          <w:rFonts w:cs="Arial"/>
          <w:lang w:val="fr-BE" w:eastAsia="nl-BE"/>
        </w:rPr>
        <w:t>lissements de crédit</w:t>
      </w:r>
      <w:r>
        <w:rPr>
          <w:rFonts w:cs="Arial"/>
          <w:lang w:val="fr-BE" w:eastAsia="nl-BE"/>
        </w:rPr>
        <w:t xml:space="preserve"> de droit belge, </w:t>
      </w:r>
      <w:r w:rsidR="00D26511">
        <w:rPr>
          <w:rFonts w:cs="Arial"/>
          <w:lang w:val="fr-BE" w:eastAsia="nl-BE"/>
        </w:rPr>
        <w:t xml:space="preserve">les </w:t>
      </w:r>
      <w:r w:rsidRPr="00256F87">
        <w:rPr>
          <w:rFonts w:cs="Arial"/>
          <w:lang w:val="fr-BE" w:eastAsia="nl-BE"/>
        </w:rPr>
        <w:t xml:space="preserve">compagnies financières </w:t>
      </w:r>
      <w:r w:rsidR="00D26511" w:rsidRPr="00256F87">
        <w:rPr>
          <w:rFonts w:cs="Arial"/>
          <w:lang w:val="fr-BE" w:eastAsia="nl-BE"/>
        </w:rPr>
        <w:t xml:space="preserve">de droit belge </w:t>
      </w:r>
      <w:r w:rsidRPr="00256F87">
        <w:rPr>
          <w:rFonts w:cs="Arial"/>
          <w:lang w:val="fr-BE" w:eastAsia="nl-BE"/>
        </w:rPr>
        <w:t xml:space="preserve">et </w:t>
      </w:r>
      <w:r w:rsidR="00D26511" w:rsidRPr="00256F87">
        <w:rPr>
          <w:rFonts w:cs="Arial"/>
          <w:lang w:val="fr-BE" w:eastAsia="nl-BE"/>
        </w:rPr>
        <w:t xml:space="preserve">les </w:t>
      </w:r>
      <w:r w:rsidRPr="00256F87">
        <w:rPr>
          <w:rFonts w:cs="Arial"/>
          <w:lang w:val="fr-BE" w:eastAsia="nl-BE"/>
        </w:rPr>
        <w:t>compagnies financières mixtes incluses dans un groupe bancaire</w:t>
      </w:r>
      <w:r>
        <w:rPr>
          <w:rFonts w:cs="Arial"/>
          <w:lang w:val="fr-BE" w:eastAsia="nl-BE"/>
        </w:rPr>
        <w:t xml:space="preserve"> </w:t>
      </w:r>
      <w:r w:rsidR="00D26511">
        <w:rPr>
          <w:rFonts w:cs="Arial"/>
          <w:lang w:val="fr-BE" w:eastAsia="nl-BE"/>
        </w:rPr>
        <w:t>belge</w:t>
      </w:r>
      <w:r w:rsidR="00E939B5">
        <w:rPr>
          <w:rFonts w:cs="Arial"/>
          <w:lang w:val="fr-BE" w:eastAsia="nl-BE"/>
        </w:rPr>
        <w:t xml:space="preserve">, </w:t>
      </w:r>
      <w:r w:rsidR="006458DE" w:rsidRPr="00256F87">
        <w:rPr>
          <w:rFonts w:cs="Arial"/>
          <w:lang w:val="fr-BE" w:eastAsia="nl-BE"/>
        </w:rPr>
        <w:t xml:space="preserve">la Banque centrale européenne </w:t>
      </w:r>
      <w:r w:rsidR="00E87CDF">
        <w:rPr>
          <w:rFonts w:cs="Arial"/>
          <w:lang w:val="fr-BE" w:eastAsia="nl-BE"/>
        </w:rPr>
        <w:t xml:space="preserve">(BCE) </w:t>
      </w:r>
      <w:r w:rsidR="00E939B5">
        <w:rPr>
          <w:rFonts w:cs="Arial"/>
          <w:lang w:val="fr-BE" w:eastAsia="nl-BE"/>
        </w:rPr>
        <w:t xml:space="preserve">conformément aux répartitions </w:t>
      </w:r>
      <w:r w:rsidR="006458DE" w:rsidRPr="00256F87">
        <w:rPr>
          <w:rFonts w:cs="Arial"/>
          <w:lang w:val="fr-BE" w:eastAsia="nl-BE"/>
        </w:rPr>
        <w:t>de compétences prévues par ou en vertu du Règlement MSU en matière de contrôle des établissements de crédit;</w:t>
      </w:r>
      <w:r w:rsidR="003F5E55">
        <w:rPr>
          <w:rFonts w:cs="Arial"/>
          <w:lang w:val="fr-BE" w:eastAsia="nl-BE"/>
        </w:rPr>
        <w:t xml:space="preserve"> et</w:t>
      </w:r>
    </w:p>
    <w:p w14:paraId="57780E68" w14:textId="77777777" w:rsidR="006458DE" w:rsidRDefault="00D26511" w:rsidP="004D368F">
      <w:pPr>
        <w:pStyle w:val="ListParagraph"/>
        <w:numPr>
          <w:ilvl w:val="1"/>
          <w:numId w:val="39"/>
        </w:numPr>
        <w:tabs>
          <w:tab w:val="clear" w:pos="284"/>
        </w:tabs>
        <w:autoSpaceDE w:val="0"/>
        <w:autoSpaceDN w:val="0"/>
        <w:adjustRightInd w:val="0"/>
        <w:spacing w:before="60" w:line="240" w:lineRule="auto"/>
        <w:ind w:left="709" w:hanging="284"/>
        <w:contextualSpacing w:val="0"/>
        <w:jc w:val="both"/>
        <w:rPr>
          <w:rFonts w:cs="Arial"/>
          <w:lang w:val="fr-BE" w:eastAsia="nl-BE"/>
        </w:rPr>
      </w:pPr>
      <w:proofErr w:type="gramStart"/>
      <w:r>
        <w:rPr>
          <w:rFonts w:cs="Arial"/>
          <w:lang w:val="fr-BE" w:eastAsia="nl-BE"/>
        </w:rPr>
        <w:lastRenderedPageBreak/>
        <w:t>pour</w:t>
      </w:r>
      <w:proofErr w:type="gramEnd"/>
      <w:r>
        <w:rPr>
          <w:rFonts w:cs="Arial"/>
          <w:lang w:val="fr-BE" w:eastAsia="nl-BE"/>
        </w:rPr>
        <w:t xml:space="preserve"> ce qui concerne les sociétés de bourse de droit belge</w:t>
      </w:r>
      <w:r w:rsidR="006458DE" w:rsidRPr="00256F87">
        <w:rPr>
          <w:rFonts w:cs="Arial"/>
          <w:lang w:val="fr-BE" w:eastAsia="nl-BE"/>
        </w:rPr>
        <w:t xml:space="preserve"> la Banque </w:t>
      </w:r>
      <w:r>
        <w:rPr>
          <w:rFonts w:cs="Arial"/>
          <w:lang w:val="fr-BE" w:eastAsia="nl-BE"/>
        </w:rPr>
        <w:t xml:space="preserve">nationale de </w:t>
      </w:r>
      <w:r w:rsidR="003F5E55">
        <w:rPr>
          <w:rFonts w:cs="Arial"/>
          <w:lang w:val="fr-BE" w:eastAsia="nl-BE"/>
        </w:rPr>
        <w:t>Belgique.</w:t>
      </w:r>
    </w:p>
    <w:p w14:paraId="33CD9355" w14:textId="77777777" w:rsidR="00D613B4" w:rsidRDefault="00D613B4" w:rsidP="00BE3219">
      <w:pPr>
        <w:pStyle w:val="ListParagraph"/>
        <w:tabs>
          <w:tab w:val="clear" w:pos="284"/>
        </w:tabs>
        <w:autoSpaceDE w:val="0"/>
        <w:autoSpaceDN w:val="0"/>
        <w:adjustRightInd w:val="0"/>
        <w:spacing w:line="240" w:lineRule="auto"/>
        <w:ind w:left="709"/>
        <w:jc w:val="both"/>
        <w:rPr>
          <w:rFonts w:cs="Arial"/>
          <w:lang w:val="fr-BE" w:eastAsia="nl-BE"/>
        </w:rPr>
      </w:pPr>
    </w:p>
    <w:p w14:paraId="7099FEC4" w14:textId="77777777" w:rsidR="00D26511" w:rsidRDefault="00174427" w:rsidP="00BE3219">
      <w:pPr>
        <w:pStyle w:val="ListParagraph"/>
        <w:numPr>
          <w:ilvl w:val="0"/>
          <w:numId w:val="39"/>
        </w:numPr>
        <w:tabs>
          <w:tab w:val="clear" w:pos="284"/>
        </w:tabs>
        <w:autoSpaceDE w:val="0"/>
        <w:autoSpaceDN w:val="0"/>
        <w:adjustRightInd w:val="0"/>
        <w:spacing w:line="240" w:lineRule="auto"/>
        <w:jc w:val="both"/>
        <w:rPr>
          <w:rFonts w:cs="Arial"/>
          <w:lang w:val="fr-BE" w:eastAsia="nl-BE"/>
        </w:rPr>
      </w:pPr>
      <w:r w:rsidRPr="00256F87">
        <w:rPr>
          <w:rFonts w:cs="Arial"/>
          <w:u w:val="single"/>
          <w:lang w:val="fr-BE" w:eastAsia="nl-BE"/>
        </w:rPr>
        <w:t>Autorités européennes de surveillance</w:t>
      </w:r>
      <w:r>
        <w:rPr>
          <w:rFonts w:cs="Arial"/>
          <w:lang w:val="fr-BE" w:eastAsia="nl-BE"/>
        </w:rPr>
        <w:t xml:space="preserve"> </w:t>
      </w:r>
      <w:r w:rsidR="00D613B4">
        <w:rPr>
          <w:rFonts w:cs="Arial"/>
          <w:lang w:val="fr-BE" w:eastAsia="nl-BE"/>
        </w:rPr>
        <w:t>(</w:t>
      </w:r>
      <w:r>
        <w:rPr>
          <w:rFonts w:cs="Arial"/>
          <w:lang w:val="fr-BE" w:eastAsia="nl-BE"/>
        </w:rPr>
        <w:t>« </w:t>
      </w:r>
      <w:r w:rsidR="00D26511">
        <w:rPr>
          <w:rFonts w:cs="Arial"/>
          <w:lang w:val="fr-BE" w:eastAsia="nl-BE"/>
        </w:rPr>
        <w:t>AES</w:t>
      </w:r>
      <w:r>
        <w:rPr>
          <w:rFonts w:cs="Arial"/>
          <w:lang w:val="fr-BE" w:eastAsia="nl-BE"/>
        </w:rPr>
        <w:t> »</w:t>
      </w:r>
      <w:r w:rsidR="00D613B4">
        <w:rPr>
          <w:rFonts w:cs="Arial"/>
          <w:lang w:val="fr-BE" w:eastAsia="nl-BE"/>
        </w:rPr>
        <w:t>)</w:t>
      </w:r>
      <w:r w:rsidR="00D26511">
        <w:rPr>
          <w:rFonts w:cs="Arial"/>
          <w:lang w:val="fr-BE" w:eastAsia="nl-BE"/>
        </w:rPr>
        <w:t> :</w:t>
      </w:r>
      <w:r w:rsidR="00E87CDF">
        <w:rPr>
          <w:rFonts w:cs="Arial"/>
          <w:lang w:val="fr-BE" w:eastAsia="nl-BE"/>
        </w:rPr>
        <w:t xml:space="preserve"> (i) </w:t>
      </w:r>
      <w:r w:rsidR="00E87CDF" w:rsidRPr="00AD7B1C">
        <w:rPr>
          <w:rFonts w:cs="Arial"/>
          <w:lang w:val="fr-BE" w:eastAsia="nl-BE"/>
        </w:rPr>
        <w:t xml:space="preserve">l’Autorité bancaire européenne </w:t>
      </w:r>
      <w:r w:rsidR="00E87CDF">
        <w:rPr>
          <w:rFonts w:cs="Arial"/>
          <w:lang w:val="fr-BE" w:eastAsia="nl-BE"/>
        </w:rPr>
        <w:t xml:space="preserve">ou </w:t>
      </w:r>
      <w:r w:rsidR="00E03696">
        <w:rPr>
          <w:rFonts w:cs="Arial"/>
          <w:lang w:val="fr-BE" w:eastAsia="nl-BE"/>
        </w:rPr>
        <w:t>en anglais « </w:t>
      </w:r>
      <w:proofErr w:type="spellStart"/>
      <w:r w:rsidR="00E87CDF">
        <w:rPr>
          <w:rFonts w:cs="Arial"/>
          <w:lang w:val="fr-BE" w:eastAsia="nl-BE"/>
        </w:rPr>
        <w:t>European</w:t>
      </w:r>
      <w:proofErr w:type="spellEnd"/>
      <w:r w:rsidR="00E87CDF">
        <w:rPr>
          <w:rFonts w:cs="Arial"/>
          <w:lang w:val="fr-BE" w:eastAsia="nl-BE"/>
        </w:rPr>
        <w:t xml:space="preserve"> </w:t>
      </w:r>
      <w:proofErr w:type="spellStart"/>
      <w:r w:rsidR="00E87CDF">
        <w:rPr>
          <w:rFonts w:cs="Arial"/>
          <w:lang w:val="fr-BE" w:eastAsia="nl-BE"/>
        </w:rPr>
        <w:t>banking</w:t>
      </w:r>
      <w:proofErr w:type="spellEnd"/>
      <w:r w:rsidR="00E87CDF">
        <w:rPr>
          <w:rFonts w:cs="Arial"/>
          <w:lang w:val="fr-BE" w:eastAsia="nl-BE"/>
        </w:rPr>
        <w:t xml:space="preserve"> </w:t>
      </w:r>
      <w:proofErr w:type="spellStart"/>
      <w:r w:rsidR="00E87CDF">
        <w:rPr>
          <w:rFonts w:cs="Arial"/>
          <w:lang w:val="fr-BE" w:eastAsia="nl-BE"/>
        </w:rPr>
        <w:t>Authority</w:t>
      </w:r>
      <w:proofErr w:type="spellEnd"/>
      <w:r w:rsidR="00E03696">
        <w:rPr>
          <w:rFonts w:cs="Arial"/>
          <w:lang w:val="fr-BE" w:eastAsia="nl-BE"/>
        </w:rPr>
        <w:t> »</w:t>
      </w:r>
      <w:r w:rsidR="00E87CDF">
        <w:rPr>
          <w:rFonts w:cs="Arial"/>
          <w:lang w:val="fr-BE" w:eastAsia="nl-BE"/>
        </w:rPr>
        <w:t xml:space="preserve"> </w:t>
      </w:r>
      <w:proofErr w:type="gramStart"/>
      <w:r w:rsidR="00E87CDF">
        <w:rPr>
          <w:rFonts w:cs="Arial"/>
          <w:lang w:val="fr-BE" w:eastAsia="nl-BE"/>
        </w:rPr>
        <w:t>(</w:t>
      </w:r>
      <w:r w:rsidR="00E87CDF" w:rsidRPr="00AD7B1C">
        <w:rPr>
          <w:rFonts w:cs="Arial"/>
          <w:lang w:val="fr-BE" w:eastAsia="nl-BE"/>
        </w:rPr>
        <w:t xml:space="preserve"> “</w:t>
      </w:r>
      <w:proofErr w:type="gramEnd"/>
      <w:r w:rsidR="00E87CDF" w:rsidRPr="00AD7B1C">
        <w:rPr>
          <w:rFonts w:cs="Arial"/>
          <w:lang w:val="fr-BE" w:eastAsia="nl-BE"/>
        </w:rPr>
        <w:t>EBA”),</w:t>
      </w:r>
      <w:r w:rsidR="00E87CDF">
        <w:rPr>
          <w:rFonts w:cs="Arial"/>
          <w:lang w:val="fr-BE" w:eastAsia="nl-BE"/>
        </w:rPr>
        <w:t xml:space="preserve"> (ii)</w:t>
      </w:r>
      <w:r w:rsidR="00E87CDF" w:rsidRPr="00AD7B1C">
        <w:rPr>
          <w:rFonts w:cs="Arial"/>
          <w:lang w:val="fr-BE" w:eastAsia="nl-BE"/>
        </w:rPr>
        <w:t xml:space="preserve"> l’Autorité européenne des assurances et des pensions professionnelles ou </w:t>
      </w:r>
      <w:r w:rsidR="00E03696">
        <w:rPr>
          <w:rFonts w:cs="Arial"/>
          <w:lang w:val="fr-BE" w:eastAsia="nl-BE"/>
        </w:rPr>
        <w:t>en anglais « </w:t>
      </w:r>
      <w:proofErr w:type="spellStart"/>
      <w:r w:rsidR="00E87CDF">
        <w:rPr>
          <w:rFonts w:cs="Arial"/>
          <w:lang w:val="fr-BE" w:eastAsia="nl-BE"/>
        </w:rPr>
        <w:t>European</w:t>
      </w:r>
      <w:proofErr w:type="spellEnd"/>
      <w:r w:rsidR="00E87CDF">
        <w:rPr>
          <w:rFonts w:cs="Arial"/>
          <w:lang w:val="fr-BE" w:eastAsia="nl-BE"/>
        </w:rPr>
        <w:t xml:space="preserve"> </w:t>
      </w:r>
      <w:proofErr w:type="spellStart"/>
      <w:r w:rsidR="00E87CDF">
        <w:rPr>
          <w:rFonts w:cs="Arial"/>
          <w:lang w:val="fr-BE" w:eastAsia="nl-BE"/>
        </w:rPr>
        <w:t>Insurance</w:t>
      </w:r>
      <w:proofErr w:type="spellEnd"/>
      <w:r w:rsidR="00E87CDF">
        <w:rPr>
          <w:rFonts w:cs="Arial"/>
          <w:lang w:val="fr-BE" w:eastAsia="nl-BE"/>
        </w:rPr>
        <w:t xml:space="preserve"> and </w:t>
      </w:r>
      <w:proofErr w:type="spellStart"/>
      <w:r w:rsidR="00E87CDF">
        <w:rPr>
          <w:rFonts w:cs="Arial"/>
          <w:lang w:val="fr-BE" w:eastAsia="nl-BE"/>
        </w:rPr>
        <w:t>Occupational</w:t>
      </w:r>
      <w:proofErr w:type="spellEnd"/>
      <w:r w:rsidR="00E87CDF">
        <w:rPr>
          <w:rFonts w:cs="Arial"/>
          <w:lang w:val="fr-BE" w:eastAsia="nl-BE"/>
        </w:rPr>
        <w:t xml:space="preserve"> Pensions </w:t>
      </w:r>
      <w:proofErr w:type="spellStart"/>
      <w:r w:rsidR="00E87CDF">
        <w:rPr>
          <w:rFonts w:cs="Arial"/>
          <w:lang w:val="fr-BE" w:eastAsia="nl-BE"/>
        </w:rPr>
        <w:t>Authority</w:t>
      </w:r>
      <w:proofErr w:type="spellEnd"/>
      <w:r w:rsidR="00E03696">
        <w:rPr>
          <w:rFonts w:cs="Arial"/>
          <w:lang w:val="fr-BE" w:eastAsia="nl-BE"/>
        </w:rPr>
        <w:t> »</w:t>
      </w:r>
      <w:r w:rsidR="00E87CDF">
        <w:rPr>
          <w:rFonts w:cs="Arial"/>
          <w:lang w:val="fr-BE" w:eastAsia="nl-BE"/>
        </w:rPr>
        <w:t xml:space="preserve"> (</w:t>
      </w:r>
      <w:r w:rsidR="00E87CDF" w:rsidRPr="00AD7B1C">
        <w:rPr>
          <w:rFonts w:cs="Arial"/>
          <w:lang w:val="fr-BE" w:eastAsia="nl-BE"/>
        </w:rPr>
        <w:t>“EIOPA”</w:t>
      </w:r>
      <w:r w:rsidR="00E87CDF">
        <w:rPr>
          <w:rFonts w:cs="Arial"/>
          <w:lang w:val="fr-BE" w:eastAsia="nl-BE"/>
        </w:rPr>
        <w:t>)</w:t>
      </w:r>
      <w:r w:rsidR="00E87CDF" w:rsidRPr="00AD7B1C">
        <w:rPr>
          <w:rFonts w:cs="Arial"/>
          <w:lang w:val="fr-BE" w:eastAsia="nl-BE"/>
        </w:rPr>
        <w:t xml:space="preserve"> et </w:t>
      </w:r>
      <w:r>
        <w:rPr>
          <w:rFonts w:cs="Arial"/>
          <w:lang w:val="fr-BE" w:eastAsia="nl-BE"/>
        </w:rPr>
        <w:t xml:space="preserve">(iii) </w:t>
      </w:r>
      <w:r w:rsidR="00E87CDF" w:rsidRPr="00AD7B1C">
        <w:rPr>
          <w:rFonts w:cs="Arial"/>
          <w:lang w:val="fr-BE" w:eastAsia="nl-BE"/>
        </w:rPr>
        <w:t xml:space="preserve">l’Autorité européenne des marches financiers ou </w:t>
      </w:r>
      <w:r w:rsidR="00E03696">
        <w:rPr>
          <w:rFonts w:cs="Arial"/>
          <w:lang w:val="fr-BE" w:eastAsia="nl-BE"/>
        </w:rPr>
        <w:t>en anglais « </w:t>
      </w:r>
      <w:proofErr w:type="spellStart"/>
      <w:r w:rsidR="00E87CDF">
        <w:rPr>
          <w:rFonts w:cs="Arial"/>
          <w:lang w:val="fr-BE" w:eastAsia="nl-BE"/>
        </w:rPr>
        <w:t>European</w:t>
      </w:r>
      <w:proofErr w:type="spellEnd"/>
      <w:r w:rsidR="00E87CDF">
        <w:rPr>
          <w:rFonts w:cs="Arial"/>
          <w:lang w:val="fr-BE" w:eastAsia="nl-BE"/>
        </w:rPr>
        <w:t xml:space="preserve"> </w:t>
      </w:r>
      <w:r w:rsidR="00E03696">
        <w:rPr>
          <w:rFonts w:cs="Arial"/>
          <w:lang w:val="fr-BE" w:eastAsia="nl-BE"/>
        </w:rPr>
        <w:t xml:space="preserve">Securities and </w:t>
      </w:r>
      <w:proofErr w:type="spellStart"/>
      <w:r w:rsidR="00E03696">
        <w:rPr>
          <w:rFonts w:cs="Arial"/>
          <w:lang w:val="fr-BE" w:eastAsia="nl-BE"/>
        </w:rPr>
        <w:t>Markets</w:t>
      </w:r>
      <w:proofErr w:type="spellEnd"/>
      <w:r w:rsidR="00E03696">
        <w:rPr>
          <w:rFonts w:cs="Arial"/>
          <w:lang w:val="fr-BE" w:eastAsia="nl-BE"/>
        </w:rPr>
        <w:t xml:space="preserve"> </w:t>
      </w:r>
      <w:proofErr w:type="spellStart"/>
      <w:r w:rsidR="00E03696">
        <w:rPr>
          <w:rFonts w:cs="Arial"/>
          <w:lang w:val="fr-BE" w:eastAsia="nl-BE"/>
        </w:rPr>
        <w:t>Authority</w:t>
      </w:r>
      <w:proofErr w:type="spellEnd"/>
      <w:r w:rsidR="00E03696">
        <w:rPr>
          <w:rFonts w:cs="Arial"/>
          <w:lang w:val="fr-BE" w:eastAsia="nl-BE"/>
        </w:rPr>
        <w:t> »</w:t>
      </w:r>
      <w:r w:rsidR="00E87CDF" w:rsidRPr="00AD7B1C">
        <w:rPr>
          <w:rFonts w:cs="Arial"/>
          <w:lang w:val="fr-BE" w:eastAsia="nl-BE"/>
        </w:rPr>
        <w:t xml:space="preserve"> </w:t>
      </w:r>
      <w:r w:rsidR="00E87CDF">
        <w:rPr>
          <w:rFonts w:cs="Arial"/>
          <w:lang w:val="fr-BE" w:eastAsia="nl-BE"/>
        </w:rPr>
        <w:t>(</w:t>
      </w:r>
      <w:r w:rsidR="00E87CDF" w:rsidRPr="00AD7B1C">
        <w:rPr>
          <w:rFonts w:cs="Arial"/>
          <w:lang w:val="fr-BE" w:eastAsia="nl-BE"/>
        </w:rPr>
        <w:t>“ESMA”</w:t>
      </w:r>
      <w:r w:rsidR="00E87CDF">
        <w:rPr>
          <w:rFonts w:cs="Arial"/>
          <w:lang w:val="fr-BE" w:eastAsia="nl-BE"/>
        </w:rPr>
        <w:t>)</w:t>
      </w:r>
      <w:r w:rsidR="0042555A">
        <w:rPr>
          <w:rFonts w:cs="Arial"/>
          <w:lang w:val="fr-BE" w:eastAsia="nl-BE"/>
        </w:rPr>
        <w:t>.</w:t>
      </w:r>
    </w:p>
    <w:p w14:paraId="5ECF8BB4" w14:textId="77777777" w:rsidR="00D613B4" w:rsidRDefault="00D613B4" w:rsidP="00BE3219">
      <w:pPr>
        <w:pStyle w:val="ListParagraph"/>
        <w:tabs>
          <w:tab w:val="clear" w:pos="284"/>
        </w:tabs>
        <w:autoSpaceDE w:val="0"/>
        <w:autoSpaceDN w:val="0"/>
        <w:adjustRightInd w:val="0"/>
        <w:spacing w:line="240" w:lineRule="auto"/>
        <w:ind w:left="360"/>
        <w:jc w:val="both"/>
        <w:rPr>
          <w:rFonts w:cs="Arial"/>
          <w:lang w:val="fr-BE" w:eastAsia="nl-BE"/>
        </w:rPr>
      </w:pPr>
    </w:p>
    <w:p w14:paraId="5B2F64CF" w14:textId="77777777" w:rsidR="00174427" w:rsidRDefault="00174427" w:rsidP="00BE3219">
      <w:pPr>
        <w:pStyle w:val="ListParagraph"/>
        <w:numPr>
          <w:ilvl w:val="0"/>
          <w:numId w:val="39"/>
        </w:numPr>
        <w:tabs>
          <w:tab w:val="clear" w:pos="284"/>
        </w:tabs>
        <w:autoSpaceDE w:val="0"/>
        <w:autoSpaceDN w:val="0"/>
        <w:adjustRightInd w:val="0"/>
        <w:spacing w:line="240" w:lineRule="auto"/>
        <w:jc w:val="both"/>
        <w:rPr>
          <w:rFonts w:cs="Arial"/>
          <w:lang w:val="fr-BE" w:eastAsia="nl-BE"/>
        </w:rPr>
      </w:pPr>
      <w:r w:rsidRPr="00256F87">
        <w:rPr>
          <w:rFonts w:cs="Arial"/>
          <w:u w:val="single"/>
          <w:lang w:val="fr-BE" w:eastAsia="nl-BE"/>
        </w:rPr>
        <w:t xml:space="preserve">Orientations </w:t>
      </w:r>
      <w:proofErr w:type="gramStart"/>
      <w:r w:rsidRPr="00256F87">
        <w:rPr>
          <w:rFonts w:cs="Arial"/>
          <w:u w:val="single"/>
          <w:lang w:val="fr-BE" w:eastAsia="nl-BE"/>
        </w:rPr>
        <w:t>communes</w:t>
      </w:r>
      <w:r>
        <w:rPr>
          <w:rFonts w:cs="Arial"/>
          <w:lang w:val="fr-BE" w:eastAsia="nl-BE"/>
        </w:rPr>
        <w:t>:</w:t>
      </w:r>
      <w:proofErr w:type="gramEnd"/>
      <w:r>
        <w:rPr>
          <w:rFonts w:cs="Arial"/>
          <w:lang w:val="fr-BE" w:eastAsia="nl-BE"/>
        </w:rPr>
        <w:t xml:space="preserve"> </w:t>
      </w:r>
      <w:r w:rsidRPr="00AD7B1C">
        <w:rPr>
          <w:rFonts w:cs="Arial"/>
          <w:lang w:val="fr-BE" w:eastAsia="nl-BE"/>
        </w:rPr>
        <w:t>orientations communes des autorités européennes de surveillance relatives à l’évaluation prudentielle des acquisitions et des augmentations de participations qualifiées dans des entités du secteur financier</w:t>
      </w:r>
      <w:r w:rsidRPr="00174427">
        <w:rPr>
          <w:rFonts w:cs="Arial"/>
          <w:lang w:val="fr-BE" w:eastAsia="nl-BE"/>
        </w:rPr>
        <w:t xml:space="preserve"> </w:t>
      </w:r>
      <w:r>
        <w:rPr>
          <w:rFonts w:cs="Arial"/>
          <w:lang w:val="fr-BE" w:eastAsia="nl-BE"/>
        </w:rPr>
        <w:t>publiées le</w:t>
      </w:r>
      <w:r w:rsidRPr="00AD7B1C">
        <w:rPr>
          <w:rFonts w:cs="Arial"/>
          <w:lang w:val="fr-BE" w:eastAsia="nl-BE"/>
        </w:rPr>
        <w:t xml:space="preserve"> 5 mai 2017</w:t>
      </w:r>
      <w:r>
        <w:rPr>
          <w:rFonts w:cs="Arial"/>
          <w:lang w:val="fr-BE" w:eastAsia="nl-BE"/>
        </w:rPr>
        <w:t xml:space="preserve"> (</w:t>
      </w:r>
      <w:r w:rsidR="00D613B4">
        <w:rPr>
          <w:rFonts w:cs="Arial"/>
          <w:lang w:val="fr-BE" w:eastAsia="nl-BE"/>
        </w:rPr>
        <w:t xml:space="preserve">document repris intégralement en annexe </w:t>
      </w:r>
      <w:r w:rsidR="009A7603">
        <w:rPr>
          <w:rFonts w:cs="Arial"/>
          <w:lang w:val="fr-BE" w:eastAsia="nl-BE"/>
        </w:rPr>
        <w:t>8</w:t>
      </w:r>
      <w:r w:rsidR="00D613B4">
        <w:rPr>
          <w:rFonts w:cs="Arial"/>
          <w:lang w:val="fr-BE" w:eastAsia="nl-BE"/>
        </w:rPr>
        <w:t xml:space="preserve"> de la présente communication)</w:t>
      </w:r>
      <w:r w:rsidR="0042555A">
        <w:rPr>
          <w:rFonts w:cs="Arial"/>
          <w:lang w:val="fr-BE" w:eastAsia="nl-BE"/>
        </w:rPr>
        <w:t>.</w:t>
      </w:r>
    </w:p>
    <w:p w14:paraId="443B5308" w14:textId="77777777" w:rsidR="00D613B4" w:rsidRPr="00F008E9" w:rsidRDefault="00D613B4" w:rsidP="00BE3219">
      <w:pPr>
        <w:pStyle w:val="ListParagraph"/>
        <w:jc w:val="both"/>
        <w:rPr>
          <w:rFonts w:cs="Arial"/>
          <w:lang w:val="fr-BE" w:eastAsia="nl-BE"/>
        </w:rPr>
      </w:pPr>
    </w:p>
    <w:p w14:paraId="32ED4115" w14:textId="77777777" w:rsidR="00E03696" w:rsidRPr="00256F87" w:rsidRDefault="00174427" w:rsidP="00BE3219">
      <w:pPr>
        <w:pStyle w:val="ListParagraph"/>
        <w:numPr>
          <w:ilvl w:val="0"/>
          <w:numId w:val="39"/>
        </w:numPr>
        <w:tabs>
          <w:tab w:val="clear" w:pos="284"/>
        </w:tabs>
        <w:autoSpaceDE w:val="0"/>
        <w:autoSpaceDN w:val="0"/>
        <w:adjustRightInd w:val="0"/>
        <w:spacing w:line="240" w:lineRule="auto"/>
        <w:jc w:val="both"/>
        <w:rPr>
          <w:rFonts w:cs="Arial"/>
          <w:lang w:val="fr-BE" w:eastAsia="nl-BE"/>
        </w:rPr>
      </w:pPr>
      <w:r w:rsidRPr="00256F87">
        <w:rPr>
          <w:rFonts w:cs="Arial"/>
          <w:u w:val="single"/>
          <w:lang w:val="fr-BE" w:eastAsia="nl-BE"/>
        </w:rPr>
        <w:t>Participation qualifiée</w:t>
      </w:r>
      <w:r w:rsidRPr="00F008E9">
        <w:rPr>
          <w:rFonts w:cs="Arial"/>
          <w:lang w:val="fr-BE" w:eastAsia="nl-BE"/>
        </w:rPr>
        <w:t xml:space="preserve"> : </w:t>
      </w:r>
      <w:r w:rsidR="00D613B4" w:rsidRPr="00256F87">
        <w:rPr>
          <w:rFonts w:cs="Arial"/>
          <w:iCs/>
          <w:lang w:val="fr-BE" w:eastAsia="nl-BE"/>
        </w:rPr>
        <w:t>la détention, directe ou indirecte, de 10 p.c. au moins du capital d'une société ou des droits de vote attachés aux titres émis par cette société, ou toute autre possibilité d'exercer une influence notable sur la gestion de la société dans laquelle est détenue une participation; le calcul des droits de vote s'établit conformément aux dispositions de la loi du 2 mai 2007 relative à la publicité des participations importantes, ainsi qu'à celles de ses arrêtés d'exécution</w:t>
      </w:r>
      <w:r w:rsidR="00D613B4" w:rsidRPr="00D613B4">
        <w:rPr>
          <w:rFonts w:cs="Arial"/>
          <w:iCs/>
          <w:lang w:val="fr-BE" w:eastAsia="nl-BE"/>
        </w:rPr>
        <w:t> </w:t>
      </w:r>
      <w:r w:rsidR="00D613B4" w:rsidRPr="00F008E9">
        <w:rPr>
          <w:rFonts w:cs="Arial"/>
          <w:iCs/>
          <w:lang w:val="fr-BE" w:eastAsia="nl-BE"/>
        </w:rPr>
        <w:t xml:space="preserve">; </w:t>
      </w:r>
      <w:r w:rsidR="00D613B4" w:rsidRPr="00A53F08">
        <w:rPr>
          <w:rFonts w:cs="Arial"/>
          <w:lang w:val="fr-BE" w:eastAsia="nl-BE"/>
        </w:rPr>
        <w:t>il n’est pas tenu compte des droits de vote ou des actions détenues à la suite de la prise ferme d’</w:t>
      </w:r>
      <w:r w:rsidR="00D613B4" w:rsidRPr="00D613B4">
        <w:rPr>
          <w:rFonts w:cs="Arial"/>
          <w:lang w:val="fr-BE" w:eastAsia="nl-BE"/>
        </w:rPr>
        <w:t>instruments financiers et/ou du placement d’instruments financiers avec engagement ferme, pour autant que, d’une part, ces droits ne soient pas exercés ni utilisés autrement pour intervenir dans la gestion de l’émetteur et que, d’autre part, ils soient cédés dans un délai d’un an après leur acquisition</w:t>
      </w:r>
      <w:r w:rsidR="00D613B4">
        <w:rPr>
          <w:rFonts w:cs="Arial"/>
          <w:lang w:val="fr-BE" w:eastAsia="nl-BE"/>
        </w:rPr>
        <w:t xml:space="preserve"> (Article 15, 44° de la loi du 13 </w:t>
      </w:r>
      <w:r w:rsidR="00D613B4" w:rsidRPr="00256F87">
        <w:rPr>
          <w:rFonts w:cs="Arial"/>
          <w:iCs/>
          <w:lang w:val="fr-BE" w:eastAsia="nl-BE"/>
        </w:rPr>
        <w:t>mars 2016 relative au statut et au contrôle des entreprises d'assurance ou de réassurance</w:t>
      </w:r>
      <w:r w:rsidR="00D613B4">
        <w:rPr>
          <w:rFonts w:cs="Arial"/>
          <w:iCs/>
          <w:lang w:val="fr-BE" w:eastAsia="nl-BE"/>
        </w:rPr>
        <w:t> ; Articles 3, 28° de la loi</w:t>
      </w:r>
      <w:r w:rsidR="0042555A">
        <w:rPr>
          <w:rFonts w:cs="Arial"/>
          <w:iCs/>
          <w:lang w:val="fr-BE" w:eastAsia="nl-BE"/>
        </w:rPr>
        <w:t xml:space="preserve"> du</w:t>
      </w:r>
      <w:r w:rsidR="00D613B4">
        <w:rPr>
          <w:rFonts w:cs="Arial"/>
          <w:iCs/>
          <w:lang w:val="fr-BE" w:eastAsia="nl-BE"/>
        </w:rPr>
        <w:t xml:space="preserve"> </w:t>
      </w:r>
      <w:r w:rsidR="00D613B4" w:rsidRPr="00792A3F">
        <w:rPr>
          <w:rFonts w:cs="Arial"/>
          <w:iCs/>
          <w:lang w:val="fr-BE" w:eastAsia="nl-BE"/>
        </w:rPr>
        <w:t>25 avril 2014</w:t>
      </w:r>
      <w:r w:rsidR="00D613B4" w:rsidRPr="00B45417">
        <w:rPr>
          <w:rFonts w:cs="Arial"/>
          <w:i/>
          <w:iCs/>
          <w:lang w:val="fr-BE" w:eastAsia="nl-BE"/>
        </w:rPr>
        <w:t xml:space="preserve"> relative au statut et au contrôle des établissements de crédit et des sociétés de bourse</w:t>
      </w:r>
      <w:r w:rsidR="00D613B4">
        <w:rPr>
          <w:rFonts w:cs="Arial"/>
          <w:i/>
          <w:iCs/>
          <w:lang w:val="fr-BE" w:eastAsia="nl-BE"/>
        </w:rPr>
        <w:t>.</w:t>
      </w:r>
      <w:r w:rsidR="00D613B4">
        <w:rPr>
          <w:rFonts w:cs="Arial"/>
          <w:lang w:val="fr-BE" w:eastAsia="nl-BE"/>
        </w:rPr>
        <w:t xml:space="preserve"> </w:t>
      </w:r>
    </w:p>
    <w:p w14:paraId="52E6A10A" w14:textId="77777777" w:rsidR="006458DE" w:rsidRPr="00AD7B1C" w:rsidRDefault="006458DE" w:rsidP="00BE3219">
      <w:pPr>
        <w:tabs>
          <w:tab w:val="clear" w:pos="284"/>
        </w:tabs>
        <w:autoSpaceDE w:val="0"/>
        <w:autoSpaceDN w:val="0"/>
        <w:adjustRightInd w:val="0"/>
        <w:spacing w:line="240" w:lineRule="auto"/>
        <w:jc w:val="both"/>
        <w:rPr>
          <w:rFonts w:cs="Arial"/>
          <w:lang w:val="fr-BE" w:eastAsia="nl-BE"/>
        </w:rPr>
      </w:pPr>
    </w:p>
    <w:p w14:paraId="74BCD160" w14:textId="77777777" w:rsidR="002518B6" w:rsidRPr="00AD7B1C" w:rsidRDefault="002518B6" w:rsidP="00BE3219">
      <w:pPr>
        <w:tabs>
          <w:tab w:val="clear" w:pos="284"/>
        </w:tabs>
        <w:autoSpaceDE w:val="0"/>
        <w:autoSpaceDN w:val="0"/>
        <w:adjustRightInd w:val="0"/>
        <w:spacing w:line="240" w:lineRule="auto"/>
        <w:jc w:val="both"/>
        <w:rPr>
          <w:rFonts w:cs="Arial"/>
          <w:b/>
          <w:bCs/>
          <w:lang w:val="fr-BE" w:eastAsia="nl-BE"/>
        </w:rPr>
      </w:pPr>
    </w:p>
    <w:p w14:paraId="0AB93A6D" w14:textId="77777777" w:rsidR="00C004A7" w:rsidRPr="00256F87" w:rsidRDefault="00760B7B" w:rsidP="00BE3219">
      <w:pPr>
        <w:tabs>
          <w:tab w:val="clear" w:pos="284"/>
        </w:tabs>
        <w:autoSpaceDE w:val="0"/>
        <w:autoSpaceDN w:val="0"/>
        <w:adjustRightInd w:val="0"/>
        <w:spacing w:line="240" w:lineRule="auto"/>
        <w:jc w:val="both"/>
        <w:rPr>
          <w:rFonts w:cs="Arial"/>
          <w:b/>
          <w:bCs/>
          <w:u w:val="single"/>
          <w:lang w:val="fr-BE" w:eastAsia="nl-BE"/>
        </w:rPr>
      </w:pPr>
      <w:r w:rsidRPr="00256F87">
        <w:rPr>
          <w:rFonts w:cs="Arial"/>
          <w:b/>
          <w:bCs/>
          <w:u w:val="single"/>
          <w:lang w:val="fr-BE" w:eastAsia="nl-BE"/>
        </w:rPr>
        <w:t>3</w:t>
      </w:r>
      <w:r w:rsidR="0036635F" w:rsidRPr="00256F87">
        <w:rPr>
          <w:rFonts w:cs="Arial"/>
          <w:b/>
          <w:bCs/>
          <w:u w:val="single"/>
          <w:lang w:val="fr-BE" w:eastAsia="nl-BE"/>
        </w:rPr>
        <w:t>.</w:t>
      </w:r>
      <w:r w:rsidR="00C004A7" w:rsidRPr="00256F87">
        <w:rPr>
          <w:rFonts w:cs="Arial"/>
          <w:b/>
          <w:bCs/>
          <w:u w:val="single"/>
          <w:lang w:val="fr-BE" w:eastAsia="nl-BE"/>
        </w:rPr>
        <w:t xml:space="preserve"> </w:t>
      </w:r>
      <w:r w:rsidR="0036635F" w:rsidRPr="00256F87">
        <w:rPr>
          <w:rFonts w:cs="Arial"/>
          <w:b/>
          <w:bCs/>
          <w:u w:val="single"/>
          <w:lang w:val="fr-BE" w:eastAsia="nl-BE"/>
        </w:rPr>
        <w:t xml:space="preserve">Situations où une </w:t>
      </w:r>
      <w:r w:rsidR="00AD7B1C" w:rsidRPr="00256F87">
        <w:rPr>
          <w:rFonts w:cs="Arial"/>
          <w:b/>
          <w:bCs/>
          <w:u w:val="single"/>
          <w:lang w:val="fr-BE" w:eastAsia="nl-BE"/>
        </w:rPr>
        <w:t>décision</w:t>
      </w:r>
      <w:r w:rsidR="0036635F" w:rsidRPr="00256F87">
        <w:rPr>
          <w:rFonts w:cs="Arial"/>
          <w:b/>
          <w:bCs/>
          <w:u w:val="single"/>
          <w:lang w:val="fr-BE" w:eastAsia="nl-BE"/>
        </w:rPr>
        <w:t xml:space="preserve"> d’acquisition ou de cession doit être notifiée à </w:t>
      </w:r>
      <w:r w:rsidR="00353A88" w:rsidRPr="00256F87">
        <w:rPr>
          <w:rFonts w:cs="Arial"/>
          <w:b/>
          <w:bCs/>
          <w:u w:val="single"/>
          <w:lang w:val="fr-BE" w:eastAsia="nl-BE"/>
        </w:rPr>
        <w:t>l’autorité compétente</w:t>
      </w:r>
    </w:p>
    <w:p w14:paraId="7F032675" w14:textId="77777777" w:rsidR="00CD4C44" w:rsidRPr="00AD7B1C" w:rsidRDefault="00CD4C44" w:rsidP="00BE3219">
      <w:pPr>
        <w:tabs>
          <w:tab w:val="clear" w:pos="284"/>
        </w:tabs>
        <w:autoSpaceDE w:val="0"/>
        <w:autoSpaceDN w:val="0"/>
        <w:adjustRightInd w:val="0"/>
        <w:spacing w:line="240" w:lineRule="auto"/>
        <w:jc w:val="both"/>
        <w:rPr>
          <w:rFonts w:cs="Arial"/>
          <w:lang w:val="fr-BE" w:eastAsia="nl-BE"/>
        </w:rPr>
      </w:pPr>
    </w:p>
    <w:p w14:paraId="36E765EB" w14:textId="77777777" w:rsidR="0036635F" w:rsidRPr="00AD7B1C" w:rsidRDefault="0036635F"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a) Notification d’acquisition donnant lieu à une évaluation prudentielle</w:t>
      </w:r>
    </w:p>
    <w:p w14:paraId="663DB552" w14:textId="77777777" w:rsidR="0036635F" w:rsidRPr="00AD7B1C" w:rsidRDefault="0036635F" w:rsidP="00BE3219">
      <w:pPr>
        <w:tabs>
          <w:tab w:val="clear" w:pos="284"/>
        </w:tabs>
        <w:autoSpaceDE w:val="0"/>
        <w:autoSpaceDN w:val="0"/>
        <w:adjustRightInd w:val="0"/>
        <w:spacing w:line="240" w:lineRule="auto"/>
        <w:jc w:val="both"/>
        <w:rPr>
          <w:rFonts w:cs="Arial"/>
          <w:lang w:val="fr-BE" w:eastAsia="nl-BE"/>
        </w:rPr>
      </w:pPr>
    </w:p>
    <w:p w14:paraId="6861F988" w14:textId="77777777" w:rsidR="0036635F" w:rsidRPr="00AD7B1C" w:rsidRDefault="0036635F"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En vertu des dispositions légales précitées, la notification de la décision d'acquérir des actions ou des droits d’associés dans un organisme financier est légalement requise, et donne lieu à une évaluation prudentielle par </w:t>
      </w:r>
      <w:r w:rsidR="00353A88">
        <w:rPr>
          <w:rFonts w:cs="Arial"/>
          <w:lang w:val="fr-BE" w:eastAsia="nl-BE"/>
        </w:rPr>
        <w:t>l’autorité compétente</w:t>
      </w:r>
      <w:r w:rsidRPr="00AD7B1C">
        <w:rPr>
          <w:rFonts w:cs="Arial"/>
          <w:lang w:val="fr-BE" w:eastAsia="nl-BE"/>
        </w:rPr>
        <w:t xml:space="preserve"> lorsque, du fait de cette acquisition, l’acquéreur</w:t>
      </w:r>
    </w:p>
    <w:p w14:paraId="11AEC215" w14:textId="77777777" w:rsidR="0036635F" w:rsidRPr="00AD7B1C" w:rsidRDefault="0036635F" w:rsidP="004D368F">
      <w:pPr>
        <w:pStyle w:val="ListParagraph"/>
        <w:numPr>
          <w:ilvl w:val="0"/>
          <w:numId w:val="35"/>
        </w:numPr>
        <w:tabs>
          <w:tab w:val="clear" w:pos="284"/>
        </w:tabs>
        <w:autoSpaceDE w:val="0"/>
        <w:autoSpaceDN w:val="0"/>
        <w:adjustRightInd w:val="0"/>
        <w:spacing w:before="60" w:after="60" w:line="240" w:lineRule="auto"/>
        <w:ind w:left="357" w:hanging="357"/>
        <w:contextualSpacing w:val="0"/>
        <w:jc w:val="both"/>
        <w:rPr>
          <w:rFonts w:cs="Arial"/>
          <w:lang w:val="fr-BE" w:eastAsia="nl-BE"/>
        </w:rPr>
      </w:pPr>
      <w:proofErr w:type="gramStart"/>
      <w:r w:rsidRPr="00AD7B1C">
        <w:rPr>
          <w:rFonts w:cs="Arial"/>
          <w:lang w:val="fr-BE" w:eastAsia="nl-BE"/>
        </w:rPr>
        <w:t>détiendra</w:t>
      </w:r>
      <w:proofErr w:type="gramEnd"/>
      <w:r w:rsidRPr="00AD7B1C">
        <w:rPr>
          <w:rFonts w:cs="Arial"/>
          <w:lang w:val="fr-BE" w:eastAsia="nl-BE"/>
        </w:rPr>
        <w:t xml:space="preserve"> une "participation qualifiée" dans cet organisme financier ; ou</w:t>
      </w:r>
    </w:p>
    <w:p w14:paraId="785853C7" w14:textId="77777777" w:rsidR="0036635F" w:rsidRPr="00AD7B1C" w:rsidRDefault="0036635F" w:rsidP="004D368F">
      <w:pPr>
        <w:pStyle w:val="ListParagraph"/>
        <w:numPr>
          <w:ilvl w:val="0"/>
          <w:numId w:val="35"/>
        </w:numPr>
        <w:tabs>
          <w:tab w:val="clear" w:pos="284"/>
        </w:tabs>
        <w:autoSpaceDE w:val="0"/>
        <w:autoSpaceDN w:val="0"/>
        <w:adjustRightInd w:val="0"/>
        <w:spacing w:before="60" w:after="60" w:line="240" w:lineRule="auto"/>
        <w:ind w:left="357" w:hanging="357"/>
        <w:contextualSpacing w:val="0"/>
        <w:jc w:val="both"/>
        <w:rPr>
          <w:rFonts w:cs="Arial"/>
          <w:lang w:val="fr-BE" w:eastAsia="nl-BE"/>
        </w:rPr>
      </w:pPr>
      <w:proofErr w:type="gramStart"/>
      <w:r w:rsidRPr="00AD7B1C">
        <w:rPr>
          <w:rFonts w:cs="Arial"/>
          <w:lang w:val="fr-BE" w:eastAsia="nl-BE"/>
        </w:rPr>
        <w:t>accroîtra</w:t>
      </w:r>
      <w:proofErr w:type="gramEnd"/>
      <w:r w:rsidRPr="00AD7B1C">
        <w:rPr>
          <w:rFonts w:cs="Arial"/>
          <w:lang w:val="fr-BE" w:eastAsia="nl-BE"/>
        </w:rPr>
        <w:t xml:space="preserve"> une participation qualifiée qu’il détient de sorte que la proportion des droits de vote ou du capital détenue atteindra ou dépassera les seuils de 20 %, de 30 % ou de 50 %, ou que l'organisme financier deviendra sa filiale.</w:t>
      </w:r>
    </w:p>
    <w:p w14:paraId="6F92E350" w14:textId="77777777" w:rsidR="0036635F" w:rsidRPr="00AD7B1C" w:rsidRDefault="0036635F" w:rsidP="00BE3219">
      <w:pPr>
        <w:tabs>
          <w:tab w:val="clear" w:pos="284"/>
        </w:tabs>
        <w:autoSpaceDE w:val="0"/>
        <w:autoSpaceDN w:val="0"/>
        <w:adjustRightInd w:val="0"/>
        <w:spacing w:line="240" w:lineRule="auto"/>
        <w:jc w:val="both"/>
        <w:rPr>
          <w:rFonts w:cs="Arial"/>
          <w:lang w:val="fr-BE" w:eastAsia="nl-BE"/>
        </w:rPr>
      </w:pPr>
    </w:p>
    <w:p w14:paraId="71277529" w14:textId="77777777" w:rsidR="0036635F" w:rsidRPr="00AD7B1C" w:rsidRDefault="0072061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w:t>
      </w:r>
      <w:r w:rsidR="0036635F" w:rsidRPr="00AD7B1C">
        <w:rPr>
          <w:rFonts w:cs="Arial"/>
          <w:lang w:val="fr-BE" w:eastAsia="nl-BE"/>
        </w:rPr>
        <w:t>a notification et l’évaluation prudentielle à laquelle elle donne lieu sont</w:t>
      </w:r>
      <w:r w:rsidRPr="00AD7B1C">
        <w:rPr>
          <w:rFonts w:cs="Arial"/>
          <w:lang w:val="fr-BE" w:eastAsia="nl-BE"/>
        </w:rPr>
        <w:t xml:space="preserve"> </w:t>
      </w:r>
      <w:r w:rsidR="0036635F" w:rsidRPr="00AD7B1C">
        <w:rPr>
          <w:rFonts w:cs="Arial"/>
          <w:lang w:val="fr-BE" w:eastAsia="nl-BE"/>
        </w:rPr>
        <w:t xml:space="preserve">légalement des </w:t>
      </w:r>
      <w:r w:rsidR="0036635F" w:rsidRPr="00AD7B1C">
        <w:rPr>
          <w:rFonts w:cs="Arial"/>
          <w:u w:val="single"/>
          <w:lang w:val="fr-BE" w:eastAsia="nl-BE"/>
        </w:rPr>
        <w:t>préalables</w:t>
      </w:r>
      <w:r w:rsidR="0036635F" w:rsidRPr="00AD7B1C">
        <w:rPr>
          <w:rFonts w:cs="Arial"/>
          <w:lang w:val="fr-BE" w:eastAsia="nl-BE"/>
        </w:rPr>
        <w:t xml:space="preserve"> à l’acquisition effective des actions ou droits d’associés.</w:t>
      </w:r>
    </w:p>
    <w:p w14:paraId="11C6A4E7" w14:textId="77777777" w:rsidR="00720616" w:rsidRPr="00AD7B1C" w:rsidRDefault="00720616" w:rsidP="00BE3219">
      <w:pPr>
        <w:tabs>
          <w:tab w:val="clear" w:pos="284"/>
        </w:tabs>
        <w:autoSpaceDE w:val="0"/>
        <w:autoSpaceDN w:val="0"/>
        <w:adjustRightInd w:val="0"/>
        <w:spacing w:line="240" w:lineRule="auto"/>
        <w:jc w:val="both"/>
        <w:rPr>
          <w:rFonts w:cs="Arial"/>
          <w:lang w:val="fr-BE" w:eastAsia="nl-BE"/>
        </w:rPr>
      </w:pPr>
    </w:p>
    <w:p w14:paraId="0CB0E0E7" w14:textId="77777777" w:rsidR="00720616" w:rsidRPr="00AD7B1C" w:rsidRDefault="0036635F"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Concernant la notion de « participation qualifiée », elle est légalement définie </w:t>
      </w:r>
      <w:r w:rsidR="00DE2EA7">
        <w:rPr>
          <w:rFonts w:cs="Arial"/>
          <w:lang w:val="fr-BE" w:eastAsia="nl-BE"/>
        </w:rPr>
        <w:t>et reprise ci-dessus</w:t>
      </w:r>
      <w:r w:rsidR="00DE2EA7">
        <w:rPr>
          <w:rFonts w:cs="Arial"/>
          <w:i/>
          <w:iCs/>
          <w:lang w:val="fr-BE" w:eastAsia="nl-BE"/>
        </w:rPr>
        <w:t>.</w:t>
      </w:r>
      <w:r w:rsidR="00DE2EA7">
        <w:rPr>
          <w:rFonts w:cs="Arial"/>
          <w:lang w:val="fr-BE" w:eastAsia="nl-BE"/>
        </w:rPr>
        <w:t xml:space="preserve">  </w:t>
      </w:r>
      <w:r w:rsidRPr="00AD7B1C">
        <w:rPr>
          <w:rFonts w:cs="Arial"/>
          <w:lang w:val="fr-BE" w:eastAsia="nl-BE"/>
        </w:rPr>
        <w:t>Il est à souligner que, compte tenu du critère d’influence notable sur la gestion, l'acquisition</w:t>
      </w:r>
      <w:r w:rsidR="00AD7B1C" w:rsidRPr="00AD7B1C">
        <w:rPr>
          <w:rFonts w:cs="Arial"/>
          <w:lang w:val="fr-BE" w:eastAsia="nl-BE"/>
        </w:rPr>
        <w:t xml:space="preserve"> </w:t>
      </w:r>
      <w:r w:rsidRPr="00AD7B1C">
        <w:rPr>
          <w:rFonts w:cs="Arial"/>
          <w:lang w:val="fr-BE" w:eastAsia="nl-BE"/>
        </w:rPr>
        <w:t>d'une participation inférieure à 10 % du capital ou des droits de vote peut donner lieu à</w:t>
      </w:r>
      <w:r w:rsidR="00AD7B1C" w:rsidRPr="00AD7B1C">
        <w:rPr>
          <w:rFonts w:cs="Arial"/>
          <w:lang w:val="fr-BE" w:eastAsia="nl-BE"/>
        </w:rPr>
        <w:t xml:space="preserve"> </w:t>
      </w:r>
      <w:r w:rsidRPr="00AD7B1C">
        <w:rPr>
          <w:rFonts w:cs="Arial"/>
          <w:lang w:val="fr-BE" w:eastAsia="nl-BE"/>
        </w:rPr>
        <w:t xml:space="preserve">l'obligation de notification et à l'évaluation prudentielle du projet du candidat acquéreur. </w:t>
      </w:r>
      <w:r w:rsidR="00720616" w:rsidRPr="00AD7B1C">
        <w:rPr>
          <w:rFonts w:cs="Arial"/>
          <w:lang w:val="fr-BE" w:eastAsia="nl-BE"/>
        </w:rPr>
        <w:t>La notion d’</w:t>
      </w:r>
      <w:r w:rsidR="00720616" w:rsidRPr="00AD7B1C">
        <w:rPr>
          <w:rFonts w:cs="Arial"/>
          <w:u w:val="single"/>
          <w:lang w:val="fr-BE" w:eastAsia="nl-BE"/>
        </w:rPr>
        <w:t xml:space="preserve">influence notable </w:t>
      </w:r>
      <w:r w:rsidR="00720616" w:rsidRPr="00AD7B1C">
        <w:rPr>
          <w:rFonts w:cs="Arial"/>
          <w:lang w:val="fr-BE" w:eastAsia="nl-BE"/>
        </w:rPr>
        <w:t>est explicitée au point 5 des orientations communes des AES reprises en annexe</w:t>
      </w:r>
      <w:r w:rsidR="009A7603">
        <w:rPr>
          <w:rFonts w:cs="Arial"/>
          <w:lang w:val="fr-BE" w:eastAsia="nl-BE"/>
        </w:rPr>
        <w:t xml:space="preserve"> 8</w:t>
      </w:r>
      <w:r w:rsidR="00720616" w:rsidRPr="00AD7B1C">
        <w:rPr>
          <w:rFonts w:cs="Arial"/>
          <w:lang w:val="fr-BE" w:eastAsia="nl-BE"/>
        </w:rPr>
        <w:t>. Il est dès lors renvoyé audit point 5.</w:t>
      </w:r>
    </w:p>
    <w:p w14:paraId="78B0AD1F"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2CEE68BC"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S’agissant des éléments à prendre en compte pour évaluer si </w:t>
      </w:r>
      <w:r w:rsidR="00ED6F50" w:rsidRPr="00AD7B1C">
        <w:rPr>
          <w:rFonts w:cs="Arial"/>
          <w:lang w:val="fr-BE" w:eastAsia="nl-BE"/>
        </w:rPr>
        <w:t>une</w:t>
      </w:r>
      <w:r w:rsidRPr="00AD7B1C">
        <w:rPr>
          <w:rFonts w:cs="Arial"/>
          <w:lang w:val="fr-BE" w:eastAsia="nl-BE"/>
        </w:rPr>
        <w:t xml:space="preserve"> d</w:t>
      </w:r>
      <w:r w:rsidR="00ED6F50" w:rsidRPr="00AD7B1C">
        <w:rPr>
          <w:rFonts w:cs="Arial"/>
          <w:lang w:val="fr-BE" w:eastAsia="nl-BE"/>
        </w:rPr>
        <w:t>é</w:t>
      </w:r>
      <w:r w:rsidRPr="00AD7B1C">
        <w:rPr>
          <w:rFonts w:cs="Arial"/>
          <w:lang w:val="fr-BE" w:eastAsia="nl-BE"/>
        </w:rPr>
        <w:t>cision d’acquisition a été prise</w:t>
      </w:r>
      <w:r w:rsidR="00ED6F50" w:rsidRPr="00AD7B1C">
        <w:rPr>
          <w:rFonts w:cs="Arial"/>
          <w:lang w:val="fr-BE" w:eastAsia="nl-BE"/>
        </w:rPr>
        <w:t xml:space="preserve"> et du franchissement involontaire d’un seuil</w:t>
      </w:r>
      <w:r w:rsidRPr="00AD7B1C">
        <w:rPr>
          <w:rFonts w:cs="Arial"/>
          <w:lang w:val="fr-BE" w:eastAsia="nl-BE"/>
        </w:rPr>
        <w:t>, il</w:t>
      </w:r>
      <w:r w:rsidR="00ED6F50" w:rsidRPr="00AD7B1C">
        <w:rPr>
          <w:rFonts w:cs="Arial"/>
          <w:lang w:val="fr-BE" w:eastAsia="nl-BE"/>
        </w:rPr>
        <w:t xml:space="preserve"> </w:t>
      </w:r>
      <w:r w:rsidRPr="00AD7B1C">
        <w:rPr>
          <w:rFonts w:cs="Arial"/>
          <w:lang w:val="fr-BE" w:eastAsia="nl-BE"/>
        </w:rPr>
        <w:t>est renvoyé au point 7 des orientations communes ci-jointes.</w:t>
      </w:r>
    </w:p>
    <w:p w14:paraId="5134D27B" w14:textId="77777777" w:rsidR="00720616" w:rsidRPr="00AD7B1C" w:rsidRDefault="00720616" w:rsidP="00BE3219">
      <w:pPr>
        <w:tabs>
          <w:tab w:val="clear" w:pos="284"/>
        </w:tabs>
        <w:autoSpaceDE w:val="0"/>
        <w:autoSpaceDN w:val="0"/>
        <w:adjustRightInd w:val="0"/>
        <w:spacing w:line="240" w:lineRule="auto"/>
        <w:jc w:val="both"/>
        <w:rPr>
          <w:rFonts w:cs="Arial"/>
          <w:lang w:val="fr-BE" w:eastAsia="nl-BE"/>
        </w:rPr>
      </w:pPr>
    </w:p>
    <w:p w14:paraId="727B9EE2" w14:textId="77777777" w:rsidR="00C3198B" w:rsidRPr="00AD7B1C" w:rsidRDefault="00720616"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 xml:space="preserve">b) </w:t>
      </w:r>
      <w:r w:rsidR="00C3198B" w:rsidRPr="00AD7B1C">
        <w:rPr>
          <w:rFonts w:cs="Arial"/>
          <w:u w:val="single"/>
          <w:lang w:val="fr-BE" w:eastAsia="nl-BE"/>
        </w:rPr>
        <w:t>Notification de cessions de droits d’associés constitutifs d’une participation qualifiée</w:t>
      </w:r>
    </w:p>
    <w:p w14:paraId="0B8B3B04"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7763C61E"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Les dispositions légales requièrent également que toute personne qui détient une participation qualifiée, notifie à </w:t>
      </w:r>
      <w:r w:rsidR="00353A88">
        <w:rPr>
          <w:rFonts w:cs="Arial"/>
          <w:lang w:val="fr-BE" w:eastAsia="nl-BE"/>
        </w:rPr>
        <w:t>l’autorité compétente</w:t>
      </w:r>
      <w:r w:rsidRPr="00AD7B1C">
        <w:rPr>
          <w:rFonts w:cs="Arial"/>
          <w:lang w:val="fr-BE" w:eastAsia="nl-BE"/>
        </w:rPr>
        <w:t xml:space="preserve"> sa décision de réduire sa participation qualifiée de telle façon qu'il ne s'agira plus </w:t>
      </w:r>
      <w:proofErr w:type="gramStart"/>
      <w:r w:rsidRPr="00AD7B1C">
        <w:rPr>
          <w:rFonts w:cs="Arial"/>
          <w:lang w:val="fr-BE" w:eastAsia="nl-BE"/>
        </w:rPr>
        <w:t>d'une participation qualifié</w:t>
      </w:r>
      <w:proofErr w:type="gramEnd"/>
      <w:r w:rsidRPr="00AD7B1C">
        <w:rPr>
          <w:rFonts w:cs="Arial"/>
          <w:lang w:val="fr-BE" w:eastAsia="nl-BE"/>
        </w:rPr>
        <w:t>, ou que la proportion des droits de vote ou du capital détenue descende en dessous des seuils de 20 %, 30 % ou 50 %, ou que l'organisme financier cesse d'être sa filiale.</w:t>
      </w:r>
    </w:p>
    <w:p w14:paraId="49B4598B"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26DC1206"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Cette notification est requise quelles que soient les modalités de l’opération. Il est notamment indifférent que celle-ci soit réalisée à titre onéreux ou à titre gratuit.</w:t>
      </w:r>
    </w:p>
    <w:p w14:paraId="63AC3290"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601CBBF7" w14:textId="77777777" w:rsidR="0036635F"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lastRenderedPageBreak/>
        <w:t xml:space="preserve">De même que dans le cas de l’acquisition ou de l’accroissement d’une participation qualifiée, cette notification doit être effectuée préalablement à la cession effective faisant l’objet de la décision de </w:t>
      </w:r>
      <w:proofErr w:type="gramStart"/>
      <w:r w:rsidRPr="00AD7B1C">
        <w:rPr>
          <w:rFonts w:cs="Arial"/>
          <w:lang w:val="fr-BE" w:eastAsia="nl-BE"/>
        </w:rPr>
        <w:t>l’</w:t>
      </w:r>
      <w:proofErr w:type="spellStart"/>
      <w:r w:rsidRPr="00AD7B1C">
        <w:rPr>
          <w:rFonts w:cs="Arial"/>
          <w:lang w:val="fr-BE" w:eastAsia="nl-BE"/>
        </w:rPr>
        <w:t>actionnaire.</w:t>
      </w:r>
      <w:r w:rsidR="00B77ACE">
        <w:rPr>
          <w:rFonts w:cs="Arial"/>
          <w:lang w:val="fr-BE" w:eastAsia="nl-BE"/>
        </w:rPr>
        <w:t>L</w:t>
      </w:r>
      <w:r w:rsidRPr="00AD7B1C">
        <w:rPr>
          <w:rFonts w:cs="Arial"/>
          <w:lang w:val="fr-BE" w:eastAsia="nl-BE"/>
        </w:rPr>
        <w:t>e</w:t>
      </w:r>
      <w:proofErr w:type="spellEnd"/>
      <w:proofErr w:type="gramEnd"/>
      <w:r w:rsidRPr="00AD7B1C">
        <w:rPr>
          <w:rFonts w:cs="Arial"/>
          <w:lang w:val="fr-BE" w:eastAsia="nl-BE"/>
        </w:rPr>
        <w:t xml:space="preserve"> cédant indiquera à </w:t>
      </w:r>
      <w:r w:rsidR="00353A88">
        <w:rPr>
          <w:rFonts w:cs="Arial"/>
          <w:lang w:val="fr-BE" w:eastAsia="nl-BE"/>
        </w:rPr>
        <w:t>l’autorité compétente</w:t>
      </w:r>
      <w:r w:rsidRPr="00AD7B1C">
        <w:rPr>
          <w:rFonts w:cs="Arial"/>
          <w:lang w:val="fr-BE" w:eastAsia="nl-BE"/>
        </w:rPr>
        <w:t xml:space="preserve"> l’identité du cessionnaire de la participation. Cette notification vise en effet à informer </w:t>
      </w:r>
      <w:r w:rsidR="00353A88">
        <w:rPr>
          <w:rFonts w:cs="Arial"/>
          <w:lang w:val="fr-BE" w:eastAsia="nl-BE"/>
        </w:rPr>
        <w:t>l’autorité compétente</w:t>
      </w:r>
      <w:r w:rsidRPr="00AD7B1C">
        <w:rPr>
          <w:rFonts w:cs="Arial"/>
          <w:lang w:val="fr-BE" w:eastAsia="nl-BE"/>
        </w:rPr>
        <w:t xml:space="preserve"> de la modification décidée de la composition de l’actionnariat de l’organisme financier concern</w:t>
      </w:r>
      <w:r w:rsidR="0042555A">
        <w:rPr>
          <w:rFonts w:cs="Arial"/>
          <w:lang w:val="fr-BE" w:eastAsia="nl-BE"/>
        </w:rPr>
        <w:t>é</w:t>
      </w:r>
      <w:r w:rsidRPr="00AD7B1C">
        <w:rPr>
          <w:rFonts w:cs="Arial"/>
          <w:lang w:val="fr-BE" w:eastAsia="nl-BE"/>
        </w:rPr>
        <w:t>, et à lui permettre de procéder, le cas échéant, à l’évaluation prudentielle de cette modification.</w:t>
      </w:r>
    </w:p>
    <w:p w14:paraId="4963E406" w14:textId="77777777" w:rsidR="0036635F" w:rsidRPr="00AD7B1C" w:rsidRDefault="0036635F" w:rsidP="00BE3219">
      <w:pPr>
        <w:tabs>
          <w:tab w:val="clear" w:pos="284"/>
        </w:tabs>
        <w:autoSpaceDE w:val="0"/>
        <w:autoSpaceDN w:val="0"/>
        <w:adjustRightInd w:val="0"/>
        <w:spacing w:line="240" w:lineRule="auto"/>
        <w:jc w:val="both"/>
        <w:rPr>
          <w:rFonts w:cs="Arial"/>
          <w:lang w:val="fr-BE" w:eastAsia="nl-BE"/>
        </w:rPr>
      </w:pPr>
    </w:p>
    <w:p w14:paraId="182F863C"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u w:val="single"/>
          <w:lang w:val="fr-BE" w:eastAsia="nl-BE"/>
        </w:rPr>
        <w:t>c)</w:t>
      </w:r>
      <w:r w:rsidR="003E36A8" w:rsidRPr="00AD7B1C">
        <w:rPr>
          <w:rFonts w:cs="Arial"/>
          <w:u w:val="single"/>
          <w:lang w:val="fr-BE" w:eastAsia="nl-BE"/>
        </w:rPr>
        <w:t xml:space="preserve"> </w:t>
      </w:r>
      <w:r w:rsidRPr="00AD7B1C">
        <w:rPr>
          <w:rFonts w:cs="Arial"/>
          <w:u w:val="single"/>
          <w:lang w:val="fr-BE" w:eastAsia="nl-BE"/>
        </w:rPr>
        <w:t>Notifications à des fins informatives uniquement des acquisitions ou cessions de droits</w:t>
      </w:r>
      <w:r w:rsidR="00AD7B1C" w:rsidRPr="00AD7B1C">
        <w:rPr>
          <w:rFonts w:cs="Arial"/>
          <w:u w:val="single"/>
          <w:lang w:val="fr-BE" w:eastAsia="nl-BE"/>
        </w:rPr>
        <w:t xml:space="preserve"> </w:t>
      </w:r>
      <w:r w:rsidRPr="00AD7B1C">
        <w:rPr>
          <w:rFonts w:cs="Arial"/>
          <w:u w:val="single"/>
          <w:lang w:val="fr-BE" w:eastAsia="nl-BE"/>
        </w:rPr>
        <w:t>d’associés (seuil de 5 %)</w:t>
      </w:r>
    </w:p>
    <w:p w14:paraId="723D6D48"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399659EB"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Complémentairement à l’obligation susdite de notification impliquant une évaluation prudentielle du projet du candidat acquéreur, les dispositions légales imposent également aux acquéreurs de participations non qualifiées de notifier cette acquisition à </w:t>
      </w:r>
      <w:r w:rsidR="00353A88">
        <w:rPr>
          <w:rFonts w:cs="Arial"/>
          <w:lang w:val="fr-BE" w:eastAsia="nl-BE"/>
        </w:rPr>
        <w:t>l’autorité compétente</w:t>
      </w:r>
      <w:r w:rsidRPr="00AD7B1C">
        <w:rPr>
          <w:rFonts w:cs="Arial"/>
          <w:lang w:val="fr-BE" w:eastAsia="nl-BE"/>
        </w:rPr>
        <w:t>, à des fins purement informatives, dès lors que la proportion des droits de vote ou du capital de l'organisme financier qu'ils détiennent atteint ou dépasse le seuil de 5 %.</w:t>
      </w:r>
    </w:p>
    <w:p w14:paraId="58046276"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3B423DC2"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De même, toute personne détenant des actions ou droits d’associés d’un organisme lui conférant plus de 5 % des droits de vote ou du capital et qui ne constituent pas une participation qualifiée, est tenue de notifier à </w:t>
      </w:r>
      <w:r w:rsidR="00353A88">
        <w:rPr>
          <w:rFonts w:cs="Arial"/>
          <w:lang w:val="fr-BE" w:eastAsia="nl-BE"/>
        </w:rPr>
        <w:t>l’autorité compétente</w:t>
      </w:r>
      <w:r w:rsidRPr="00AD7B1C">
        <w:rPr>
          <w:rFonts w:cs="Arial"/>
          <w:lang w:val="fr-BE" w:eastAsia="nl-BE"/>
        </w:rPr>
        <w:t xml:space="preserve"> la cession de tout ou partie de ses actions ou droit</w:t>
      </w:r>
      <w:r w:rsidR="003E36A8" w:rsidRPr="00AD7B1C">
        <w:rPr>
          <w:rFonts w:cs="Arial"/>
          <w:lang w:val="fr-BE" w:eastAsia="nl-BE"/>
        </w:rPr>
        <w:t xml:space="preserve"> </w:t>
      </w:r>
      <w:r w:rsidRPr="00AD7B1C">
        <w:rPr>
          <w:rFonts w:cs="Arial"/>
          <w:lang w:val="fr-BE" w:eastAsia="nl-BE"/>
        </w:rPr>
        <w:t>d’associés dont il résulte que la fraction du capital ou des droits de vote qu'il détient franchit à la</w:t>
      </w:r>
      <w:r w:rsidR="003E36A8" w:rsidRPr="00AD7B1C">
        <w:rPr>
          <w:rFonts w:cs="Arial"/>
          <w:lang w:val="fr-BE" w:eastAsia="nl-BE"/>
        </w:rPr>
        <w:t xml:space="preserve"> </w:t>
      </w:r>
      <w:r w:rsidRPr="00AD7B1C">
        <w:rPr>
          <w:rFonts w:cs="Arial"/>
          <w:lang w:val="fr-BE" w:eastAsia="nl-BE"/>
        </w:rPr>
        <w:t>baisse ce même seuil de 5</w:t>
      </w:r>
      <w:r w:rsidR="004D368F">
        <w:rPr>
          <w:rFonts w:cs="Arial"/>
          <w:lang w:val="fr-BE" w:eastAsia="nl-BE"/>
        </w:rPr>
        <w:t> </w:t>
      </w:r>
      <w:r w:rsidRPr="00AD7B1C">
        <w:rPr>
          <w:rFonts w:cs="Arial"/>
          <w:lang w:val="fr-BE" w:eastAsia="nl-BE"/>
        </w:rPr>
        <w:t>%.</w:t>
      </w:r>
    </w:p>
    <w:p w14:paraId="7747FCBC"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1FB7C085"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Contrairement aux notifications évoquées ci-dessus, qui donnent lieu à une évaluation</w:t>
      </w:r>
      <w:r w:rsidR="003E36A8" w:rsidRPr="00AD7B1C">
        <w:rPr>
          <w:rFonts w:cs="Arial"/>
          <w:lang w:val="fr-BE" w:eastAsia="nl-BE"/>
        </w:rPr>
        <w:t xml:space="preserve"> </w:t>
      </w:r>
      <w:r w:rsidRPr="00AD7B1C">
        <w:rPr>
          <w:rFonts w:cs="Arial"/>
          <w:lang w:val="fr-BE" w:eastAsia="nl-BE"/>
        </w:rPr>
        <w:t>prudentielle, les notifications à des fins purement informatives des acquisitions et cessions de</w:t>
      </w:r>
      <w:r w:rsidR="003E36A8" w:rsidRPr="00AD7B1C">
        <w:rPr>
          <w:rFonts w:cs="Arial"/>
          <w:lang w:val="fr-BE" w:eastAsia="nl-BE"/>
        </w:rPr>
        <w:t xml:space="preserve"> </w:t>
      </w:r>
      <w:r w:rsidRPr="00AD7B1C">
        <w:rPr>
          <w:rFonts w:cs="Arial"/>
          <w:lang w:val="fr-BE" w:eastAsia="nl-BE"/>
        </w:rPr>
        <w:t>droit d’associés faisant franchir le seuil de 5 %, ne doivent pas intervenir préalablement à la</w:t>
      </w:r>
      <w:r w:rsidR="003E36A8" w:rsidRPr="00AD7B1C">
        <w:rPr>
          <w:rFonts w:cs="Arial"/>
          <w:lang w:val="fr-BE" w:eastAsia="nl-BE"/>
        </w:rPr>
        <w:t xml:space="preserve"> </w:t>
      </w:r>
      <w:r w:rsidRPr="00AD7B1C">
        <w:rPr>
          <w:rFonts w:cs="Arial"/>
          <w:lang w:val="fr-BE" w:eastAsia="nl-BE"/>
        </w:rPr>
        <w:t xml:space="preserve">réalisation effective de l’acquisition ou de la cession. </w:t>
      </w:r>
      <w:proofErr w:type="gramStart"/>
      <w:r w:rsidRPr="00AD7B1C">
        <w:rPr>
          <w:rFonts w:cs="Arial"/>
          <w:lang w:val="fr-BE" w:eastAsia="nl-BE"/>
        </w:rPr>
        <w:t>Un délai de 10 jours ouvrables</w:t>
      </w:r>
      <w:proofErr w:type="gramEnd"/>
      <w:r w:rsidRPr="00AD7B1C">
        <w:rPr>
          <w:rFonts w:cs="Arial"/>
          <w:lang w:val="fr-BE" w:eastAsia="nl-BE"/>
        </w:rPr>
        <w:t xml:space="preserve"> est en effet</w:t>
      </w:r>
      <w:r w:rsidR="003E36A8" w:rsidRPr="00AD7B1C">
        <w:rPr>
          <w:rFonts w:cs="Arial"/>
          <w:lang w:val="fr-BE" w:eastAsia="nl-BE"/>
        </w:rPr>
        <w:t xml:space="preserve"> </w:t>
      </w:r>
      <w:r w:rsidRPr="00AD7B1C">
        <w:rPr>
          <w:rFonts w:cs="Arial"/>
          <w:lang w:val="fr-BE" w:eastAsia="nl-BE"/>
        </w:rPr>
        <w:t>laissé par les dispositions légales à l’acquéreur ou au cédant pour y procéder.</w:t>
      </w:r>
    </w:p>
    <w:p w14:paraId="67616A7B"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1F3EEB6B"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Ces notifications à des fins informatives doivent notamment permettre à </w:t>
      </w:r>
      <w:r w:rsidR="00353A88">
        <w:rPr>
          <w:rFonts w:cs="Arial"/>
          <w:lang w:val="fr-BE" w:eastAsia="nl-BE"/>
        </w:rPr>
        <w:t>l’autorité compétente</w:t>
      </w:r>
      <w:r w:rsidRPr="00AD7B1C">
        <w:rPr>
          <w:rFonts w:cs="Arial"/>
          <w:lang w:val="fr-BE" w:eastAsia="nl-BE"/>
        </w:rPr>
        <w:t xml:space="preserve"> de conserver</w:t>
      </w:r>
      <w:r w:rsidR="003E36A8" w:rsidRPr="00AD7B1C">
        <w:rPr>
          <w:rFonts w:cs="Arial"/>
          <w:lang w:val="fr-BE" w:eastAsia="nl-BE"/>
        </w:rPr>
        <w:t xml:space="preserve"> </w:t>
      </w:r>
      <w:r w:rsidRPr="00AD7B1C">
        <w:rPr>
          <w:rFonts w:cs="Arial"/>
          <w:lang w:val="fr-BE" w:eastAsia="nl-BE"/>
        </w:rPr>
        <w:t>une connaissance à jour de la composition de l’actionnariat des organismes financiers, et de</w:t>
      </w:r>
      <w:r w:rsidR="003E36A8" w:rsidRPr="00AD7B1C">
        <w:rPr>
          <w:rFonts w:cs="Arial"/>
          <w:lang w:val="fr-BE" w:eastAsia="nl-BE"/>
        </w:rPr>
        <w:t xml:space="preserve"> </w:t>
      </w:r>
      <w:r w:rsidRPr="00AD7B1C">
        <w:rPr>
          <w:rFonts w:cs="Arial"/>
          <w:lang w:val="fr-BE" w:eastAsia="nl-BE"/>
        </w:rPr>
        <w:t>s’assurer, lorsque des participations de moins de 10 % du capital et des droits de vote sont</w:t>
      </w:r>
      <w:r w:rsidR="003E36A8" w:rsidRPr="00AD7B1C">
        <w:rPr>
          <w:rFonts w:cs="Arial"/>
          <w:lang w:val="fr-BE" w:eastAsia="nl-BE"/>
        </w:rPr>
        <w:t xml:space="preserve"> </w:t>
      </w:r>
      <w:r w:rsidRPr="00AD7B1C">
        <w:rPr>
          <w:rFonts w:cs="Arial"/>
          <w:lang w:val="fr-BE" w:eastAsia="nl-BE"/>
        </w:rPr>
        <w:t>acquises, qu’elles ne constituent pas des « participations qualifiées » au sens de la loi.</w:t>
      </w:r>
    </w:p>
    <w:p w14:paraId="4BDA2F94"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0C601417"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 cas échéant, s’il ressort de l’examen de </w:t>
      </w:r>
      <w:r w:rsidR="00353A88">
        <w:rPr>
          <w:rFonts w:cs="Arial"/>
          <w:lang w:val="fr-BE" w:eastAsia="nl-BE"/>
        </w:rPr>
        <w:t>l’autorité compétente</w:t>
      </w:r>
      <w:r w:rsidRPr="00AD7B1C">
        <w:rPr>
          <w:rFonts w:cs="Arial"/>
          <w:lang w:val="fr-BE" w:eastAsia="nl-BE"/>
        </w:rPr>
        <w:t xml:space="preserve"> que, compte tenu de la structure du capital</w:t>
      </w:r>
      <w:r w:rsidR="003E36A8" w:rsidRPr="00AD7B1C">
        <w:rPr>
          <w:rFonts w:cs="Arial"/>
          <w:lang w:val="fr-BE" w:eastAsia="nl-BE"/>
        </w:rPr>
        <w:t xml:space="preserve"> </w:t>
      </w:r>
      <w:r w:rsidRPr="00AD7B1C">
        <w:rPr>
          <w:rFonts w:cs="Arial"/>
          <w:lang w:val="fr-BE" w:eastAsia="nl-BE"/>
        </w:rPr>
        <w:t xml:space="preserve">de l’organisme financier concerné, des modalités de l’acquisition, de conventions </w:t>
      </w:r>
      <w:r w:rsidR="00AD7B1C" w:rsidRPr="00AD7B1C">
        <w:rPr>
          <w:rFonts w:cs="Arial"/>
          <w:lang w:val="fr-BE" w:eastAsia="nl-BE"/>
        </w:rPr>
        <w:t>conclues</w:t>
      </w:r>
      <w:r w:rsidR="003E36A8" w:rsidRPr="00AD7B1C">
        <w:rPr>
          <w:rFonts w:cs="Arial"/>
          <w:lang w:val="fr-BE" w:eastAsia="nl-BE"/>
        </w:rPr>
        <w:t xml:space="preserve"> </w:t>
      </w:r>
      <w:r w:rsidRPr="00AD7B1C">
        <w:rPr>
          <w:rFonts w:cs="Arial"/>
          <w:lang w:val="fr-BE" w:eastAsia="nl-BE"/>
        </w:rPr>
        <w:t xml:space="preserve">entre actionnaires, ou de toutes autres circonstances </w:t>
      </w:r>
      <w:proofErr w:type="spellStart"/>
      <w:r w:rsidRPr="00AD7B1C">
        <w:rPr>
          <w:rFonts w:cs="Arial"/>
          <w:lang w:val="fr-BE" w:eastAsia="nl-BE"/>
        </w:rPr>
        <w:t>relevantes</w:t>
      </w:r>
      <w:proofErr w:type="spellEnd"/>
      <w:r w:rsidRPr="00AD7B1C">
        <w:rPr>
          <w:rFonts w:cs="Arial"/>
          <w:lang w:val="fr-BE" w:eastAsia="nl-BE"/>
        </w:rPr>
        <w:t>, l’acquéreur dispose, du fait de</w:t>
      </w:r>
      <w:r w:rsidR="003E36A8" w:rsidRPr="00AD7B1C">
        <w:rPr>
          <w:rFonts w:cs="Arial"/>
          <w:lang w:val="fr-BE" w:eastAsia="nl-BE"/>
        </w:rPr>
        <w:t xml:space="preserve"> </w:t>
      </w:r>
      <w:r w:rsidRPr="00AD7B1C">
        <w:rPr>
          <w:rFonts w:cs="Arial"/>
          <w:lang w:val="fr-BE" w:eastAsia="nl-BE"/>
        </w:rPr>
        <w:t>son acquisition</w:t>
      </w:r>
      <w:r w:rsidR="008642F4">
        <w:rPr>
          <w:rFonts w:cs="Arial"/>
          <w:lang w:val="fr-BE" w:eastAsia="nl-BE"/>
        </w:rPr>
        <w:t xml:space="preserve"> </w:t>
      </w:r>
      <w:r w:rsidR="00210A26">
        <w:rPr>
          <w:rFonts w:cs="Arial"/>
          <w:lang w:val="fr-BE" w:eastAsia="nl-BE"/>
        </w:rPr>
        <w:t>ou du fait qu’il agit de concert avec d’autres personnes</w:t>
      </w:r>
      <w:r w:rsidRPr="00AD7B1C">
        <w:rPr>
          <w:rFonts w:cs="Arial"/>
          <w:lang w:val="fr-BE" w:eastAsia="nl-BE"/>
        </w:rPr>
        <w:t xml:space="preserve">, d’une influence notable sur la gestion de l’organisme financier, </w:t>
      </w:r>
      <w:proofErr w:type="spellStart"/>
      <w:r w:rsidRPr="00AD7B1C">
        <w:rPr>
          <w:rFonts w:cs="Arial"/>
          <w:lang w:val="fr-BE" w:eastAsia="nl-BE"/>
        </w:rPr>
        <w:t>elleinvitera</w:t>
      </w:r>
      <w:proofErr w:type="spellEnd"/>
      <w:r w:rsidRPr="00AD7B1C">
        <w:rPr>
          <w:rFonts w:cs="Arial"/>
          <w:lang w:val="fr-BE" w:eastAsia="nl-BE"/>
        </w:rPr>
        <w:t xml:space="preserve"> </w:t>
      </w:r>
      <w:r w:rsidR="00D23166" w:rsidRPr="00AD7B1C">
        <w:rPr>
          <w:rFonts w:cs="Arial"/>
          <w:lang w:val="fr-BE" w:eastAsia="nl-BE"/>
        </w:rPr>
        <w:t xml:space="preserve">l’acquéreur </w:t>
      </w:r>
      <w:r w:rsidRPr="00AD7B1C">
        <w:rPr>
          <w:rFonts w:cs="Arial"/>
          <w:lang w:val="fr-BE" w:eastAsia="nl-BE"/>
        </w:rPr>
        <w:t>à lui transmettre dans les plus brefs délais l’ensemble des</w:t>
      </w:r>
      <w:r w:rsidR="003E36A8" w:rsidRPr="00AD7B1C">
        <w:rPr>
          <w:rFonts w:cs="Arial"/>
          <w:lang w:val="fr-BE" w:eastAsia="nl-BE"/>
        </w:rPr>
        <w:t xml:space="preserve"> </w:t>
      </w:r>
      <w:r w:rsidRPr="00AD7B1C">
        <w:rPr>
          <w:rFonts w:cs="Arial"/>
          <w:lang w:val="fr-BE" w:eastAsia="nl-BE"/>
        </w:rPr>
        <w:t>informations nécessaires pour procéder à l’évaluation prudentielle requise par la loi.</w:t>
      </w:r>
    </w:p>
    <w:p w14:paraId="5CEF693B" w14:textId="77777777" w:rsidR="00C3198B" w:rsidRPr="00AD7B1C" w:rsidRDefault="00C3198B" w:rsidP="00BE3219">
      <w:pPr>
        <w:tabs>
          <w:tab w:val="clear" w:pos="284"/>
        </w:tabs>
        <w:autoSpaceDE w:val="0"/>
        <w:autoSpaceDN w:val="0"/>
        <w:adjustRightInd w:val="0"/>
        <w:spacing w:line="240" w:lineRule="auto"/>
        <w:jc w:val="both"/>
        <w:rPr>
          <w:rFonts w:cs="Arial"/>
          <w:lang w:val="fr-BE" w:eastAsia="nl-BE"/>
        </w:rPr>
      </w:pPr>
    </w:p>
    <w:p w14:paraId="67A4E315" w14:textId="77777777" w:rsidR="003E36A8" w:rsidRPr="00AD7B1C" w:rsidRDefault="003E36A8"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d) Acquisition ou cession d’une participation “indirecte”</w:t>
      </w:r>
    </w:p>
    <w:p w14:paraId="3BA896FD"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4DB53323"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Les obligations de notification susdites s’appliquent tant aux acquisitions et cessions de</w:t>
      </w:r>
      <w:r w:rsidR="00645312" w:rsidRPr="00AD7B1C">
        <w:rPr>
          <w:rFonts w:cs="Arial"/>
          <w:lang w:val="fr-BE" w:eastAsia="nl-BE"/>
        </w:rPr>
        <w:t xml:space="preserve"> </w:t>
      </w:r>
      <w:r w:rsidRPr="00AD7B1C">
        <w:rPr>
          <w:rFonts w:cs="Arial"/>
          <w:lang w:val="fr-BE" w:eastAsia="nl-BE"/>
        </w:rPr>
        <w:t>participations directes qu’indirectes.</w:t>
      </w:r>
    </w:p>
    <w:p w14:paraId="3B77ADA4"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794D43F1" w14:textId="77777777" w:rsidR="00645312" w:rsidRPr="00AD7B1C" w:rsidRDefault="00953994"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Il est renvoyé au point </w:t>
      </w:r>
      <w:r w:rsidR="003E36A8" w:rsidRPr="00AD7B1C">
        <w:rPr>
          <w:rFonts w:cs="Arial"/>
          <w:lang w:val="fr-BE" w:eastAsia="nl-BE"/>
        </w:rPr>
        <w:t xml:space="preserve">6 </w:t>
      </w:r>
      <w:r w:rsidR="00383797" w:rsidRPr="00AD7B1C">
        <w:rPr>
          <w:rFonts w:cs="Arial"/>
          <w:lang w:val="fr-BE" w:eastAsia="nl-BE"/>
        </w:rPr>
        <w:t xml:space="preserve">et à l’Annexe II </w:t>
      </w:r>
      <w:r w:rsidR="003E36A8" w:rsidRPr="00AD7B1C">
        <w:rPr>
          <w:rFonts w:cs="Arial"/>
          <w:lang w:val="fr-BE" w:eastAsia="nl-BE"/>
        </w:rPr>
        <w:t xml:space="preserve">des orientations communes </w:t>
      </w:r>
      <w:r w:rsidR="00383797" w:rsidRPr="00AD7B1C">
        <w:rPr>
          <w:rFonts w:cs="Arial"/>
          <w:lang w:val="fr-BE" w:eastAsia="nl-BE"/>
        </w:rPr>
        <w:t>des AES</w:t>
      </w:r>
      <w:r w:rsidRPr="00AD7B1C">
        <w:rPr>
          <w:rFonts w:cs="Arial"/>
          <w:lang w:val="fr-BE" w:eastAsia="nl-BE"/>
        </w:rPr>
        <w:t xml:space="preserve"> </w:t>
      </w:r>
      <w:r w:rsidR="009A7603">
        <w:rPr>
          <w:rFonts w:cs="Arial"/>
          <w:lang w:val="fr-BE" w:eastAsia="nl-BE"/>
        </w:rPr>
        <w:t>reprises en annexe 8</w:t>
      </w:r>
      <w:r w:rsidRPr="00AD7B1C">
        <w:rPr>
          <w:rFonts w:cs="Arial"/>
          <w:lang w:val="fr-BE" w:eastAsia="nl-BE"/>
        </w:rPr>
        <w:t xml:space="preserve"> </w:t>
      </w:r>
      <w:r w:rsidR="009A7603">
        <w:rPr>
          <w:rFonts w:cs="Arial"/>
          <w:lang w:val="fr-BE" w:eastAsia="nl-BE"/>
        </w:rPr>
        <w:t>de la présente communication</w:t>
      </w:r>
      <w:r w:rsidR="009A7603" w:rsidRPr="00AD7B1C">
        <w:rPr>
          <w:rFonts w:cs="Arial"/>
          <w:lang w:val="fr-BE" w:eastAsia="nl-BE"/>
        </w:rPr>
        <w:t xml:space="preserve"> </w:t>
      </w:r>
      <w:r w:rsidRPr="00AD7B1C">
        <w:rPr>
          <w:rFonts w:cs="Arial"/>
          <w:lang w:val="fr-BE" w:eastAsia="nl-BE"/>
        </w:rPr>
        <w:t>pour préc</w:t>
      </w:r>
      <w:r w:rsidR="00983AE0" w:rsidRPr="00AD7B1C">
        <w:rPr>
          <w:rFonts w:cs="Arial"/>
          <w:lang w:val="fr-BE" w:eastAsia="nl-BE"/>
        </w:rPr>
        <w:t>ise</w:t>
      </w:r>
      <w:r w:rsidR="005B0BFE">
        <w:rPr>
          <w:rFonts w:cs="Arial"/>
          <w:lang w:val="fr-BE" w:eastAsia="nl-BE"/>
        </w:rPr>
        <w:t>r</w:t>
      </w:r>
      <w:r w:rsidR="00983AE0" w:rsidRPr="00AD7B1C">
        <w:rPr>
          <w:rFonts w:cs="Arial"/>
          <w:lang w:val="fr-BE" w:eastAsia="nl-BE"/>
        </w:rPr>
        <w:t xml:space="preserve"> les tests </w:t>
      </w:r>
      <w:r w:rsidR="00645312" w:rsidRPr="00AD7B1C">
        <w:rPr>
          <w:rFonts w:cs="Arial"/>
          <w:lang w:val="fr-BE" w:eastAsia="nl-BE"/>
        </w:rPr>
        <w:t>à mettre</w:t>
      </w:r>
      <w:r w:rsidR="00983AE0" w:rsidRPr="00AD7B1C">
        <w:rPr>
          <w:rFonts w:cs="Arial"/>
          <w:lang w:val="fr-BE" w:eastAsia="nl-BE"/>
        </w:rPr>
        <w:t xml:space="preserve"> en </w:t>
      </w:r>
      <w:r w:rsidR="00AD7B1C" w:rsidRPr="00AD7B1C">
        <w:rPr>
          <w:rFonts w:cs="Arial"/>
          <w:lang w:val="fr-BE" w:eastAsia="nl-BE"/>
        </w:rPr>
        <w:t>œuvre</w:t>
      </w:r>
      <w:r w:rsidR="00983AE0" w:rsidRPr="00AD7B1C">
        <w:rPr>
          <w:rFonts w:cs="Arial"/>
          <w:lang w:val="fr-BE" w:eastAsia="nl-BE"/>
        </w:rPr>
        <w:t xml:space="preserve"> en vue d’évaluer si une participation indirecte</w:t>
      </w:r>
      <w:r w:rsidR="00645312" w:rsidRPr="00AD7B1C">
        <w:rPr>
          <w:rFonts w:cs="Arial"/>
          <w:lang w:val="fr-BE" w:eastAsia="nl-BE"/>
        </w:rPr>
        <w:t xml:space="preserve"> peut être </w:t>
      </w:r>
      <w:r w:rsidR="00AD7B1C" w:rsidRPr="00AD7B1C">
        <w:rPr>
          <w:rFonts w:cs="Arial"/>
          <w:lang w:val="fr-BE" w:eastAsia="nl-BE"/>
        </w:rPr>
        <w:t>considérée</w:t>
      </w:r>
      <w:r w:rsidR="00645312" w:rsidRPr="00AD7B1C">
        <w:rPr>
          <w:rFonts w:cs="Arial"/>
          <w:lang w:val="fr-BE" w:eastAsia="nl-BE"/>
        </w:rPr>
        <w:t xml:space="preserve"> qualifiée </w:t>
      </w:r>
      <w:r w:rsidR="00983AE0" w:rsidRPr="00AD7B1C">
        <w:rPr>
          <w:rFonts w:cs="Arial"/>
          <w:lang w:val="fr-BE" w:eastAsia="nl-BE"/>
        </w:rPr>
        <w:t>et la taille de ladite participation</w:t>
      </w:r>
      <w:r w:rsidR="00E05D6B">
        <w:rPr>
          <w:rFonts w:cs="Arial"/>
          <w:lang w:val="fr-BE" w:eastAsia="nl-BE"/>
        </w:rPr>
        <w:t xml:space="preserve"> (application successive d’un critère de contrôle et, lorsque ce critère ne permet pas de déterminer qu’une participation qualifiée est acquise indirectement, d’un critère de multiplication des pourcentages de participations)</w:t>
      </w:r>
      <w:r w:rsidR="00983AE0" w:rsidRPr="00AD7B1C">
        <w:rPr>
          <w:rFonts w:cs="Arial"/>
          <w:lang w:val="fr-BE" w:eastAsia="nl-BE"/>
        </w:rPr>
        <w:t xml:space="preserve">.  Ces tests diffèrent par rapport à la méthodologie qui était explicité dans la communication 2009_31. </w:t>
      </w:r>
    </w:p>
    <w:p w14:paraId="24346CD0" w14:textId="77777777" w:rsidR="00645312" w:rsidRPr="00AD7B1C" w:rsidRDefault="00645312" w:rsidP="00BE3219">
      <w:pPr>
        <w:tabs>
          <w:tab w:val="clear" w:pos="284"/>
        </w:tabs>
        <w:autoSpaceDE w:val="0"/>
        <w:autoSpaceDN w:val="0"/>
        <w:adjustRightInd w:val="0"/>
        <w:spacing w:line="240" w:lineRule="auto"/>
        <w:jc w:val="both"/>
        <w:rPr>
          <w:rFonts w:cs="Arial"/>
          <w:lang w:val="fr-BE" w:eastAsia="nl-BE"/>
        </w:rPr>
      </w:pPr>
    </w:p>
    <w:p w14:paraId="0A3F2F92" w14:textId="77777777" w:rsidR="003E36A8" w:rsidRPr="00AD7B1C" w:rsidRDefault="00645312"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S</w:t>
      </w:r>
      <w:r w:rsidR="00983AE0" w:rsidRPr="00AD7B1C">
        <w:rPr>
          <w:rFonts w:cs="Arial"/>
          <w:lang w:val="fr-BE" w:eastAsia="nl-BE"/>
        </w:rPr>
        <w:t>i une participation indirecte peut être considérée comme étant qualifiée</w:t>
      </w:r>
      <w:r w:rsidR="00953994" w:rsidRPr="00AD7B1C">
        <w:rPr>
          <w:rFonts w:cs="Arial"/>
          <w:lang w:val="fr-BE" w:eastAsia="nl-BE"/>
        </w:rPr>
        <w:t xml:space="preserve"> en application des tests précisés au point 6 et à l’Annexe II des orientations communes des AES</w:t>
      </w:r>
      <w:r w:rsidR="009A7603">
        <w:rPr>
          <w:rFonts w:cs="Arial"/>
          <w:lang w:val="fr-BE" w:eastAsia="nl-BE"/>
        </w:rPr>
        <w:t xml:space="preserve"> reprises en annexe 8 de la présente communication</w:t>
      </w:r>
      <w:r w:rsidRPr="00AD7B1C">
        <w:rPr>
          <w:rFonts w:cs="Arial"/>
          <w:lang w:val="fr-BE" w:eastAsia="nl-BE"/>
        </w:rPr>
        <w:t xml:space="preserve">, les personnes </w:t>
      </w:r>
      <w:r w:rsidR="00210A26">
        <w:rPr>
          <w:rFonts w:cs="Arial"/>
          <w:lang w:val="fr-BE" w:eastAsia="nl-BE"/>
        </w:rPr>
        <w:t>ayant acquis ou cédé</w:t>
      </w:r>
      <w:r w:rsidR="00210A26" w:rsidRPr="00AD7B1C">
        <w:rPr>
          <w:rFonts w:cs="Arial"/>
          <w:lang w:val="fr-BE" w:eastAsia="nl-BE"/>
        </w:rPr>
        <w:t xml:space="preserve"> </w:t>
      </w:r>
      <w:r w:rsidRPr="00AD7B1C">
        <w:rPr>
          <w:rFonts w:cs="Arial"/>
          <w:lang w:val="fr-BE" w:eastAsia="nl-BE"/>
        </w:rPr>
        <w:t xml:space="preserve">cette participation qualifiée indirecte sont tenues de procéder à </w:t>
      </w:r>
      <w:r w:rsidR="00AD7B1C" w:rsidRPr="00AD7B1C">
        <w:rPr>
          <w:rFonts w:cs="Arial"/>
          <w:lang w:val="fr-BE" w:eastAsia="nl-BE"/>
        </w:rPr>
        <w:t>une</w:t>
      </w:r>
      <w:r w:rsidRPr="00AD7B1C">
        <w:rPr>
          <w:rFonts w:cs="Arial"/>
          <w:lang w:val="fr-BE" w:eastAsia="nl-BE"/>
        </w:rPr>
        <w:t xml:space="preserve"> notification à </w:t>
      </w:r>
      <w:r w:rsidR="00353A88">
        <w:rPr>
          <w:rFonts w:cs="Arial"/>
          <w:lang w:val="fr-BE" w:eastAsia="nl-BE"/>
        </w:rPr>
        <w:t>l’autorité compétente</w:t>
      </w:r>
      <w:r w:rsidRPr="00AD7B1C">
        <w:rPr>
          <w:rFonts w:cs="Arial"/>
          <w:lang w:val="fr-BE" w:eastAsia="nl-BE"/>
        </w:rPr>
        <w:t>.</w:t>
      </w:r>
      <w:r w:rsidR="00983AE0" w:rsidRPr="00AD7B1C">
        <w:rPr>
          <w:rFonts w:cs="Arial"/>
          <w:lang w:val="fr-BE" w:eastAsia="nl-BE"/>
        </w:rPr>
        <w:t xml:space="preserve"> </w:t>
      </w:r>
    </w:p>
    <w:p w14:paraId="3510BCDF" w14:textId="77777777" w:rsidR="003E36A8" w:rsidRPr="00AD7B1C" w:rsidRDefault="003E36A8" w:rsidP="00BE3219">
      <w:pPr>
        <w:tabs>
          <w:tab w:val="clear" w:pos="284"/>
        </w:tabs>
        <w:autoSpaceDE w:val="0"/>
        <w:autoSpaceDN w:val="0"/>
        <w:adjustRightInd w:val="0"/>
        <w:spacing w:line="240" w:lineRule="auto"/>
        <w:jc w:val="both"/>
        <w:rPr>
          <w:rFonts w:cs="Arial"/>
          <w:lang w:val="fr-BE" w:eastAsia="nl-BE"/>
        </w:rPr>
      </w:pPr>
    </w:p>
    <w:p w14:paraId="5E2A7FC4" w14:textId="77777777" w:rsidR="004D368F" w:rsidRDefault="004D368F">
      <w:pPr>
        <w:tabs>
          <w:tab w:val="clear" w:pos="284"/>
        </w:tabs>
        <w:spacing w:line="240" w:lineRule="auto"/>
        <w:rPr>
          <w:rFonts w:cs="Arial"/>
          <w:u w:val="single"/>
          <w:lang w:val="fr-BE" w:eastAsia="nl-BE"/>
        </w:rPr>
      </w:pPr>
      <w:r>
        <w:rPr>
          <w:rFonts w:cs="Arial"/>
          <w:u w:val="single"/>
          <w:lang w:val="fr-BE" w:eastAsia="nl-BE"/>
        </w:rPr>
        <w:br w:type="page"/>
      </w:r>
    </w:p>
    <w:p w14:paraId="1F746A5B" w14:textId="77777777" w:rsidR="00645312" w:rsidRPr="00AD7B1C" w:rsidRDefault="00645312"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lastRenderedPageBreak/>
        <w:t>e) Parties agissant de concert</w:t>
      </w:r>
    </w:p>
    <w:p w14:paraId="5020EAF7" w14:textId="77777777" w:rsidR="003E36A8" w:rsidRPr="00AD7B1C" w:rsidRDefault="00645312" w:rsidP="00B1790E">
      <w:pPr>
        <w:tabs>
          <w:tab w:val="clear" w:pos="284"/>
        </w:tabs>
        <w:autoSpaceDE w:val="0"/>
        <w:autoSpaceDN w:val="0"/>
        <w:adjustRightInd w:val="0"/>
        <w:spacing w:before="240" w:line="240" w:lineRule="auto"/>
        <w:jc w:val="both"/>
        <w:rPr>
          <w:rFonts w:cs="Arial"/>
          <w:lang w:val="fr-BE" w:eastAsia="nl-BE"/>
        </w:rPr>
      </w:pPr>
      <w:r w:rsidRPr="00AD7B1C">
        <w:rPr>
          <w:rFonts w:cs="Arial"/>
          <w:lang w:val="fr-BE" w:eastAsia="nl-BE"/>
        </w:rPr>
        <w:t>Lorsque plusieurs personnes agissent de concert, les droits de vote et les parts du capital que ces personnes détiennent doivent être additionnées pour vérifier si les seuils définis par la loi sont franchis.</w:t>
      </w:r>
    </w:p>
    <w:p w14:paraId="19E2F1A1" w14:textId="77777777" w:rsidR="003E36A8" w:rsidRPr="00AD7B1C" w:rsidRDefault="00D8666E" w:rsidP="00B1790E">
      <w:pPr>
        <w:tabs>
          <w:tab w:val="clear" w:pos="284"/>
        </w:tabs>
        <w:autoSpaceDE w:val="0"/>
        <w:autoSpaceDN w:val="0"/>
        <w:adjustRightInd w:val="0"/>
        <w:spacing w:before="240" w:line="240" w:lineRule="auto"/>
        <w:jc w:val="both"/>
        <w:rPr>
          <w:rFonts w:cs="Arial"/>
          <w:lang w:val="fr-BE" w:eastAsia="nl-BE"/>
        </w:rPr>
      </w:pPr>
      <w:r w:rsidRPr="00AD7B1C">
        <w:rPr>
          <w:rFonts w:cs="Arial"/>
          <w:lang w:val="fr-BE" w:eastAsia="nl-BE"/>
        </w:rPr>
        <w:t xml:space="preserve">Les facteurs à prendre en compte pour déterminer si des personnes agissent de concert sont explicités </w:t>
      </w:r>
      <w:r w:rsidR="0042555A">
        <w:rPr>
          <w:rFonts w:cs="Arial"/>
          <w:lang w:val="fr-BE" w:eastAsia="nl-BE"/>
        </w:rPr>
        <w:t xml:space="preserve">au </w:t>
      </w:r>
      <w:r w:rsidRPr="00AD7B1C">
        <w:rPr>
          <w:rFonts w:cs="Arial"/>
          <w:lang w:val="fr-BE" w:eastAsia="nl-BE"/>
        </w:rPr>
        <w:t>point 4 des orientations communes ci-jointes. Il est dès lors renvoyé audit point 4.</w:t>
      </w:r>
    </w:p>
    <w:p w14:paraId="325C768B" w14:textId="77777777" w:rsidR="003E36A8" w:rsidRPr="00AD7B1C" w:rsidRDefault="00ED6F50" w:rsidP="00B1790E">
      <w:pPr>
        <w:tabs>
          <w:tab w:val="clear" w:pos="284"/>
        </w:tabs>
        <w:autoSpaceDE w:val="0"/>
        <w:autoSpaceDN w:val="0"/>
        <w:adjustRightInd w:val="0"/>
        <w:spacing w:before="240" w:line="240" w:lineRule="auto"/>
        <w:jc w:val="both"/>
        <w:rPr>
          <w:rFonts w:cs="Arial"/>
          <w:u w:val="single"/>
          <w:lang w:val="fr-BE" w:eastAsia="nl-BE"/>
        </w:rPr>
      </w:pPr>
      <w:r w:rsidRPr="00AD7B1C">
        <w:rPr>
          <w:rFonts w:cs="Arial"/>
          <w:u w:val="single"/>
          <w:lang w:val="fr-BE" w:eastAsia="nl-BE"/>
        </w:rPr>
        <w:t>f) Principe de proportionnalité</w:t>
      </w:r>
    </w:p>
    <w:p w14:paraId="203C9029" w14:textId="77777777" w:rsidR="003A6DA4" w:rsidRPr="00AD7B1C" w:rsidRDefault="00ED6F50" w:rsidP="00B1790E">
      <w:pPr>
        <w:tabs>
          <w:tab w:val="clear" w:pos="284"/>
        </w:tabs>
        <w:autoSpaceDE w:val="0"/>
        <w:autoSpaceDN w:val="0"/>
        <w:adjustRightInd w:val="0"/>
        <w:spacing w:before="240" w:line="240" w:lineRule="auto"/>
        <w:jc w:val="both"/>
        <w:rPr>
          <w:rFonts w:cs="Arial"/>
          <w:lang w:val="fr-BE" w:eastAsia="nl-BE"/>
        </w:rPr>
      </w:pPr>
      <w:r w:rsidRPr="00AD7B1C">
        <w:rPr>
          <w:rFonts w:cs="Arial"/>
          <w:lang w:val="fr-BE" w:eastAsia="nl-BE"/>
        </w:rPr>
        <w:t>Le point 8 des orientations communes en annexe</w:t>
      </w:r>
      <w:r w:rsidR="009A7603">
        <w:rPr>
          <w:rFonts w:cs="Arial"/>
          <w:lang w:val="fr-BE" w:eastAsia="nl-BE"/>
        </w:rPr>
        <w:t xml:space="preserve"> 8</w:t>
      </w:r>
      <w:r w:rsidRPr="00AD7B1C">
        <w:rPr>
          <w:rFonts w:cs="Arial"/>
          <w:lang w:val="fr-BE" w:eastAsia="nl-BE"/>
        </w:rPr>
        <w:t xml:space="preserve"> </w:t>
      </w:r>
      <w:r w:rsidR="003A6DA4" w:rsidRPr="00AD7B1C">
        <w:rPr>
          <w:rFonts w:cs="Arial"/>
          <w:lang w:val="fr-BE" w:eastAsia="nl-BE"/>
        </w:rPr>
        <w:t xml:space="preserve">explicite les implications du principe de proportionnalité dans le cadre de l’évaluation prudentielle des candidats acquéreurs.  </w:t>
      </w:r>
      <w:r w:rsidR="00277D86">
        <w:rPr>
          <w:rFonts w:cs="Arial"/>
          <w:lang w:val="fr-BE" w:eastAsia="nl-BE"/>
        </w:rPr>
        <w:t>Les implications du principe de proportionnalité en cas de transactions intragroupes ou d’acquisitions par le biais d’une offre publique y sont notamment précisées.</w:t>
      </w:r>
      <w:r w:rsidR="007F60DA">
        <w:rPr>
          <w:rFonts w:cs="Arial"/>
          <w:lang w:val="fr-BE" w:eastAsia="nl-BE"/>
        </w:rPr>
        <w:t xml:space="preserve"> Le principe de proportionnalité s’applique également pour ce qui concerne les informations à communiquer à l’autorité de contrôle. Il est renvoyé à cet égard aux possibilités de dispense reprises dans les formulaires de déclaration.</w:t>
      </w:r>
    </w:p>
    <w:p w14:paraId="4E732A51" w14:textId="77777777" w:rsidR="00AB5A25" w:rsidRPr="00256F87" w:rsidRDefault="00760B7B" w:rsidP="00B1790E">
      <w:pPr>
        <w:tabs>
          <w:tab w:val="clear" w:pos="284"/>
        </w:tabs>
        <w:autoSpaceDE w:val="0"/>
        <w:autoSpaceDN w:val="0"/>
        <w:adjustRightInd w:val="0"/>
        <w:spacing w:before="360" w:line="240" w:lineRule="auto"/>
        <w:jc w:val="both"/>
        <w:rPr>
          <w:rFonts w:cs="Arial"/>
          <w:b/>
          <w:bCs/>
          <w:u w:val="single"/>
          <w:lang w:val="fr-BE" w:eastAsia="nl-BE"/>
        </w:rPr>
      </w:pPr>
      <w:r>
        <w:rPr>
          <w:rFonts w:cs="Arial"/>
          <w:b/>
          <w:bCs/>
          <w:u w:val="single"/>
          <w:lang w:val="fr-BE" w:eastAsia="nl-BE"/>
        </w:rPr>
        <w:t>4</w:t>
      </w:r>
      <w:r w:rsidR="00AB5A25" w:rsidRPr="00256F87">
        <w:rPr>
          <w:rFonts w:cs="Arial"/>
          <w:b/>
          <w:bCs/>
          <w:u w:val="single"/>
          <w:lang w:val="fr-BE" w:eastAsia="nl-BE"/>
        </w:rPr>
        <w:t>. Formalités à accomplir par le candidat acquéreur ou cédant</w:t>
      </w:r>
    </w:p>
    <w:p w14:paraId="332B52D2" w14:textId="77777777" w:rsidR="00C20554" w:rsidRDefault="003F7D68" w:rsidP="00B1790E">
      <w:pPr>
        <w:tabs>
          <w:tab w:val="clear" w:pos="284"/>
        </w:tabs>
        <w:autoSpaceDE w:val="0"/>
        <w:autoSpaceDN w:val="0"/>
        <w:adjustRightInd w:val="0"/>
        <w:spacing w:before="240" w:line="240" w:lineRule="auto"/>
        <w:jc w:val="both"/>
        <w:rPr>
          <w:rFonts w:cs="Arial"/>
          <w:lang w:val="fr-BE" w:eastAsia="nl-BE"/>
        </w:rPr>
      </w:pPr>
      <w:r>
        <w:rPr>
          <w:rFonts w:cs="Arial"/>
          <w:lang w:val="fr-BE" w:eastAsia="nl-BE"/>
        </w:rPr>
        <w:t>Il est recommandé aux candidats acquéreurs ou cédants de prendre contact avec l’autor</w:t>
      </w:r>
      <w:r w:rsidR="003F5E55">
        <w:rPr>
          <w:rFonts w:cs="Arial"/>
          <w:lang w:val="fr-BE" w:eastAsia="nl-BE"/>
        </w:rPr>
        <w:t>i</w:t>
      </w:r>
      <w:r>
        <w:rPr>
          <w:rFonts w:cs="Arial"/>
          <w:lang w:val="fr-BE" w:eastAsia="nl-BE"/>
        </w:rPr>
        <w:t xml:space="preserve">té de contrôle préalablement à la notification officielle de leur décision d’acquérir, d’accroître ou de céder des participations qualifiées dans un organisme financier.  Ce contact préalable informel visera notamment à préciser </w:t>
      </w:r>
      <w:r w:rsidRPr="00CD4C44">
        <w:rPr>
          <w:rFonts w:cs="Arial"/>
          <w:i/>
          <w:lang w:val="fr-BE" w:eastAsia="nl-BE"/>
        </w:rPr>
        <w:t xml:space="preserve">in </w:t>
      </w:r>
      <w:proofErr w:type="spellStart"/>
      <w:r w:rsidRPr="00CD4C44">
        <w:rPr>
          <w:rFonts w:cs="Arial"/>
          <w:i/>
          <w:lang w:val="fr-BE" w:eastAsia="nl-BE"/>
        </w:rPr>
        <w:t>concreto</w:t>
      </w:r>
      <w:proofErr w:type="spellEnd"/>
      <w:r>
        <w:rPr>
          <w:rFonts w:cs="Arial"/>
          <w:lang w:val="fr-BE" w:eastAsia="nl-BE"/>
        </w:rPr>
        <w:t xml:space="preserve"> les informations que le candidats acquéreur devra joindre à sa notification, de sorte que son dossier </w:t>
      </w:r>
      <w:proofErr w:type="spellStart"/>
      <w:r>
        <w:rPr>
          <w:rFonts w:cs="Arial"/>
          <w:lang w:val="fr-BE" w:eastAsia="nl-BE"/>
        </w:rPr>
        <w:t>soity</w:t>
      </w:r>
      <w:proofErr w:type="spellEnd"/>
      <w:r>
        <w:rPr>
          <w:rFonts w:cs="Arial"/>
          <w:lang w:val="fr-BE" w:eastAsia="nl-BE"/>
        </w:rPr>
        <w:t xml:space="preserve"> complet.</w:t>
      </w:r>
    </w:p>
    <w:p w14:paraId="201523A0" w14:textId="77777777" w:rsidR="00AB5A25" w:rsidRPr="00AD7B1C" w:rsidRDefault="00864A41" w:rsidP="00B1790E">
      <w:pPr>
        <w:tabs>
          <w:tab w:val="clear" w:pos="284"/>
        </w:tabs>
        <w:autoSpaceDE w:val="0"/>
        <w:autoSpaceDN w:val="0"/>
        <w:adjustRightInd w:val="0"/>
        <w:spacing w:before="240" w:line="240" w:lineRule="auto"/>
        <w:jc w:val="both"/>
        <w:rPr>
          <w:rFonts w:cs="Arial"/>
          <w:u w:val="single"/>
          <w:lang w:val="fr-BE" w:eastAsia="nl-BE"/>
        </w:rPr>
      </w:pPr>
      <w:r w:rsidRPr="00AD7B1C">
        <w:rPr>
          <w:rFonts w:cs="Arial"/>
          <w:u w:val="single"/>
          <w:lang w:val="fr-BE" w:eastAsia="nl-BE"/>
        </w:rPr>
        <w:t xml:space="preserve">a) Notification </w:t>
      </w:r>
      <w:r w:rsidR="003F7D68">
        <w:rPr>
          <w:rFonts w:cs="Arial"/>
          <w:u w:val="single"/>
          <w:lang w:val="fr-BE" w:eastAsia="nl-BE"/>
        </w:rPr>
        <w:t xml:space="preserve">officielle </w:t>
      </w:r>
      <w:r w:rsidR="00953994" w:rsidRPr="00AD7B1C">
        <w:rPr>
          <w:rFonts w:cs="Arial"/>
          <w:u w:val="single"/>
          <w:lang w:val="fr-BE" w:eastAsia="nl-BE"/>
        </w:rPr>
        <w:t xml:space="preserve">à </w:t>
      </w:r>
      <w:r w:rsidR="00353A88">
        <w:rPr>
          <w:rFonts w:cs="Arial"/>
          <w:u w:val="single"/>
          <w:lang w:val="fr-BE" w:eastAsia="nl-BE"/>
        </w:rPr>
        <w:t>l’autorité compétente</w:t>
      </w:r>
    </w:p>
    <w:p w14:paraId="226D631C" w14:textId="4F5AF568" w:rsidR="00156AD0" w:rsidRDefault="00156AD0" w:rsidP="00B1790E">
      <w:pPr>
        <w:tabs>
          <w:tab w:val="clear" w:pos="284"/>
        </w:tabs>
        <w:autoSpaceDE w:val="0"/>
        <w:autoSpaceDN w:val="0"/>
        <w:adjustRightInd w:val="0"/>
        <w:spacing w:before="240" w:line="240" w:lineRule="auto"/>
        <w:jc w:val="both"/>
        <w:rPr>
          <w:rFonts w:cs="Arial"/>
          <w:lang w:val="fr-BE" w:eastAsia="nl-BE"/>
        </w:rPr>
      </w:pPr>
      <w:r w:rsidRPr="00156AD0">
        <w:rPr>
          <w:rFonts w:cs="Arial"/>
          <w:lang w:val="fr-BE" w:eastAsia="nl-BE"/>
        </w:rPr>
        <w:t xml:space="preserve">Si l'autorité compétente est la BCE, la notification officielle de la décision d'acquérir ou d'augmenter une participation qualifiée directe ou indirecte dans un établissement financier doit toujours et exclusivement être transmise par voie numérique via le portail IMAS de la BCE, selon les modalités fixées par la BCE sur la page web de ce portail et sur sa page </w:t>
      </w:r>
      <w:r w:rsidR="00E66759">
        <w:rPr>
          <w:rFonts w:cs="Arial"/>
          <w:lang w:val="fr-BE" w:eastAsia="nl-BE"/>
        </w:rPr>
        <w:t>Agréments</w:t>
      </w:r>
      <w:r w:rsidRPr="00156AD0">
        <w:rPr>
          <w:rFonts w:cs="Arial"/>
          <w:lang w:val="fr-BE" w:eastAsia="nl-BE"/>
        </w:rPr>
        <w:t>. Comme indiqué dans l</w:t>
      </w:r>
      <w:r>
        <w:rPr>
          <w:rFonts w:cs="Arial"/>
          <w:lang w:val="fr-BE" w:eastAsia="nl-BE"/>
        </w:rPr>
        <w:t xml:space="preserve">a </w:t>
      </w:r>
      <w:r w:rsidR="00646F52">
        <w:rPr>
          <w:rFonts w:cs="Arial"/>
          <w:lang w:val="fr-BE" w:eastAsia="nl-BE"/>
        </w:rPr>
        <w:t>c</w:t>
      </w:r>
      <w:r w:rsidRPr="00646F52">
        <w:rPr>
          <w:rFonts w:cs="Arial"/>
          <w:lang w:val="fr-BE" w:eastAsia="nl-BE"/>
        </w:rPr>
        <w:t>ommunication</w:t>
      </w:r>
      <w:r w:rsidR="00646F52">
        <w:rPr>
          <w:rFonts w:cs="Arial"/>
          <w:lang w:val="fr-BE" w:eastAsia="nl-BE"/>
        </w:rPr>
        <w:t xml:space="preserve"> </w:t>
      </w:r>
      <w:r w:rsidR="00646F52">
        <w:t xml:space="preserve">NBB_2021_19 du 1er </w:t>
      </w:r>
      <w:proofErr w:type="spellStart"/>
      <w:r w:rsidR="00646F52">
        <w:t>septembre</w:t>
      </w:r>
      <w:proofErr w:type="spellEnd"/>
      <w:r w:rsidR="00646F52">
        <w:t xml:space="preserve"> 2021 - </w:t>
      </w:r>
      <w:proofErr w:type="spellStart"/>
      <w:r w:rsidR="00646F52">
        <w:t>Portail</w:t>
      </w:r>
      <w:proofErr w:type="spellEnd"/>
      <w:r w:rsidR="00646F52">
        <w:t xml:space="preserve"> IMAS de la BCE : </w:t>
      </w:r>
      <w:proofErr w:type="spellStart"/>
      <w:r w:rsidR="00646F52">
        <w:t>numérisation</w:t>
      </w:r>
      <w:proofErr w:type="spellEnd"/>
      <w:r w:rsidR="00646F52">
        <w:t xml:space="preserve"> des </w:t>
      </w:r>
      <w:proofErr w:type="spellStart"/>
      <w:r w:rsidR="00646F52">
        <w:t>formulaires</w:t>
      </w:r>
      <w:proofErr w:type="spellEnd"/>
      <w:r w:rsidR="00646F52">
        <w:t xml:space="preserve"> </w:t>
      </w:r>
      <w:proofErr w:type="spellStart"/>
      <w:r w:rsidR="00646F52">
        <w:t>concernant</w:t>
      </w:r>
      <w:proofErr w:type="spellEnd"/>
      <w:r w:rsidR="00646F52">
        <w:t xml:space="preserve"> les participations </w:t>
      </w:r>
      <w:proofErr w:type="spellStart"/>
      <w:r w:rsidR="00646F52">
        <w:t>qualifiées</w:t>
      </w:r>
      <w:proofErr w:type="spellEnd"/>
      <w:r w:rsidR="00646F52">
        <w:t xml:space="preserve"> </w:t>
      </w:r>
      <w:proofErr w:type="spellStart"/>
      <w:r w:rsidR="00646F52">
        <w:t>ainsi</w:t>
      </w:r>
      <w:proofErr w:type="spellEnd"/>
      <w:r w:rsidR="00646F52">
        <w:t xml:space="preserve"> que la libre prestation de services et la </w:t>
      </w:r>
      <w:proofErr w:type="spellStart"/>
      <w:r w:rsidR="00646F52">
        <w:t>liberté</w:t>
      </w:r>
      <w:proofErr w:type="spellEnd"/>
      <w:r w:rsidR="00646F52">
        <w:t xml:space="preserve"> </w:t>
      </w:r>
      <w:proofErr w:type="spellStart"/>
      <w:r w:rsidR="00646F52">
        <w:t>d’établissement</w:t>
      </w:r>
      <w:proofErr w:type="spellEnd"/>
      <w:r w:rsidRPr="00156AD0">
        <w:rPr>
          <w:rFonts w:cs="Arial"/>
          <w:lang w:val="fr-BE" w:eastAsia="nl-BE"/>
        </w:rPr>
        <w:t xml:space="preserve">, dans ces cas, les formulaires A à C bis ne sont plus acceptés à partir du moment où le formulaire numérique dans le </w:t>
      </w:r>
      <w:proofErr w:type="spellStart"/>
      <w:r>
        <w:rPr>
          <w:rFonts w:cs="Arial"/>
          <w:lang w:val="fr-BE" w:eastAsia="nl-BE"/>
        </w:rPr>
        <w:t>l</w:t>
      </w:r>
      <w:r w:rsidRPr="00156AD0">
        <w:rPr>
          <w:rFonts w:cs="Arial"/>
          <w:lang w:val="fr-BE" w:eastAsia="nl-BE"/>
        </w:rPr>
        <w:t>e</w:t>
      </w:r>
      <w:proofErr w:type="spellEnd"/>
      <w:r w:rsidRPr="00156AD0">
        <w:rPr>
          <w:rFonts w:cs="Arial"/>
          <w:lang w:val="fr-BE" w:eastAsia="nl-BE"/>
        </w:rPr>
        <w:t xml:space="preserve"> portail IMAS de la BCE est à la disposition du candidat actionnaire.</w:t>
      </w:r>
    </w:p>
    <w:p w14:paraId="660462BA" w14:textId="5CA8534D" w:rsidR="003F7D68" w:rsidRDefault="00156AD0" w:rsidP="00B1790E">
      <w:pPr>
        <w:tabs>
          <w:tab w:val="clear" w:pos="284"/>
        </w:tabs>
        <w:autoSpaceDE w:val="0"/>
        <w:autoSpaceDN w:val="0"/>
        <w:adjustRightInd w:val="0"/>
        <w:spacing w:before="240" w:line="240" w:lineRule="auto"/>
        <w:jc w:val="both"/>
        <w:rPr>
          <w:rFonts w:cs="Arial"/>
          <w:lang w:val="fr-BE" w:eastAsia="nl-BE"/>
        </w:rPr>
      </w:pPr>
      <w:r w:rsidRPr="00156AD0">
        <w:rPr>
          <w:rFonts w:cs="Arial"/>
          <w:lang w:val="fr-BE" w:eastAsia="nl-BE"/>
        </w:rPr>
        <w:t>Sauf dans les cas visés au premier alinéa</w:t>
      </w:r>
      <w:r>
        <w:rPr>
          <w:rFonts w:cs="Arial"/>
          <w:lang w:val="fr-BE" w:eastAsia="nl-BE"/>
        </w:rPr>
        <w:t>,</w:t>
      </w:r>
      <w:r w:rsidRPr="00156AD0">
        <w:rPr>
          <w:rFonts w:cs="Arial"/>
          <w:lang w:val="fr-BE" w:eastAsia="nl-BE"/>
        </w:rPr>
        <w:t xml:space="preserve"> </w:t>
      </w:r>
      <w:r>
        <w:rPr>
          <w:rFonts w:cs="Arial"/>
          <w:lang w:val="fr-BE" w:eastAsia="nl-BE"/>
        </w:rPr>
        <w:t>l</w:t>
      </w:r>
      <w:r w:rsidR="00864A41" w:rsidRPr="00AD7B1C">
        <w:rPr>
          <w:rFonts w:cs="Arial"/>
          <w:lang w:val="fr-BE" w:eastAsia="nl-BE"/>
        </w:rPr>
        <w:t xml:space="preserve">a notification officielle de la décision d'acquérir, d'accroître, de réduire ou de céder une participation qualifiée directe ou indirecte dans un organisme financier, et le dossier d'information qui doit l'accompagner (cf. infra) </w:t>
      </w:r>
      <w:r w:rsidR="003F5E55">
        <w:rPr>
          <w:rFonts w:cs="Arial"/>
          <w:lang w:val="fr-BE" w:eastAsia="nl-BE"/>
        </w:rPr>
        <w:t xml:space="preserve">sont à </w:t>
      </w:r>
      <w:r w:rsidR="00864A41" w:rsidRPr="00AD7B1C">
        <w:rPr>
          <w:rFonts w:cs="Arial"/>
          <w:lang w:val="fr-BE" w:eastAsia="nl-BE"/>
        </w:rPr>
        <w:t>adress</w:t>
      </w:r>
      <w:r w:rsidR="003F5E55">
        <w:rPr>
          <w:rFonts w:cs="Arial"/>
          <w:lang w:val="fr-BE" w:eastAsia="nl-BE"/>
        </w:rPr>
        <w:t>er</w:t>
      </w:r>
      <w:r w:rsidR="00864A41" w:rsidRPr="00AD7B1C">
        <w:rPr>
          <w:rFonts w:cs="Arial"/>
          <w:lang w:val="fr-BE" w:eastAsia="nl-BE"/>
        </w:rPr>
        <w:t xml:space="preserve"> par courrier </w:t>
      </w:r>
      <w:r w:rsidR="003F7D68">
        <w:rPr>
          <w:rFonts w:cs="Arial"/>
          <w:lang w:val="fr-BE" w:eastAsia="nl-BE"/>
        </w:rPr>
        <w:t xml:space="preserve">au siège de </w:t>
      </w:r>
      <w:r w:rsidR="00353A88">
        <w:rPr>
          <w:rFonts w:cs="Arial"/>
          <w:lang w:val="fr-BE" w:eastAsia="nl-BE"/>
        </w:rPr>
        <w:t>l’autorité compétente</w:t>
      </w:r>
      <w:r w:rsidR="003F7D68">
        <w:rPr>
          <w:rFonts w:cs="Arial"/>
          <w:lang w:val="fr-BE" w:eastAsia="nl-BE"/>
        </w:rPr>
        <w:t>.</w:t>
      </w:r>
    </w:p>
    <w:p w14:paraId="514C5CD9" w14:textId="77777777" w:rsidR="0077670A" w:rsidRDefault="00C20554" w:rsidP="00B1790E">
      <w:pPr>
        <w:tabs>
          <w:tab w:val="clear" w:pos="284"/>
        </w:tabs>
        <w:autoSpaceDE w:val="0"/>
        <w:autoSpaceDN w:val="0"/>
        <w:adjustRightInd w:val="0"/>
        <w:spacing w:before="240" w:line="240" w:lineRule="auto"/>
        <w:jc w:val="both"/>
        <w:rPr>
          <w:rFonts w:cs="Arial"/>
          <w:bCs/>
          <w:lang w:val="fr-BE" w:eastAsia="nl-BE"/>
        </w:rPr>
      </w:pPr>
      <w:r>
        <w:rPr>
          <w:rFonts w:cs="Arial"/>
          <w:lang w:val="fr-BE" w:eastAsia="nl-BE"/>
        </w:rPr>
        <w:t>Lorsque l’autorité compétente est la Banque nationale de Belgique</w:t>
      </w:r>
      <w:r w:rsidR="00864A41" w:rsidRPr="00AD7B1C">
        <w:rPr>
          <w:rFonts w:cs="Arial"/>
          <w:lang w:val="fr-BE" w:eastAsia="nl-BE"/>
        </w:rPr>
        <w:t>,</w:t>
      </w:r>
      <w:r>
        <w:rPr>
          <w:rFonts w:cs="Arial"/>
          <w:lang w:val="fr-BE" w:eastAsia="nl-BE"/>
        </w:rPr>
        <w:t xml:space="preserve"> le courrier de notification doit être envoyé</w:t>
      </w:r>
      <w:r w:rsidR="00864A41" w:rsidRPr="00AD7B1C">
        <w:rPr>
          <w:rFonts w:cs="Arial"/>
          <w:lang w:val="fr-BE" w:eastAsia="nl-BE"/>
        </w:rPr>
        <w:t xml:space="preserve"> à</w:t>
      </w:r>
      <w:r w:rsidR="00AD7B1C">
        <w:rPr>
          <w:rFonts w:cs="Arial"/>
          <w:lang w:val="fr-BE" w:eastAsia="nl-BE"/>
        </w:rPr>
        <w:t xml:space="preserve"> </w:t>
      </w:r>
      <w:r w:rsidR="00864A41" w:rsidRPr="00AD7B1C">
        <w:rPr>
          <w:rFonts w:cs="Arial"/>
          <w:lang w:val="fr-BE" w:eastAsia="nl-BE"/>
        </w:rPr>
        <w:t xml:space="preserve">l'adresse </w:t>
      </w:r>
      <w:proofErr w:type="spellStart"/>
      <w:r w:rsidR="00864A41" w:rsidRPr="00AD7B1C">
        <w:rPr>
          <w:rFonts w:cs="Arial"/>
          <w:lang w:val="fr-BE" w:eastAsia="nl-BE"/>
        </w:rPr>
        <w:t>suivane</w:t>
      </w:r>
      <w:proofErr w:type="spellEnd"/>
      <w:r w:rsidR="00864A41" w:rsidRPr="00AD7B1C">
        <w:rPr>
          <w:rFonts w:cs="Arial"/>
          <w:lang w:val="fr-BE" w:eastAsia="nl-BE"/>
        </w:rPr>
        <w:t xml:space="preserve"> :</w:t>
      </w:r>
      <w:r w:rsidR="000A0636" w:rsidRPr="00AD7B1C">
        <w:rPr>
          <w:rFonts w:cs="Arial"/>
          <w:lang w:val="fr-BE" w:eastAsia="nl-BE"/>
        </w:rPr>
        <w:t xml:space="preserve"> </w:t>
      </w:r>
      <w:r w:rsidR="00864A41" w:rsidRPr="00256F87">
        <w:rPr>
          <w:rFonts w:cs="Arial"/>
          <w:b/>
          <w:bCs/>
          <w:lang w:val="fr-BE" w:eastAsia="nl-BE"/>
        </w:rPr>
        <w:t>Boulevard de Berlaimont 14, 1000 BRUXELLES</w:t>
      </w:r>
      <w:r w:rsidR="00864A41" w:rsidRPr="00AD7B1C">
        <w:rPr>
          <w:rFonts w:cs="Arial"/>
          <w:bCs/>
          <w:lang w:val="fr-BE" w:eastAsia="nl-BE"/>
        </w:rPr>
        <w:t>.</w:t>
      </w:r>
    </w:p>
    <w:p w14:paraId="7992E485" w14:textId="4090A8B5" w:rsidR="008C0E25" w:rsidRDefault="00D15EDA" w:rsidP="00B1790E">
      <w:pPr>
        <w:tabs>
          <w:tab w:val="clear" w:pos="284"/>
        </w:tabs>
        <w:autoSpaceDE w:val="0"/>
        <w:autoSpaceDN w:val="0"/>
        <w:adjustRightInd w:val="0"/>
        <w:spacing w:before="240" w:line="240" w:lineRule="auto"/>
        <w:jc w:val="both"/>
        <w:rPr>
          <w:rFonts w:cs="Arial"/>
          <w:bCs/>
          <w:lang w:val="fr-BE" w:eastAsia="nl-BE"/>
        </w:rPr>
      </w:pPr>
      <w:r w:rsidRPr="00D15EDA">
        <w:rPr>
          <w:rFonts w:cs="Arial"/>
          <w:bCs/>
          <w:lang w:val="fr-BE" w:eastAsia="nl-BE"/>
        </w:rPr>
        <w:t>Dans les hypothèses visées dans les formulaires D à F où</w:t>
      </w:r>
      <w:r>
        <w:rPr>
          <w:rFonts w:cs="Arial"/>
          <w:bCs/>
          <w:lang w:val="fr-BE" w:eastAsia="nl-BE"/>
        </w:rPr>
        <w:t xml:space="preserve"> </w:t>
      </w:r>
      <w:r w:rsidR="008C0E25" w:rsidRPr="008C0E25">
        <w:rPr>
          <w:rFonts w:cs="Arial"/>
          <w:bCs/>
          <w:lang w:val="fr-BE" w:eastAsia="nl-BE"/>
        </w:rPr>
        <w:t xml:space="preserve">l’autorité compétente est la BCE, le courrier de notification doit également être envoyé à la Banque nationale de Belgique à l’adresse précitée et cette dernière en informera la BCE conformément au </w:t>
      </w:r>
      <w:hyperlink r:id="rId9" w:history="1">
        <w:r w:rsidR="008C0E25" w:rsidRPr="00D76ACF">
          <w:rPr>
            <w:rStyle w:val="Hyperlink"/>
            <w:rFonts w:cs="Arial"/>
            <w:lang w:val="fr-BE" w:eastAsia="nl-BE"/>
          </w:rPr>
          <w:t xml:space="preserve">SSM </w:t>
        </w:r>
        <w:proofErr w:type="spellStart"/>
        <w:r w:rsidR="008C0E25" w:rsidRPr="00D76ACF">
          <w:rPr>
            <w:rStyle w:val="Hyperlink"/>
            <w:rFonts w:cs="Arial"/>
            <w:lang w:val="fr-BE" w:eastAsia="nl-BE"/>
          </w:rPr>
          <w:t>Supervisory</w:t>
        </w:r>
        <w:proofErr w:type="spellEnd"/>
        <w:r w:rsidR="008C0E25" w:rsidRPr="00D76ACF">
          <w:rPr>
            <w:rStyle w:val="Hyperlink"/>
            <w:rFonts w:cs="Arial"/>
            <w:lang w:val="fr-BE" w:eastAsia="nl-BE"/>
          </w:rPr>
          <w:t xml:space="preserve"> Manual</w:t>
        </w:r>
      </w:hyperlink>
      <w:r w:rsidR="008C0E25" w:rsidRPr="008C0E25">
        <w:rPr>
          <w:rFonts w:cs="Arial"/>
          <w:bCs/>
          <w:lang w:val="fr-BE" w:eastAsia="nl-BE"/>
        </w:rPr>
        <w:t xml:space="preserve"> qui est disponible sur le site web de la BCE.</w:t>
      </w:r>
    </w:p>
    <w:p w14:paraId="1355AD8B" w14:textId="5B42652F" w:rsidR="00864A41" w:rsidRPr="00AB26A5" w:rsidRDefault="00C20554" w:rsidP="00B1790E">
      <w:pPr>
        <w:tabs>
          <w:tab w:val="clear" w:pos="284"/>
        </w:tabs>
        <w:autoSpaceDE w:val="0"/>
        <w:autoSpaceDN w:val="0"/>
        <w:adjustRightInd w:val="0"/>
        <w:spacing w:before="240" w:line="240" w:lineRule="auto"/>
        <w:jc w:val="both"/>
        <w:rPr>
          <w:rFonts w:cs="Arial"/>
          <w:lang w:val="fr-BE" w:eastAsia="nl-BE"/>
        </w:rPr>
      </w:pPr>
      <w:r>
        <w:rPr>
          <w:rFonts w:cs="Arial"/>
          <w:bCs/>
          <w:lang w:val="fr-BE" w:eastAsia="nl-BE"/>
        </w:rPr>
        <w:t>En outre</w:t>
      </w:r>
      <w:r>
        <w:rPr>
          <w:rFonts w:cs="Arial"/>
          <w:lang w:val="fr-BE" w:eastAsia="nl-BE"/>
        </w:rPr>
        <w:t>, a</w:t>
      </w:r>
      <w:r w:rsidR="00864A41" w:rsidRPr="00AD7B1C">
        <w:rPr>
          <w:rFonts w:cs="Arial"/>
          <w:lang w:val="fr-BE" w:eastAsia="nl-BE"/>
        </w:rPr>
        <w:t xml:space="preserve">fin que cette notification puisse être traitée dans les meilleures conditions d'efficacité, la personne qui y procède est en outre invitée à transmettre simultanément une copie électronique de sa notification et de l'intégralité du dossier d'information qui l'accompagne à l'adresse électronique suivante : </w:t>
      </w:r>
      <w:hyperlink r:id="rId10" w:history="1">
        <w:r w:rsidR="00864A41" w:rsidRPr="00AD7B1C">
          <w:rPr>
            <w:rStyle w:val="Hyperlink"/>
            <w:rFonts w:cs="Arial"/>
            <w:b/>
            <w:bCs/>
            <w:lang w:val="fr-BE" w:eastAsia="nl-BE"/>
          </w:rPr>
          <w:t>acquirers@nbb.be</w:t>
        </w:r>
      </w:hyperlink>
      <w:r w:rsidR="00D15EDA">
        <w:rPr>
          <w:rStyle w:val="Hyperlink"/>
          <w:rFonts w:cs="Arial"/>
          <w:b/>
          <w:bCs/>
          <w:lang w:val="fr-BE" w:eastAsia="nl-BE"/>
        </w:rPr>
        <w:t xml:space="preserve"> </w:t>
      </w:r>
      <w:r w:rsidR="00D15EDA" w:rsidRPr="00AB26A5">
        <w:rPr>
          <w:rStyle w:val="Hyperlink"/>
          <w:rFonts w:cs="Arial"/>
          <w:color w:val="auto"/>
          <w:u w:val="none"/>
          <w:lang w:val="fr-BE" w:eastAsia="nl-BE"/>
        </w:rPr>
        <w:t>(sauf dans les cas visés au premier alinéa)</w:t>
      </w:r>
      <w:r w:rsidR="00864A41" w:rsidRPr="00AB26A5">
        <w:rPr>
          <w:rFonts w:cs="Arial"/>
          <w:lang w:val="fr-BE" w:eastAsia="nl-BE"/>
        </w:rPr>
        <w:t>.</w:t>
      </w:r>
    </w:p>
    <w:p w14:paraId="58EF5E46" w14:textId="77777777" w:rsidR="00864A41" w:rsidRPr="00AD7B1C" w:rsidRDefault="00864A41" w:rsidP="00B1790E">
      <w:pPr>
        <w:tabs>
          <w:tab w:val="clear" w:pos="284"/>
        </w:tabs>
        <w:autoSpaceDE w:val="0"/>
        <w:autoSpaceDN w:val="0"/>
        <w:adjustRightInd w:val="0"/>
        <w:spacing w:before="240" w:line="240" w:lineRule="auto"/>
        <w:jc w:val="both"/>
        <w:rPr>
          <w:rFonts w:cs="Arial"/>
          <w:lang w:val="fr-BE" w:eastAsia="nl-BE"/>
        </w:rPr>
      </w:pPr>
      <w:r w:rsidRPr="00AD7B1C">
        <w:rPr>
          <w:rFonts w:cs="Arial"/>
          <w:lang w:val="fr-BE" w:eastAsia="nl-BE"/>
        </w:rPr>
        <w:t xml:space="preserve">De plus, afin d'assurer un traitement optimal des déclarations auxquels sont tenus les actionnaires ou candidats acquéreurs, </w:t>
      </w:r>
      <w:r w:rsidR="00353A88">
        <w:rPr>
          <w:rFonts w:cs="Arial"/>
          <w:lang w:val="fr-BE" w:eastAsia="nl-BE"/>
        </w:rPr>
        <w:t>l’autorité compétente</w:t>
      </w:r>
      <w:r w:rsidRPr="00AD7B1C">
        <w:rPr>
          <w:rFonts w:cs="Arial"/>
          <w:lang w:val="fr-BE" w:eastAsia="nl-BE"/>
        </w:rPr>
        <w:t xml:space="preserve"> leur recommande vivement de recourir aux </w:t>
      </w:r>
      <w:r w:rsidRPr="00AD7B1C">
        <w:rPr>
          <w:rFonts w:cs="Arial"/>
          <w:b/>
          <w:bCs/>
          <w:lang w:val="fr-BE" w:eastAsia="nl-BE"/>
        </w:rPr>
        <w:t xml:space="preserve">formulaires de déclaration </w:t>
      </w:r>
      <w:r w:rsidRPr="00AD7B1C">
        <w:rPr>
          <w:rFonts w:cs="Arial"/>
          <w:lang w:val="fr-BE" w:eastAsia="nl-BE"/>
        </w:rPr>
        <w:t>annexés à la présente communication, à savoir :</w:t>
      </w:r>
    </w:p>
    <w:p w14:paraId="720086C8" w14:textId="77777777" w:rsidR="00864A41" w:rsidRPr="00AD7B1C" w:rsidRDefault="00864A41" w:rsidP="00B1790E">
      <w:pPr>
        <w:pStyle w:val="ListParagraph"/>
        <w:numPr>
          <w:ilvl w:val="0"/>
          <w:numId w:val="37"/>
        </w:numPr>
        <w:tabs>
          <w:tab w:val="clear" w:pos="284"/>
        </w:tabs>
        <w:autoSpaceDE w:val="0"/>
        <w:autoSpaceDN w:val="0"/>
        <w:adjustRightInd w:val="0"/>
        <w:spacing w:before="120" w:line="240" w:lineRule="auto"/>
        <w:ind w:left="357" w:hanging="357"/>
        <w:jc w:val="both"/>
        <w:rPr>
          <w:rFonts w:cs="Arial"/>
          <w:lang w:val="fr-BE" w:eastAsia="nl-BE"/>
        </w:rPr>
      </w:pPr>
      <w:proofErr w:type="gramStart"/>
      <w:r w:rsidRPr="00AD7B1C">
        <w:rPr>
          <w:rFonts w:cs="Arial"/>
          <w:lang w:val="fr-BE" w:eastAsia="nl-BE"/>
        </w:rPr>
        <w:t>formulaire</w:t>
      </w:r>
      <w:proofErr w:type="gramEnd"/>
      <w:r w:rsidRPr="00AD7B1C">
        <w:rPr>
          <w:rFonts w:cs="Arial"/>
          <w:lang w:val="fr-BE" w:eastAsia="nl-BE"/>
        </w:rPr>
        <w:t xml:space="preserve"> A : déclaration en vue de l'évaluation prudentielle des acquisitions ou accroissements de participations qualifiées par des </w:t>
      </w:r>
      <w:r w:rsidRPr="00AD7B1C">
        <w:rPr>
          <w:rFonts w:cs="Arial"/>
          <w:b/>
          <w:bCs/>
          <w:lang w:val="fr-BE" w:eastAsia="nl-BE"/>
        </w:rPr>
        <w:t xml:space="preserve">personnes physiques </w:t>
      </w:r>
      <w:r w:rsidRPr="00AD7B1C">
        <w:rPr>
          <w:rFonts w:cs="Arial"/>
          <w:lang w:val="fr-BE" w:eastAsia="nl-BE"/>
        </w:rPr>
        <w:t>;</w:t>
      </w:r>
    </w:p>
    <w:p w14:paraId="193FA151" w14:textId="77777777" w:rsidR="00864A41" w:rsidRPr="00AD7B1C" w:rsidRDefault="00864A41" w:rsidP="00B1790E">
      <w:pPr>
        <w:pStyle w:val="ListParagraph"/>
        <w:numPr>
          <w:ilvl w:val="0"/>
          <w:numId w:val="37"/>
        </w:numPr>
        <w:tabs>
          <w:tab w:val="clear" w:pos="284"/>
        </w:tabs>
        <w:autoSpaceDE w:val="0"/>
        <w:autoSpaceDN w:val="0"/>
        <w:adjustRightInd w:val="0"/>
        <w:spacing w:before="120" w:line="240" w:lineRule="auto"/>
        <w:ind w:left="357" w:hanging="357"/>
        <w:contextualSpacing w:val="0"/>
        <w:jc w:val="both"/>
        <w:rPr>
          <w:rFonts w:cs="Arial"/>
          <w:lang w:val="fr-BE" w:eastAsia="nl-BE"/>
        </w:rPr>
      </w:pPr>
      <w:proofErr w:type="gramStart"/>
      <w:r w:rsidRPr="00AD7B1C">
        <w:rPr>
          <w:rFonts w:cs="Arial"/>
          <w:lang w:val="fr-BE" w:eastAsia="nl-BE"/>
        </w:rPr>
        <w:t>formulaire</w:t>
      </w:r>
      <w:proofErr w:type="gramEnd"/>
      <w:r w:rsidRPr="00AD7B1C">
        <w:rPr>
          <w:rFonts w:cs="Arial"/>
          <w:lang w:val="fr-BE" w:eastAsia="nl-BE"/>
        </w:rPr>
        <w:t xml:space="preserve"> B : déclaration en vue de l'évaluation prudentielle des acquisitions ou accroissements de participations qualifiées par des </w:t>
      </w:r>
      <w:r w:rsidRPr="00AD7B1C">
        <w:rPr>
          <w:rFonts w:cs="Arial"/>
          <w:b/>
          <w:bCs/>
          <w:lang w:val="fr-BE" w:eastAsia="nl-BE"/>
        </w:rPr>
        <w:t xml:space="preserve">personnes morales </w:t>
      </w:r>
      <w:r w:rsidRPr="00AD7B1C">
        <w:rPr>
          <w:rFonts w:cs="Arial"/>
          <w:lang w:val="fr-BE" w:eastAsia="nl-BE"/>
        </w:rPr>
        <w:t>;</w:t>
      </w:r>
    </w:p>
    <w:p w14:paraId="391C613D" w14:textId="77777777" w:rsidR="00864A41" w:rsidRPr="00AD7B1C" w:rsidRDefault="00864A41" w:rsidP="00B1790E">
      <w:pPr>
        <w:pStyle w:val="ListParagraph"/>
        <w:numPr>
          <w:ilvl w:val="0"/>
          <w:numId w:val="37"/>
        </w:numPr>
        <w:tabs>
          <w:tab w:val="clear" w:pos="284"/>
        </w:tabs>
        <w:autoSpaceDE w:val="0"/>
        <w:autoSpaceDN w:val="0"/>
        <w:adjustRightInd w:val="0"/>
        <w:spacing w:before="120" w:line="240" w:lineRule="auto"/>
        <w:ind w:left="357" w:hanging="357"/>
        <w:contextualSpacing w:val="0"/>
        <w:jc w:val="both"/>
        <w:rPr>
          <w:rFonts w:cs="Arial"/>
          <w:lang w:val="fr-BE" w:eastAsia="nl-BE"/>
        </w:rPr>
      </w:pPr>
      <w:proofErr w:type="gramStart"/>
      <w:r w:rsidRPr="00AD7B1C">
        <w:rPr>
          <w:rFonts w:cs="Arial"/>
          <w:lang w:val="fr-BE" w:eastAsia="nl-BE"/>
        </w:rPr>
        <w:lastRenderedPageBreak/>
        <w:t>formulaire</w:t>
      </w:r>
      <w:proofErr w:type="gramEnd"/>
      <w:r w:rsidRPr="00AD7B1C">
        <w:rPr>
          <w:rFonts w:cs="Arial"/>
          <w:lang w:val="fr-BE" w:eastAsia="nl-BE"/>
        </w:rPr>
        <w:t xml:space="preserve"> C : déclaration en vue de l'évaluation prudentielle des acquisitions ou accroissements de participations qualifiées par des </w:t>
      </w:r>
      <w:r w:rsidRPr="00AD7B1C">
        <w:rPr>
          <w:rFonts w:cs="Arial"/>
          <w:b/>
          <w:bCs/>
          <w:lang w:val="fr-BE" w:eastAsia="nl-BE"/>
        </w:rPr>
        <w:t xml:space="preserve">trusts ou d'autres constructions juridiques analogues </w:t>
      </w:r>
      <w:r w:rsidR="00BD09DC">
        <w:rPr>
          <w:rFonts w:cs="Arial"/>
          <w:lang w:val="fr-BE" w:eastAsia="nl-BE"/>
        </w:rPr>
        <w:t xml:space="preserve">à compléter par le formulaire </w:t>
      </w:r>
      <w:proofErr w:type="spellStart"/>
      <w:r w:rsidR="00BD09DC">
        <w:rPr>
          <w:rFonts w:cs="Arial"/>
          <w:lang w:val="fr-BE" w:eastAsia="nl-BE"/>
        </w:rPr>
        <w:t>Cbis</w:t>
      </w:r>
      <w:proofErr w:type="spellEnd"/>
      <w:r w:rsidR="00BD09DC">
        <w:rPr>
          <w:rFonts w:cs="Arial"/>
          <w:lang w:val="fr-BE" w:eastAsia="nl-BE"/>
        </w:rPr>
        <w:t xml:space="preserve"> « </w:t>
      </w:r>
      <w:r w:rsidR="00BD09DC" w:rsidRPr="00C76206">
        <w:rPr>
          <w:rFonts w:cs="Arial"/>
          <w:color w:val="000000" w:themeColor="text1"/>
          <w:lang w:val="fr-BE"/>
        </w:rPr>
        <w:t>Déclaration individuelle complémentaire</w:t>
      </w:r>
      <w:r w:rsidR="00BD09DC">
        <w:rPr>
          <w:rFonts w:cs="Arial"/>
          <w:color w:val="000000" w:themeColor="text1"/>
          <w:lang w:val="fr-BE"/>
        </w:rPr>
        <w:t> » pour chaque dirigeant du trust</w:t>
      </w:r>
      <w:r w:rsidR="00B1790E">
        <w:rPr>
          <w:rFonts w:cs="Arial"/>
          <w:color w:val="000000" w:themeColor="text1"/>
          <w:lang w:val="fr-BE"/>
        </w:rPr>
        <w:t> ;</w:t>
      </w:r>
    </w:p>
    <w:p w14:paraId="10CB3F93" w14:textId="77777777" w:rsidR="00864A41" w:rsidRPr="00AD7B1C" w:rsidRDefault="00864A41" w:rsidP="00B1790E">
      <w:pPr>
        <w:pStyle w:val="ListParagraph"/>
        <w:numPr>
          <w:ilvl w:val="0"/>
          <w:numId w:val="37"/>
        </w:numPr>
        <w:tabs>
          <w:tab w:val="clear" w:pos="284"/>
        </w:tabs>
        <w:autoSpaceDE w:val="0"/>
        <w:autoSpaceDN w:val="0"/>
        <w:adjustRightInd w:val="0"/>
        <w:spacing w:before="120" w:line="240" w:lineRule="auto"/>
        <w:ind w:left="357" w:hanging="357"/>
        <w:contextualSpacing w:val="0"/>
        <w:jc w:val="both"/>
        <w:rPr>
          <w:rFonts w:cs="Arial"/>
          <w:lang w:val="fr-BE" w:eastAsia="nl-BE"/>
        </w:rPr>
      </w:pPr>
      <w:proofErr w:type="gramStart"/>
      <w:r w:rsidRPr="00AD7B1C">
        <w:rPr>
          <w:rFonts w:cs="Arial"/>
          <w:lang w:val="fr-BE" w:eastAsia="nl-BE"/>
        </w:rPr>
        <w:t>formulaire</w:t>
      </w:r>
      <w:proofErr w:type="gramEnd"/>
      <w:r w:rsidRPr="00AD7B1C">
        <w:rPr>
          <w:rFonts w:cs="Arial"/>
          <w:lang w:val="fr-BE" w:eastAsia="nl-BE"/>
        </w:rPr>
        <w:t xml:space="preserve"> D : déclaration de </w:t>
      </w:r>
      <w:r w:rsidRPr="00AD7B1C">
        <w:rPr>
          <w:rFonts w:cs="Arial"/>
          <w:b/>
          <w:bCs/>
          <w:lang w:val="fr-BE" w:eastAsia="nl-BE"/>
        </w:rPr>
        <w:t xml:space="preserve">cession ou de réduction </w:t>
      </w:r>
      <w:r w:rsidRPr="00AD7B1C">
        <w:rPr>
          <w:rFonts w:cs="Arial"/>
          <w:lang w:val="fr-BE" w:eastAsia="nl-BE"/>
        </w:rPr>
        <w:t>d'une participation qualifiée ;</w:t>
      </w:r>
    </w:p>
    <w:p w14:paraId="605298C8" w14:textId="77777777" w:rsidR="009A7603" w:rsidRDefault="00864A41" w:rsidP="00B1790E">
      <w:pPr>
        <w:pStyle w:val="ListParagraph"/>
        <w:numPr>
          <w:ilvl w:val="0"/>
          <w:numId w:val="37"/>
        </w:numPr>
        <w:tabs>
          <w:tab w:val="clear" w:pos="284"/>
        </w:tabs>
        <w:autoSpaceDE w:val="0"/>
        <w:autoSpaceDN w:val="0"/>
        <w:adjustRightInd w:val="0"/>
        <w:spacing w:before="120" w:line="240" w:lineRule="auto"/>
        <w:ind w:left="357" w:hanging="357"/>
        <w:contextualSpacing w:val="0"/>
        <w:jc w:val="both"/>
        <w:rPr>
          <w:rFonts w:cs="Arial"/>
          <w:lang w:val="fr-BE" w:eastAsia="nl-BE"/>
        </w:rPr>
      </w:pPr>
      <w:proofErr w:type="gramStart"/>
      <w:r w:rsidRPr="00AD7B1C">
        <w:rPr>
          <w:rFonts w:cs="Arial"/>
          <w:lang w:val="fr-BE" w:eastAsia="nl-BE"/>
        </w:rPr>
        <w:t>formulaire</w:t>
      </w:r>
      <w:proofErr w:type="gramEnd"/>
      <w:r w:rsidRPr="00AD7B1C">
        <w:rPr>
          <w:rFonts w:cs="Arial"/>
          <w:lang w:val="fr-BE" w:eastAsia="nl-BE"/>
        </w:rPr>
        <w:t xml:space="preserve"> E : déclaration à titre informatif des acquisitions, accroissements ou cessions de titres ou parts d'organismes financiers impliquant le franchissement du </w:t>
      </w:r>
      <w:r w:rsidRPr="00AD7B1C">
        <w:rPr>
          <w:rFonts w:cs="Arial"/>
          <w:b/>
          <w:bCs/>
          <w:lang w:val="fr-BE" w:eastAsia="nl-BE"/>
        </w:rPr>
        <w:t xml:space="preserve">seuil de 5% </w:t>
      </w:r>
      <w:r w:rsidRPr="00AD7B1C">
        <w:rPr>
          <w:rFonts w:cs="Arial"/>
          <w:lang w:val="fr-BE" w:eastAsia="nl-BE"/>
        </w:rPr>
        <w:t>du capital ou des droits de vote</w:t>
      </w:r>
      <w:r w:rsidR="009A7603">
        <w:rPr>
          <w:rFonts w:cs="Arial"/>
          <w:lang w:val="fr-BE" w:eastAsia="nl-BE"/>
        </w:rPr>
        <w:t> ;</w:t>
      </w:r>
    </w:p>
    <w:p w14:paraId="5BBC1B34" w14:textId="77777777" w:rsidR="009A7603" w:rsidRPr="00F008E9" w:rsidRDefault="009A7603" w:rsidP="00BE3219">
      <w:pPr>
        <w:pStyle w:val="ListParagraph"/>
        <w:jc w:val="both"/>
        <w:rPr>
          <w:rFonts w:cs="Arial"/>
          <w:lang w:val="fr-BE" w:eastAsia="nl-BE"/>
        </w:rPr>
      </w:pPr>
    </w:p>
    <w:p w14:paraId="5A6C7EF8" w14:textId="77777777" w:rsidR="00B938A0" w:rsidRPr="00256F87" w:rsidRDefault="00B938A0" w:rsidP="00BE3219">
      <w:pPr>
        <w:pStyle w:val="ListParagraph"/>
        <w:numPr>
          <w:ilvl w:val="0"/>
          <w:numId w:val="37"/>
        </w:numPr>
        <w:tabs>
          <w:tab w:val="clear" w:pos="284"/>
        </w:tabs>
        <w:autoSpaceDE w:val="0"/>
        <w:autoSpaceDN w:val="0"/>
        <w:adjustRightInd w:val="0"/>
        <w:spacing w:line="240" w:lineRule="auto"/>
        <w:jc w:val="both"/>
        <w:rPr>
          <w:rFonts w:cs="Arial"/>
          <w:iCs/>
          <w:lang w:val="fr-BE" w:eastAsia="nl-BE"/>
        </w:rPr>
      </w:pPr>
      <w:proofErr w:type="gramStart"/>
      <w:r>
        <w:rPr>
          <w:rFonts w:cs="Arial"/>
          <w:iCs/>
          <w:lang w:val="fr-BE" w:eastAsia="nl-BE"/>
        </w:rPr>
        <w:t>f</w:t>
      </w:r>
      <w:r w:rsidRPr="00F008E9">
        <w:rPr>
          <w:rFonts w:cs="Arial"/>
          <w:iCs/>
          <w:lang w:val="fr-BE" w:eastAsia="nl-BE"/>
        </w:rPr>
        <w:t>ormulaire</w:t>
      </w:r>
      <w:proofErr w:type="gramEnd"/>
      <w:r w:rsidRPr="00F008E9">
        <w:rPr>
          <w:rFonts w:cs="Arial"/>
          <w:iCs/>
          <w:lang w:val="fr-BE" w:eastAsia="nl-BE"/>
        </w:rPr>
        <w:t xml:space="preserve"> F</w:t>
      </w:r>
      <w:r>
        <w:rPr>
          <w:rFonts w:cs="Arial"/>
          <w:iCs/>
          <w:lang w:val="fr-BE" w:eastAsia="nl-BE"/>
        </w:rPr>
        <w:t> : d</w:t>
      </w:r>
      <w:r w:rsidRPr="00256F87">
        <w:rPr>
          <w:rFonts w:cs="Arial"/>
          <w:iCs/>
          <w:lang w:val="fr-BE" w:eastAsia="nl-BE"/>
        </w:rPr>
        <w:t>éclaration « </w:t>
      </w:r>
      <w:r w:rsidRPr="00256F87">
        <w:rPr>
          <w:rFonts w:cs="Arial"/>
          <w:b/>
          <w:iCs/>
          <w:lang w:val="fr-BE" w:eastAsia="nl-BE"/>
        </w:rPr>
        <w:t>nouveaux éléments</w:t>
      </w:r>
      <w:r w:rsidRPr="00256F87">
        <w:rPr>
          <w:rFonts w:cs="Arial"/>
          <w:iCs/>
          <w:lang w:val="fr-BE" w:eastAsia="nl-BE"/>
        </w:rPr>
        <w:t> » en vue d’une réévaluation prudentielle de la personne physique ou morale ou du trust détenant une participation qualifiée dans le capital d’un organisme financier</w:t>
      </w:r>
      <w:r>
        <w:rPr>
          <w:rFonts w:cs="Arial"/>
          <w:iCs/>
          <w:lang w:val="fr-BE" w:eastAsia="nl-BE"/>
        </w:rPr>
        <w:t>.</w:t>
      </w:r>
      <w:r w:rsidRPr="00256F87">
        <w:rPr>
          <w:rFonts w:cs="Arial"/>
          <w:iCs/>
          <w:lang w:val="fr-BE" w:eastAsia="nl-BE"/>
        </w:rPr>
        <w:t xml:space="preserve"> </w:t>
      </w:r>
    </w:p>
    <w:p w14:paraId="0F4FCB36" w14:textId="77777777" w:rsidR="00864A41" w:rsidRPr="00AD7B1C" w:rsidRDefault="00864A41" w:rsidP="00BE3219">
      <w:pPr>
        <w:tabs>
          <w:tab w:val="clear" w:pos="284"/>
        </w:tabs>
        <w:autoSpaceDE w:val="0"/>
        <w:autoSpaceDN w:val="0"/>
        <w:adjustRightInd w:val="0"/>
        <w:spacing w:line="240" w:lineRule="auto"/>
        <w:jc w:val="both"/>
        <w:rPr>
          <w:rFonts w:cs="Arial"/>
          <w:lang w:val="fr-BE" w:eastAsia="nl-BE"/>
        </w:rPr>
      </w:pPr>
    </w:p>
    <w:p w14:paraId="0333854D" w14:textId="77777777" w:rsidR="00AB5A25" w:rsidRDefault="00864A41"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La notification pourra être rédigée en français, en néerlandais ou en anglais.</w:t>
      </w:r>
    </w:p>
    <w:p w14:paraId="6A8D94AA" w14:textId="77777777" w:rsidR="00975DE4" w:rsidRDefault="00975DE4" w:rsidP="00BE3219">
      <w:pPr>
        <w:tabs>
          <w:tab w:val="clear" w:pos="284"/>
        </w:tabs>
        <w:autoSpaceDE w:val="0"/>
        <w:autoSpaceDN w:val="0"/>
        <w:adjustRightInd w:val="0"/>
        <w:spacing w:line="240" w:lineRule="auto"/>
        <w:jc w:val="both"/>
        <w:rPr>
          <w:rFonts w:cs="Arial"/>
          <w:lang w:val="fr-BE" w:eastAsia="nl-BE"/>
        </w:rPr>
      </w:pPr>
    </w:p>
    <w:p w14:paraId="548D38B7" w14:textId="77777777" w:rsidR="00464BA5" w:rsidRDefault="00464BA5" w:rsidP="00BE3219">
      <w:pPr>
        <w:tabs>
          <w:tab w:val="clear" w:pos="284"/>
        </w:tabs>
        <w:autoSpaceDE w:val="0"/>
        <w:autoSpaceDN w:val="0"/>
        <w:adjustRightInd w:val="0"/>
        <w:spacing w:line="240" w:lineRule="auto"/>
        <w:jc w:val="both"/>
        <w:rPr>
          <w:lang w:val="fr-BE"/>
        </w:rPr>
      </w:pPr>
      <w:r>
        <w:rPr>
          <w:lang w:val="fr-BE"/>
        </w:rPr>
        <w:t>Il est observé que</w:t>
      </w:r>
      <w:r w:rsidR="00F008E9">
        <w:rPr>
          <w:lang w:val="fr-BE"/>
        </w:rPr>
        <w:t>, hormis le formu</w:t>
      </w:r>
      <w:r w:rsidR="00EA758B">
        <w:rPr>
          <w:lang w:val="fr-BE"/>
        </w:rPr>
        <w:t>l</w:t>
      </w:r>
      <w:r w:rsidR="00F008E9">
        <w:rPr>
          <w:lang w:val="fr-BE"/>
        </w:rPr>
        <w:t>aire F qui est nouveau, l</w:t>
      </w:r>
      <w:r>
        <w:rPr>
          <w:lang w:val="fr-BE"/>
        </w:rPr>
        <w:t xml:space="preserve">es formulaires de notification </w:t>
      </w:r>
      <w:r w:rsidR="00F008E9">
        <w:rPr>
          <w:lang w:val="fr-BE"/>
        </w:rPr>
        <w:t xml:space="preserve">A à E </w:t>
      </w:r>
      <w:r>
        <w:rPr>
          <w:lang w:val="fr-BE"/>
        </w:rPr>
        <w:t xml:space="preserve">sont </w:t>
      </w:r>
      <w:r w:rsidR="0077670A">
        <w:rPr>
          <w:lang w:val="fr-BE"/>
        </w:rPr>
        <w:t xml:space="preserve">très similaires </w:t>
      </w:r>
      <w:r>
        <w:rPr>
          <w:lang w:val="fr-BE"/>
        </w:rPr>
        <w:t>à ceux qui étaient joint</w:t>
      </w:r>
      <w:r w:rsidR="00F008E9">
        <w:rPr>
          <w:lang w:val="fr-BE"/>
        </w:rPr>
        <w:t>s</w:t>
      </w:r>
      <w:r>
        <w:rPr>
          <w:lang w:val="fr-BE"/>
        </w:rPr>
        <w:t xml:space="preserve"> à la communication 2009_31</w:t>
      </w:r>
      <w:r w:rsidR="0077670A">
        <w:rPr>
          <w:lang w:val="fr-BE"/>
        </w:rPr>
        <w:t xml:space="preserve"> (mise-à-jour à la marge)</w:t>
      </w:r>
      <w:r>
        <w:rPr>
          <w:lang w:val="fr-BE"/>
        </w:rPr>
        <w:t>.</w:t>
      </w:r>
    </w:p>
    <w:p w14:paraId="48C5B818" w14:textId="77777777" w:rsidR="00464BA5" w:rsidRDefault="00464BA5" w:rsidP="00BE3219">
      <w:pPr>
        <w:tabs>
          <w:tab w:val="clear" w:pos="284"/>
        </w:tabs>
        <w:autoSpaceDE w:val="0"/>
        <w:autoSpaceDN w:val="0"/>
        <w:adjustRightInd w:val="0"/>
        <w:spacing w:line="240" w:lineRule="auto"/>
        <w:jc w:val="both"/>
        <w:rPr>
          <w:lang w:val="fr-BE"/>
        </w:rPr>
      </w:pPr>
    </w:p>
    <w:p w14:paraId="643454F9" w14:textId="77777777" w:rsidR="003C0485" w:rsidRDefault="00464BA5" w:rsidP="00BE3219">
      <w:pPr>
        <w:tabs>
          <w:tab w:val="clear" w:pos="284"/>
        </w:tabs>
        <w:autoSpaceDE w:val="0"/>
        <w:autoSpaceDN w:val="0"/>
        <w:adjustRightInd w:val="0"/>
        <w:spacing w:line="240" w:lineRule="auto"/>
        <w:jc w:val="both"/>
        <w:rPr>
          <w:rFonts w:cs="Arial"/>
          <w:lang w:val="fr-BE" w:eastAsia="nl-BE"/>
        </w:rPr>
      </w:pPr>
      <w:r w:rsidRPr="00F008E9">
        <w:rPr>
          <w:lang w:val="fr-BE"/>
        </w:rPr>
        <w:t xml:space="preserve">Néanmoins, </w:t>
      </w:r>
      <w:r w:rsidR="003C0485">
        <w:rPr>
          <w:lang w:val="fr-BE"/>
        </w:rPr>
        <w:t xml:space="preserve">une nouveauté a été introduite dans la mesure où, </w:t>
      </w:r>
      <w:r w:rsidRPr="00F008E9">
        <w:rPr>
          <w:lang w:val="fr-BE"/>
        </w:rPr>
        <w:t>pour que l</w:t>
      </w:r>
      <w:r w:rsidRPr="00256F87">
        <w:rPr>
          <w:lang w:val="fr-BE"/>
        </w:rPr>
        <w:t>es formulaire A, B</w:t>
      </w:r>
      <w:r w:rsidR="00BD09DC">
        <w:rPr>
          <w:lang w:val="fr-BE"/>
        </w:rPr>
        <w:t>, C</w:t>
      </w:r>
      <w:r w:rsidRPr="00256F87">
        <w:rPr>
          <w:lang w:val="fr-BE"/>
        </w:rPr>
        <w:t xml:space="preserve"> et </w:t>
      </w:r>
      <w:proofErr w:type="spellStart"/>
      <w:r w:rsidRPr="00256F87">
        <w:rPr>
          <w:lang w:val="fr-BE"/>
        </w:rPr>
        <w:t>C</w:t>
      </w:r>
      <w:r w:rsidR="00BD09DC">
        <w:rPr>
          <w:lang w:val="fr-BE"/>
        </w:rPr>
        <w:t>bis</w:t>
      </w:r>
      <w:proofErr w:type="spellEnd"/>
      <w:r w:rsidRPr="00256F87">
        <w:rPr>
          <w:lang w:val="fr-BE"/>
        </w:rPr>
        <w:t xml:space="preserve"> concernant </w:t>
      </w:r>
      <w:proofErr w:type="gramStart"/>
      <w:r w:rsidRPr="00256F87">
        <w:rPr>
          <w:lang w:val="fr-BE"/>
        </w:rPr>
        <w:t>les notification</w:t>
      </w:r>
      <w:proofErr w:type="gramEnd"/>
      <w:r w:rsidRPr="00256F87">
        <w:rPr>
          <w:lang w:val="fr-BE"/>
        </w:rPr>
        <w:t xml:space="preserve"> d’acquisitions ou d’accroissements de participations qualifiées </w:t>
      </w:r>
      <w:r w:rsidR="00A75A8E" w:rsidRPr="00256F87">
        <w:rPr>
          <w:rFonts w:cs="Arial"/>
          <w:lang w:val="fr-BE" w:eastAsia="nl-BE"/>
        </w:rPr>
        <w:t xml:space="preserve">soient </w:t>
      </w:r>
      <w:r w:rsidRPr="00256F87">
        <w:rPr>
          <w:rFonts w:cs="Arial"/>
          <w:lang w:val="fr-BE" w:eastAsia="nl-BE"/>
        </w:rPr>
        <w:t xml:space="preserve">conformes </w:t>
      </w:r>
      <w:r w:rsidR="00A75A8E" w:rsidRPr="00256F87">
        <w:rPr>
          <w:rFonts w:cs="Arial"/>
          <w:lang w:val="fr-BE" w:eastAsia="nl-BE"/>
        </w:rPr>
        <w:t>au</w:t>
      </w:r>
      <w:r w:rsidRPr="00256F87">
        <w:rPr>
          <w:rFonts w:cs="Arial"/>
          <w:lang w:val="fr-BE" w:eastAsia="nl-BE"/>
        </w:rPr>
        <w:t xml:space="preserve"> point 9 et l’Annexe I des orientations communes reprises en annexe 8 de la présente communication</w:t>
      </w:r>
      <w:r w:rsidR="00A75A8E" w:rsidRPr="00256F87">
        <w:rPr>
          <w:rFonts w:cs="Arial"/>
          <w:lang w:val="fr-BE" w:eastAsia="nl-BE"/>
        </w:rPr>
        <w:t>,</w:t>
      </w:r>
      <w:r w:rsidR="00A75A8E" w:rsidRPr="00CD4C44">
        <w:rPr>
          <w:rFonts w:cs="Arial"/>
          <w:b/>
          <w:lang w:val="fr-BE" w:eastAsia="nl-BE"/>
        </w:rPr>
        <w:t xml:space="preserve"> </w:t>
      </w:r>
      <w:r w:rsidR="003C0485">
        <w:rPr>
          <w:rFonts w:cs="Arial"/>
          <w:b/>
          <w:lang w:val="fr-BE" w:eastAsia="nl-BE"/>
        </w:rPr>
        <w:t>ils</w:t>
      </w:r>
      <w:r w:rsidR="00A75A8E" w:rsidRPr="00CD4C44">
        <w:rPr>
          <w:rFonts w:cs="Arial"/>
          <w:b/>
          <w:lang w:val="fr-BE" w:eastAsia="nl-BE"/>
        </w:rPr>
        <w:t xml:space="preserve"> doivent </w:t>
      </w:r>
      <w:r w:rsidR="003C0485">
        <w:rPr>
          <w:rFonts w:cs="Arial"/>
          <w:b/>
          <w:lang w:val="fr-BE" w:eastAsia="nl-BE"/>
        </w:rPr>
        <w:t xml:space="preserve">désormais </w:t>
      </w:r>
      <w:r w:rsidR="00A75A8E" w:rsidRPr="00CD4C44">
        <w:rPr>
          <w:rFonts w:cs="Arial"/>
          <w:b/>
          <w:lang w:val="fr-BE" w:eastAsia="nl-BE"/>
        </w:rPr>
        <w:t xml:space="preserve">être complétés par des </w:t>
      </w:r>
      <w:r w:rsidR="00BD09DC">
        <w:rPr>
          <w:rFonts w:cs="Arial"/>
          <w:b/>
          <w:lang w:val="fr-BE" w:eastAsia="nl-BE"/>
        </w:rPr>
        <w:t>dossiers</w:t>
      </w:r>
      <w:r w:rsidR="00BD09DC" w:rsidRPr="00CD4C44">
        <w:rPr>
          <w:rFonts w:cs="Arial"/>
          <w:b/>
          <w:lang w:val="fr-BE" w:eastAsia="nl-BE"/>
        </w:rPr>
        <w:t xml:space="preserve"> </w:t>
      </w:r>
      <w:r w:rsidR="00A75A8E" w:rsidRPr="00CD4C44">
        <w:rPr>
          <w:rFonts w:cs="Arial"/>
          <w:b/>
          <w:lang w:val="fr-BE" w:eastAsia="nl-BE"/>
        </w:rPr>
        <w:t xml:space="preserve">« fit &amp; </w:t>
      </w:r>
      <w:proofErr w:type="spellStart"/>
      <w:r w:rsidR="00A75A8E" w:rsidRPr="00CD4C44">
        <w:rPr>
          <w:rFonts w:cs="Arial"/>
          <w:b/>
          <w:lang w:val="fr-BE" w:eastAsia="nl-BE"/>
        </w:rPr>
        <w:t>proper</w:t>
      </w:r>
      <w:proofErr w:type="spellEnd"/>
      <w:r w:rsidR="00A75A8E" w:rsidRPr="00CD4C44">
        <w:rPr>
          <w:rFonts w:cs="Arial"/>
          <w:b/>
          <w:lang w:val="fr-BE" w:eastAsia="nl-BE"/>
        </w:rPr>
        <w:t> »</w:t>
      </w:r>
      <w:r w:rsidR="00F008E9" w:rsidRPr="00F008E9">
        <w:rPr>
          <w:lang w:val="fr-BE"/>
        </w:rPr>
        <w:t xml:space="preserve"> </w:t>
      </w:r>
      <w:r w:rsidR="003C0485">
        <w:rPr>
          <w:lang w:val="fr-BE"/>
        </w:rPr>
        <w:t>plus détaillés que les déclarations qui étaient jusqu’ici demandée</w:t>
      </w:r>
      <w:r w:rsidR="00BD09DC">
        <w:rPr>
          <w:lang w:val="fr-BE"/>
        </w:rPr>
        <w:t xml:space="preserve">. </w:t>
      </w:r>
      <w:r w:rsidR="00A75A8E" w:rsidRPr="00256F87">
        <w:rPr>
          <w:rFonts w:cs="Arial"/>
          <w:lang w:val="fr-BE" w:eastAsia="nl-BE"/>
        </w:rPr>
        <w:t xml:space="preserve"> </w:t>
      </w:r>
      <w:r w:rsidR="00F008E9" w:rsidRPr="00256F87">
        <w:rPr>
          <w:rFonts w:cs="Arial"/>
          <w:lang w:val="fr-BE" w:eastAsia="nl-BE"/>
        </w:rPr>
        <w:t xml:space="preserve"> </w:t>
      </w:r>
    </w:p>
    <w:p w14:paraId="46ACAFA5" w14:textId="77777777" w:rsidR="003C0485" w:rsidRDefault="003C0485" w:rsidP="00BE3219">
      <w:pPr>
        <w:tabs>
          <w:tab w:val="clear" w:pos="284"/>
        </w:tabs>
        <w:autoSpaceDE w:val="0"/>
        <w:autoSpaceDN w:val="0"/>
        <w:adjustRightInd w:val="0"/>
        <w:spacing w:line="240" w:lineRule="auto"/>
        <w:jc w:val="both"/>
        <w:rPr>
          <w:rFonts w:cs="Arial"/>
          <w:lang w:val="fr-BE" w:eastAsia="nl-BE"/>
        </w:rPr>
      </w:pPr>
    </w:p>
    <w:p w14:paraId="69DB28F3" w14:textId="77777777" w:rsidR="00A75A8E" w:rsidRPr="00F008E9" w:rsidRDefault="00A75A8E" w:rsidP="00BE3219">
      <w:pPr>
        <w:tabs>
          <w:tab w:val="clear" w:pos="284"/>
        </w:tabs>
        <w:autoSpaceDE w:val="0"/>
        <w:autoSpaceDN w:val="0"/>
        <w:adjustRightInd w:val="0"/>
        <w:spacing w:line="240" w:lineRule="auto"/>
        <w:jc w:val="both"/>
        <w:rPr>
          <w:rFonts w:cs="Arial"/>
          <w:lang w:val="fr-BE" w:eastAsia="nl-BE"/>
        </w:rPr>
      </w:pPr>
      <w:r w:rsidRPr="00256F87">
        <w:rPr>
          <w:rFonts w:cs="Arial"/>
          <w:lang w:val="fr-BE" w:eastAsia="nl-BE"/>
        </w:rPr>
        <w:t xml:space="preserve">Concrètement, </w:t>
      </w:r>
      <w:r w:rsidRPr="00256F87">
        <w:rPr>
          <w:lang w:val="fr-BE"/>
        </w:rPr>
        <w:t>les acquéreurs en personnes physiques</w:t>
      </w:r>
      <w:r w:rsidR="00BD09DC">
        <w:rPr>
          <w:lang w:val="fr-BE"/>
        </w:rPr>
        <w:t>, chacun des</w:t>
      </w:r>
      <w:r w:rsidR="00BD09DC" w:rsidRPr="00256F87">
        <w:rPr>
          <w:lang w:val="fr-BE"/>
        </w:rPr>
        <w:t xml:space="preserve"> </w:t>
      </w:r>
      <w:r w:rsidRPr="00256F87">
        <w:rPr>
          <w:lang w:val="fr-BE"/>
        </w:rPr>
        <w:t>dirigeants effectifs (membres du comité de direction ou équivalents</w:t>
      </w:r>
      <w:r w:rsidR="00D40FD9">
        <w:rPr>
          <w:rStyle w:val="FootnoteReference"/>
          <w:lang w:val="fr-BE"/>
        </w:rPr>
        <w:footnoteReference w:id="3"/>
      </w:r>
      <w:r w:rsidRPr="00256F87">
        <w:rPr>
          <w:lang w:val="fr-BE"/>
        </w:rPr>
        <w:t>) des acquéreurs en personne morale</w:t>
      </w:r>
      <w:r w:rsidR="00BD09DC">
        <w:rPr>
          <w:lang w:val="fr-BE"/>
        </w:rPr>
        <w:t xml:space="preserve"> et chacun des dirigeants des acquéreurs sous forme de </w:t>
      </w:r>
      <w:r w:rsidRPr="00256F87">
        <w:rPr>
          <w:lang w:val="fr-BE"/>
        </w:rPr>
        <w:t xml:space="preserve">trust ou construction juridique analogue doivent communiquer à </w:t>
      </w:r>
      <w:r w:rsidR="00407C75">
        <w:rPr>
          <w:lang w:val="fr-BE"/>
        </w:rPr>
        <w:t>l’autorité de contrôle</w:t>
      </w:r>
      <w:r w:rsidRPr="00256F87">
        <w:rPr>
          <w:lang w:val="fr-BE"/>
        </w:rPr>
        <w:t xml:space="preserve"> -en sus des </w:t>
      </w:r>
      <w:r w:rsidR="003C0485">
        <w:rPr>
          <w:lang w:val="fr-BE"/>
        </w:rPr>
        <w:t>déclarations</w:t>
      </w:r>
      <w:r w:rsidRPr="00256F87">
        <w:rPr>
          <w:lang w:val="fr-BE"/>
        </w:rPr>
        <w:t xml:space="preserve"> </w:t>
      </w:r>
      <w:r w:rsidR="003C0485">
        <w:rPr>
          <w:lang w:val="fr-BE"/>
        </w:rPr>
        <w:t>relatives à</w:t>
      </w:r>
      <w:r w:rsidR="003C0485" w:rsidRPr="00256F87">
        <w:rPr>
          <w:lang w:val="fr-BE"/>
        </w:rPr>
        <w:t xml:space="preserve"> </w:t>
      </w:r>
      <w:r w:rsidRPr="00256F87">
        <w:rPr>
          <w:lang w:val="fr-BE"/>
        </w:rPr>
        <w:t>la réputation reprises dans le</w:t>
      </w:r>
      <w:r w:rsidR="0042555A">
        <w:rPr>
          <w:lang w:val="fr-BE"/>
        </w:rPr>
        <w:t>s</w:t>
      </w:r>
      <w:r w:rsidRPr="00256F87">
        <w:rPr>
          <w:lang w:val="fr-BE"/>
        </w:rPr>
        <w:t xml:space="preserve"> formulaire</w:t>
      </w:r>
      <w:r w:rsidR="0042555A">
        <w:rPr>
          <w:lang w:val="fr-BE"/>
        </w:rPr>
        <w:t>s</w:t>
      </w:r>
      <w:r w:rsidRPr="00256F87">
        <w:rPr>
          <w:lang w:val="fr-BE"/>
        </w:rPr>
        <w:t xml:space="preserve"> A, B</w:t>
      </w:r>
      <w:r w:rsidR="003C0485">
        <w:rPr>
          <w:lang w:val="fr-BE"/>
        </w:rPr>
        <w:t>, C</w:t>
      </w:r>
      <w:r w:rsidRPr="00256F87">
        <w:rPr>
          <w:lang w:val="fr-BE"/>
        </w:rPr>
        <w:t xml:space="preserve"> et </w:t>
      </w:r>
      <w:proofErr w:type="spellStart"/>
      <w:r w:rsidRPr="00256F87">
        <w:rPr>
          <w:lang w:val="fr-BE"/>
        </w:rPr>
        <w:t>C</w:t>
      </w:r>
      <w:r w:rsidR="003C0485">
        <w:rPr>
          <w:lang w:val="fr-BE"/>
        </w:rPr>
        <w:t>bis</w:t>
      </w:r>
      <w:proofErr w:type="spellEnd"/>
      <w:r w:rsidRPr="00256F87">
        <w:rPr>
          <w:lang w:val="fr-BE"/>
        </w:rPr>
        <w:t xml:space="preserve">- un </w:t>
      </w:r>
      <w:r w:rsidR="003C0485">
        <w:rPr>
          <w:lang w:val="fr-BE"/>
        </w:rPr>
        <w:t>dossier</w:t>
      </w:r>
      <w:r w:rsidR="003C0485" w:rsidRPr="00256F87">
        <w:rPr>
          <w:lang w:val="fr-BE"/>
        </w:rPr>
        <w:t xml:space="preserve"> </w:t>
      </w:r>
      <w:r w:rsidRPr="00256F87">
        <w:rPr>
          <w:lang w:val="fr-BE"/>
        </w:rPr>
        <w:t>« </w:t>
      </w:r>
      <w:r w:rsidRPr="00256F87">
        <w:rPr>
          <w:i/>
          <w:lang w:val="fr-BE"/>
        </w:rPr>
        <w:t xml:space="preserve">fit &amp; </w:t>
      </w:r>
      <w:proofErr w:type="spellStart"/>
      <w:r w:rsidRPr="00256F87">
        <w:rPr>
          <w:i/>
          <w:lang w:val="fr-BE"/>
        </w:rPr>
        <w:t>prope</w:t>
      </w:r>
      <w:r w:rsidRPr="00256F87">
        <w:rPr>
          <w:lang w:val="fr-BE"/>
        </w:rPr>
        <w:t>r</w:t>
      </w:r>
      <w:proofErr w:type="spellEnd"/>
      <w:r w:rsidRPr="00256F87">
        <w:rPr>
          <w:lang w:val="fr-BE"/>
        </w:rPr>
        <w:t xml:space="preserve"> » </w:t>
      </w:r>
      <w:r w:rsidR="003C0485">
        <w:rPr>
          <w:lang w:val="fr-BE"/>
        </w:rPr>
        <w:t xml:space="preserve">qui comprend (i) les réponses </w:t>
      </w:r>
      <w:r w:rsidR="0042555A">
        <w:rPr>
          <w:lang w:val="fr-BE"/>
        </w:rPr>
        <w:t>au Titre</w:t>
      </w:r>
      <w:r w:rsidR="003C0485">
        <w:rPr>
          <w:lang w:val="fr-BE"/>
        </w:rPr>
        <w:t xml:space="preserve"> </w:t>
      </w:r>
      <w:r w:rsidR="00F96CAF">
        <w:t>‘</w:t>
      </w:r>
      <w:proofErr w:type="spellStart"/>
      <w:r w:rsidR="00F96CAF">
        <w:t>Honorabilité</w:t>
      </w:r>
      <w:proofErr w:type="spellEnd"/>
      <w:r w:rsidR="00F96CAF">
        <w:t xml:space="preserve">’ </w:t>
      </w:r>
      <w:r w:rsidR="003C0485">
        <w:rPr>
          <w:lang w:val="fr-BE"/>
        </w:rPr>
        <w:t>du formulaire « nouvelle nomination » qui est annexé à la circulaire 2013-02</w:t>
      </w:r>
      <w:r w:rsidR="003C0485">
        <w:rPr>
          <w:rStyle w:val="FootnoteReference"/>
          <w:lang w:val="fr-BE"/>
        </w:rPr>
        <w:footnoteReference w:id="4"/>
      </w:r>
      <w:r w:rsidR="003C0485">
        <w:rPr>
          <w:lang w:val="fr-BE"/>
        </w:rPr>
        <w:t>, (ii) un curriculum vit</w:t>
      </w:r>
      <w:r w:rsidR="00B440DB">
        <w:rPr>
          <w:lang w:val="fr-BE"/>
        </w:rPr>
        <w:t>a</w:t>
      </w:r>
      <w:r w:rsidR="003C0485">
        <w:rPr>
          <w:lang w:val="fr-BE"/>
        </w:rPr>
        <w:t>e détaillé et (iii) un extrait récent du casier judicia</w:t>
      </w:r>
      <w:r w:rsidR="00B440DB">
        <w:rPr>
          <w:lang w:val="fr-BE"/>
        </w:rPr>
        <w:t>i</w:t>
      </w:r>
      <w:r w:rsidR="003C0485">
        <w:rPr>
          <w:lang w:val="fr-BE"/>
        </w:rPr>
        <w:t>re (ou document éq</w:t>
      </w:r>
      <w:r w:rsidR="0042555A">
        <w:rPr>
          <w:lang w:val="fr-BE"/>
        </w:rPr>
        <w:t>u</w:t>
      </w:r>
      <w:r w:rsidR="003C0485">
        <w:rPr>
          <w:lang w:val="fr-BE"/>
        </w:rPr>
        <w:t>ivalent).   Ce dossier « </w:t>
      </w:r>
      <w:r w:rsidR="003C0485" w:rsidRPr="00CD4C44">
        <w:rPr>
          <w:i/>
          <w:lang w:val="fr-BE"/>
        </w:rPr>
        <w:t xml:space="preserve">fit &amp; </w:t>
      </w:r>
      <w:proofErr w:type="spellStart"/>
      <w:r w:rsidR="003C0485" w:rsidRPr="00CD4C44">
        <w:rPr>
          <w:i/>
          <w:lang w:val="fr-BE"/>
        </w:rPr>
        <w:t>proper</w:t>
      </w:r>
      <w:proofErr w:type="spellEnd"/>
      <w:r w:rsidR="003C0485">
        <w:rPr>
          <w:lang w:val="fr-BE"/>
        </w:rPr>
        <w:t> » doit être communiqué de manière systématique en tant qu’annexe obligatoire aux formul</w:t>
      </w:r>
      <w:r w:rsidR="0042555A">
        <w:rPr>
          <w:lang w:val="fr-BE"/>
        </w:rPr>
        <w:t>a</w:t>
      </w:r>
      <w:r w:rsidR="003C0485">
        <w:rPr>
          <w:lang w:val="fr-BE"/>
        </w:rPr>
        <w:t xml:space="preserve">ires A, B, C et </w:t>
      </w:r>
      <w:proofErr w:type="spellStart"/>
      <w:r w:rsidR="003C0485">
        <w:rPr>
          <w:lang w:val="fr-BE"/>
        </w:rPr>
        <w:t>Cbis</w:t>
      </w:r>
      <w:proofErr w:type="spellEnd"/>
      <w:r w:rsidR="003C0485">
        <w:rPr>
          <w:lang w:val="fr-BE"/>
        </w:rPr>
        <w:t xml:space="preserve"> mentionnés ci-dessus.</w:t>
      </w:r>
    </w:p>
    <w:p w14:paraId="543E5363" w14:textId="77777777" w:rsidR="00AB5A25" w:rsidRPr="00AD7B1C" w:rsidRDefault="00AB5A25" w:rsidP="00BE3219">
      <w:pPr>
        <w:tabs>
          <w:tab w:val="clear" w:pos="284"/>
        </w:tabs>
        <w:autoSpaceDE w:val="0"/>
        <w:autoSpaceDN w:val="0"/>
        <w:adjustRightInd w:val="0"/>
        <w:spacing w:line="240" w:lineRule="auto"/>
        <w:jc w:val="both"/>
        <w:rPr>
          <w:rFonts w:cs="Arial"/>
          <w:lang w:val="fr-BE" w:eastAsia="nl-BE"/>
        </w:rPr>
      </w:pPr>
    </w:p>
    <w:p w14:paraId="7611D5AD" w14:textId="77777777" w:rsidR="00AB5A25" w:rsidRPr="00AD7B1C" w:rsidRDefault="000A0636"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b) Déclarations communes</w:t>
      </w:r>
      <w:r w:rsidR="00512BFD" w:rsidRPr="00AD7B1C">
        <w:rPr>
          <w:rFonts w:cs="Arial"/>
          <w:u w:val="single"/>
          <w:lang w:val="fr-BE" w:eastAsia="nl-BE"/>
        </w:rPr>
        <w:t xml:space="preserve"> &amp; notification à l’intervention d’un mandataire</w:t>
      </w:r>
    </w:p>
    <w:p w14:paraId="253F5073" w14:textId="77777777" w:rsidR="00864A41" w:rsidRPr="00AD7B1C" w:rsidRDefault="00864A41" w:rsidP="00BE3219">
      <w:pPr>
        <w:tabs>
          <w:tab w:val="clear" w:pos="284"/>
        </w:tabs>
        <w:autoSpaceDE w:val="0"/>
        <w:autoSpaceDN w:val="0"/>
        <w:adjustRightInd w:val="0"/>
        <w:spacing w:line="240" w:lineRule="auto"/>
        <w:jc w:val="both"/>
        <w:rPr>
          <w:rFonts w:cs="Arial"/>
          <w:lang w:val="fr-BE" w:eastAsia="nl-BE"/>
        </w:rPr>
      </w:pPr>
    </w:p>
    <w:p w14:paraId="3BB53710" w14:textId="25CEE614" w:rsidR="00D15EDA" w:rsidRDefault="00D15EDA" w:rsidP="00BE3219">
      <w:pPr>
        <w:tabs>
          <w:tab w:val="clear" w:pos="284"/>
        </w:tabs>
        <w:autoSpaceDE w:val="0"/>
        <w:autoSpaceDN w:val="0"/>
        <w:adjustRightInd w:val="0"/>
        <w:spacing w:line="240" w:lineRule="auto"/>
        <w:jc w:val="both"/>
        <w:rPr>
          <w:rFonts w:cs="Arial"/>
          <w:u w:val="dotted"/>
          <w:lang w:val="fr-BE" w:eastAsia="nl-BE"/>
        </w:rPr>
      </w:pPr>
      <w:r w:rsidRPr="00D15EDA">
        <w:rPr>
          <w:rFonts w:cs="Arial"/>
          <w:u w:val="dotted"/>
          <w:lang w:val="fr-BE" w:eastAsia="nl-BE"/>
        </w:rPr>
        <w:t>Si, conformément au point a), premier alinéa, la notification est soumise par voie numérique via le portail IMAS de la BCE, ce qui suit s'applique uniquement dans la mesure où cela n'entre pas en conflit avec les modalités et instructions déterminées par la BCE sur le même sujet.</w:t>
      </w:r>
    </w:p>
    <w:p w14:paraId="64F30119" w14:textId="77777777" w:rsidR="00D15EDA" w:rsidRDefault="00D15EDA" w:rsidP="00BE3219">
      <w:pPr>
        <w:tabs>
          <w:tab w:val="clear" w:pos="284"/>
        </w:tabs>
        <w:autoSpaceDE w:val="0"/>
        <w:autoSpaceDN w:val="0"/>
        <w:adjustRightInd w:val="0"/>
        <w:spacing w:line="240" w:lineRule="auto"/>
        <w:jc w:val="both"/>
        <w:rPr>
          <w:rFonts w:cs="Arial"/>
          <w:u w:val="dotted"/>
          <w:lang w:val="fr-BE" w:eastAsia="nl-BE"/>
        </w:rPr>
      </w:pPr>
    </w:p>
    <w:p w14:paraId="08FE1656" w14:textId="320E2D77" w:rsidR="000A0636" w:rsidRPr="00AD7B1C" w:rsidRDefault="000A0636" w:rsidP="00BE3219">
      <w:pPr>
        <w:tabs>
          <w:tab w:val="clear" w:pos="284"/>
        </w:tabs>
        <w:autoSpaceDE w:val="0"/>
        <w:autoSpaceDN w:val="0"/>
        <w:adjustRightInd w:val="0"/>
        <w:spacing w:line="240" w:lineRule="auto"/>
        <w:jc w:val="both"/>
        <w:rPr>
          <w:rFonts w:cs="Arial"/>
          <w:u w:val="dotted"/>
          <w:lang w:val="fr-BE" w:eastAsia="nl-BE"/>
        </w:rPr>
      </w:pPr>
      <w:r w:rsidRPr="00AD7B1C">
        <w:rPr>
          <w:rFonts w:cs="Arial"/>
          <w:u w:val="dotted"/>
          <w:lang w:val="fr-BE" w:eastAsia="nl-BE"/>
        </w:rPr>
        <w:t>§1. Parties agissant de concert</w:t>
      </w:r>
    </w:p>
    <w:p w14:paraId="16AB8A75"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p>
    <w:p w14:paraId="4DEB5A3C"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Dans le cas de personnes agissant de concert, l'obligation légale de notification s'impose à chacune de ces personnes. Néanmoins, </w:t>
      </w:r>
      <w:r w:rsidR="00353A88">
        <w:rPr>
          <w:rFonts w:cs="Arial"/>
          <w:lang w:val="fr-BE" w:eastAsia="nl-BE"/>
        </w:rPr>
        <w:t>l’autorité compétente</w:t>
      </w:r>
      <w:r w:rsidRPr="00AD7B1C">
        <w:rPr>
          <w:rFonts w:cs="Arial"/>
          <w:lang w:val="fr-BE" w:eastAsia="nl-BE"/>
        </w:rPr>
        <w:t xml:space="preserve"> recommande à ces personnes de donner mandat à un mandataire commun en vue de procéder en leur nom et pour leur compte à une seule et unique notification pour l'ensemble des actions ou des droits d'associés concernés par l'action de concert</w:t>
      </w:r>
      <w:r w:rsidR="00481AAF">
        <w:rPr>
          <w:rStyle w:val="FootnoteReference"/>
          <w:rFonts w:cs="Arial"/>
          <w:lang w:val="fr-BE" w:eastAsia="nl-BE"/>
        </w:rPr>
        <w:footnoteReference w:id="5"/>
      </w:r>
      <w:r w:rsidRPr="00AD7B1C">
        <w:rPr>
          <w:rFonts w:cs="Arial"/>
          <w:lang w:val="fr-BE" w:eastAsia="nl-BE"/>
        </w:rPr>
        <w:t>.</w:t>
      </w:r>
    </w:p>
    <w:p w14:paraId="58F17E52"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p>
    <w:p w14:paraId="4387F76A"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Cette notification commune comportera les données relatives, d'une part, à l'ensemble des actions ou droits d'associés faisant l'objet de l'action de concert et, d'autre part, les données d'identification de chacune des personnes qui prennent part à l'action de concert et les données relatives aux participations concernées par l'action de concert qui sont détenues individuellement par chacune de ces personnes et qui atteignent ou excèdent 5 % du capital et/ou des droits de vote de l'organisme financier.</w:t>
      </w:r>
    </w:p>
    <w:p w14:paraId="522B7F5D"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p>
    <w:p w14:paraId="69C1F52A"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Le cas échéant, si une de ces personnes détient par ailleurs directement ou indirectement des actions ou des droits d'associés du même organisme financier </w:t>
      </w:r>
      <w:r w:rsidR="00AD7B1C" w:rsidRPr="00AD7B1C">
        <w:rPr>
          <w:rFonts w:cs="Arial"/>
          <w:lang w:val="fr-BE" w:eastAsia="nl-BE"/>
        </w:rPr>
        <w:t>dont</w:t>
      </w:r>
      <w:r w:rsidRPr="00AD7B1C">
        <w:rPr>
          <w:rFonts w:cs="Arial"/>
          <w:lang w:val="fr-BE" w:eastAsia="nl-BE"/>
        </w:rPr>
        <w:t xml:space="preserve"> elle peut user librement, en dehors de l'action de concert, elle transmettra séparément et simultanément cette information à </w:t>
      </w:r>
      <w:r w:rsidR="00353A88">
        <w:rPr>
          <w:rFonts w:cs="Arial"/>
          <w:lang w:val="fr-BE" w:eastAsia="nl-BE"/>
        </w:rPr>
        <w:t>l’autorité compétente</w:t>
      </w:r>
      <w:r w:rsidRPr="00AD7B1C">
        <w:rPr>
          <w:rFonts w:cs="Arial"/>
          <w:lang w:val="fr-BE" w:eastAsia="nl-BE"/>
        </w:rPr>
        <w:t>, à moins que cette information ne soit fournie par la déclaration commune des personnes agissant de concert</w:t>
      </w:r>
      <w:r w:rsidR="00F008E9">
        <w:rPr>
          <w:rFonts w:cs="Arial"/>
          <w:lang w:val="fr-BE" w:eastAsia="nl-BE"/>
        </w:rPr>
        <w:t>.</w:t>
      </w:r>
    </w:p>
    <w:p w14:paraId="51849E09" w14:textId="77777777" w:rsidR="000A0636" w:rsidRPr="00AD7B1C" w:rsidRDefault="000A0636" w:rsidP="00BE3219">
      <w:pPr>
        <w:tabs>
          <w:tab w:val="clear" w:pos="284"/>
        </w:tabs>
        <w:autoSpaceDE w:val="0"/>
        <w:autoSpaceDN w:val="0"/>
        <w:adjustRightInd w:val="0"/>
        <w:spacing w:line="240" w:lineRule="auto"/>
        <w:jc w:val="both"/>
        <w:rPr>
          <w:rFonts w:cs="Arial"/>
          <w:u w:val="dotted"/>
          <w:lang w:val="fr-BE" w:eastAsia="nl-BE"/>
        </w:rPr>
      </w:pPr>
      <w:r w:rsidRPr="00AD7B1C">
        <w:rPr>
          <w:rFonts w:cs="Arial"/>
          <w:u w:val="dotted"/>
          <w:lang w:val="fr-BE" w:eastAsia="nl-BE"/>
        </w:rPr>
        <w:lastRenderedPageBreak/>
        <w:t xml:space="preserve">§2. </w:t>
      </w:r>
      <w:r w:rsidR="006D3B7F" w:rsidRPr="00AD7B1C">
        <w:rPr>
          <w:rFonts w:cs="Arial"/>
          <w:u w:val="dotted"/>
          <w:lang w:val="fr-BE" w:eastAsia="nl-BE"/>
        </w:rPr>
        <w:t>Participations indirectes</w:t>
      </w:r>
    </w:p>
    <w:p w14:paraId="67AF91D7"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p>
    <w:p w14:paraId="557AC563" w14:textId="77777777" w:rsidR="00E05D6B"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Dans le cas de participations indirectes, l'obligation légale de notification s'impose </w:t>
      </w:r>
      <w:r w:rsidR="00674566">
        <w:rPr>
          <w:rFonts w:cs="Arial"/>
          <w:lang w:val="fr-BE" w:eastAsia="nl-BE"/>
        </w:rPr>
        <w:t xml:space="preserve">en principe </w:t>
      </w:r>
      <w:r w:rsidRPr="00AD7B1C">
        <w:rPr>
          <w:rFonts w:cs="Arial"/>
          <w:lang w:val="fr-BE" w:eastAsia="nl-BE"/>
        </w:rPr>
        <w:t>à</w:t>
      </w:r>
      <w:r w:rsidR="006D3B7F" w:rsidRPr="00AD7B1C">
        <w:rPr>
          <w:rFonts w:cs="Arial"/>
          <w:lang w:val="fr-BE" w:eastAsia="nl-BE"/>
        </w:rPr>
        <w:t xml:space="preserve"> </w:t>
      </w:r>
      <w:r w:rsidRPr="00AD7B1C">
        <w:rPr>
          <w:rFonts w:cs="Arial"/>
          <w:lang w:val="fr-BE" w:eastAsia="nl-BE"/>
        </w:rPr>
        <w:t>chacune des entités reprises dans la chaîne de participations</w:t>
      </w:r>
      <w:r w:rsidR="00C9307D">
        <w:rPr>
          <w:rFonts w:cs="Arial"/>
          <w:lang w:val="fr-BE" w:eastAsia="nl-BE"/>
        </w:rPr>
        <w:t xml:space="preserve"> telle que déterminée sur base des tests repris au point 6</w:t>
      </w:r>
      <w:r w:rsidR="00C9307D" w:rsidRPr="00C9307D">
        <w:rPr>
          <w:rFonts w:cs="Arial"/>
          <w:lang w:val="fr-BE" w:eastAsia="nl-BE"/>
        </w:rPr>
        <w:t xml:space="preserve"> </w:t>
      </w:r>
      <w:r w:rsidR="00C9307D" w:rsidRPr="00AD7B1C">
        <w:rPr>
          <w:rFonts w:cs="Arial"/>
          <w:lang w:val="fr-BE" w:eastAsia="nl-BE"/>
        </w:rPr>
        <w:t>des orientations communes des AES</w:t>
      </w:r>
      <w:r w:rsidR="00C9307D">
        <w:rPr>
          <w:rFonts w:cs="Arial"/>
          <w:lang w:val="fr-BE" w:eastAsia="nl-BE"/>
        </w:rPr>
        <w:t xml:space="preserve"> reprises en annexe 8</w:t>
      </w:r>
      <w:r w:rsidRPr="00AD7B1C">
        <w:rPr>
          <w:rFonts w:cs="Arial"/>
          <w:lang w:val="fr-BE" w:eastAsia="nl-BE"/>
        </w:rPr>
        <w:t xml:space="preserve">. </w:t>
      </w:r>
    </w:p>
    <w:p w14:paraId="61F35076" w14:textId="77777777" w:rsidR="00E05D6B" w:rsidRDefault="00E05D6B" w:rsidP="00BE3219">
      <w:pPr>
        <w:tabs>
          <w:tab w:val="clear" w:pos="284"/>
        </w:tabs>
        <w:autoSpaceDE w:val="0"/>
        <w:autoSpaceDN w:val="0"/>
        <w:adjustRightInd w:val="0"/>
        <w:spacing w:line="240" w:lineRule="auto"/>
        <w:jc w:val="both"/>
        <w:rPr>
          <w:rFonts w:cs="Arial"/>
          <w:lang w:val="fr-BE" w:eastAsia="nl-BE"/>
        </w:rPr>
      </w:pPr>
    </w:p>
    <w:p w14:paraId="4E62B57A" w14:textId="77777777" w:rsidR="00674566"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Toutefois,</w:t>
      </w:r>
      <w:r w:rsidR="00C9307D">
        <w:rPr>
          <w:rFonts w:cs="Arial"/>
          <w:lang w:val="fr-BE" w:eastAsia="nl-BE"/>
        </w:rPr>
        <w:t xml:space="preserve"> dans le cadre de l’application du test de contrôle, lorsque l’on se retrouve en situation</w:t>
      </w:r>
      <w:r w:rsidR="007F60DA">
        <w:rPr>
          <w:rFonts w:cs="Arial"/>
          <w:lang w:val="fr-BE" w:eastAsia="nl-BE"/>
        </w:rPr>
        <w:t xml:space="preserve"> </w:t>
      </w:r>
      <w:r w:rsidR="00C9307D">
        <w:rPr>
          <w:rFonts w:cs="Arial"/>
          <w:lang w:val="fr-BE" w:eastAsia="nl-BE"/>
        </w:rPr>
        <w:t>d’</w:t>
      </w:r>
      <w:r w:rsidR="00674566">
        <w:rPr>
          <w:rFonts w:cs="Arial"/>
          <w:lang w:val="fr-BE" w:eastAsia="nl-BE"/>
        </w:rPr>
        <w:t xml:space="preserve">acquisition directe ou indirecte de contrôle sur un détenteur existant d’une participation qualifiée, le </w:t>
      </w:r>
      <w:r w:rsidR="00674566" w:rsidRPr="00AD7B1C">
        <w:rPr>
          <w:rFonts w:cs="Arial"/>
          <w:lang w:val="fr-BE" w:eastAsia="nl-BE"/>
        </w:rPr>
        <w:t>point 6</w:t>
      </w:r>
      <w:r w:rsidR="00674566">
        <w:rPr>
          <w:rFonts w:cs="Arial"/>
          <w:lang w:val="fr-BE" w:eastAsia="nl-BE"/>
        </w:rPr>
        <w:t xml:space="preserve">.4. </w:t>
      </w:r>
      <w:proofErr w:type="gramStart"/>
      <w:r w:rsidR="00674566" w:rsidRPr="00AD7B1C">
        <w:rPr>
          <w:rFonts w:cs="Arial"/>
          <w:lang w:val="fr-BE" w:eastAsia="nl-BE"/>
        </w:rPr>
        <w:t>des</w:t>
      </w:r>
      <w:proofErr w:type="gramEnd"/>
      <w:r w:rsidR="00674566" w:rsidRPr="00AD7B1C">
        <w:rPr>
          <w:rFonts w:cs="Arial"/>
          <w:lang w:val="fr-BE" w:eastAsia="nl-BE"/>
        </w:rPr>
        <w:t xml:space="preserve"> orientations communes </w:t>
      </w:r>
      <w:r w:rsidR="00C9307D">
        <w:rPr>
          <w:rFonts w:cs="Arial"/>
          <w:lang w:val="fr-BE" w:eastAsia="nl-BE"/>
        </w:rPr>
        <w:t>précitées</w:t>
      </w:r>
      <w:r w:rsidR="00674566">
        <w:rPr>
          <w:rFonts w:cs="Arial"/>
          <w:lang w:val="fr-BE" w:eastAsia="nl-BE"/>
        </w:rPr>
        <w:t xml:space="preserve"> prévoit que le titulaire existant </w:t>
      </w:r>
      <w:r w:rsidR="00C9307D">
        <w:rPr>
          <w:rFonts w:cs="Arial"/>
          <w:lang w:val="fr-BE" w:eastAsia="nl-BE"/>
        </w:rPr>
        <w:t>de la</w:t>
      </w:r>
      <w:r w:rsidR="00674566">
        <w:rPr>
          <w:rFonts w:cs="Arial"/>
          <w:lang w:val="fr-BE" w:eastAsia="nl-BE"/>
        </w:rPr>
        <w:t xml:space="preserve"> participation qualifiée n’est pas tenu d’introduire une notification préalable.</w:t>
      </w:r>
    </w:p>
    <w:p w14:paraId="3BD8F7C4" w14:textId="77777777" w:rsidR="00674566" w:rsidRDefault="00674566" w:rsidP="00BE3219">
      <w:pPr>
        <w:tabs>
          <w:tab w:val="clear" w:pos="284"/>
        </w:tabs>
        <w:autoSpaceDE w:val="0"/>
        <w:autoSpaceDN w:val="0"/>
        <w:adjustRightInd w:val="0"/>
        <w:spacing w:line="240" w:lineRule="auto"/>
        <w:jc w:val="both"/>
        <w:rPr>
          <w:rFonts w:cs="Arial"/>
          <w:lang w:val="fr-BE" w:eastAsia="nl-BE"/>
        </w:rPr>
      </w:pPr>
    </w:p>
    <w:p w14:paraId="0DA5EA01" w14:textId="77777777" w:rsidR="000A0636" w:rsidRPr="00AD7B1C" w:rsidRDefault="00C9307D"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Par ailleurs</w:t>
      </w:r>
      <w:r w:rsidR="00674566">
        <w:rPr>
          <w:rFonts w:cs="Arial"/>
          <w:lang w:val="fr-BE" w:eastAsia="nl-BE"/>
        </w:rPr>
        <w:t xml:space="preserve">, </w:t>
      </w:r>
      <w:r w:rsidR="000A0636" w:rsidRPr="00AD7B1C">
        <w:rPr>
          <w:rFonts w:cs="Arial"/>
          <w:lang w:val="fr-BE" w:eastAsia="nl-BE"/>
        </w:rPr>
        <w:t>il peut être</w:t>
      </w:r>
      <w:r w:rsidR="006D3B7F" w:rsidRPr="00AD7B1C">
        <w:rPr>
          <w:rFonts w:cs="Arial"/>
          <w:lang w:val="fr-BE" w:eastAsia="nl-BE"/>
        </w:rPr>
        <w:t xml:space="preserve"> </w:t>
      </w:r>
      <w:r w:rsidR="000A0636" w:rsidRPr="00AD7B1C">
        <w:rPr>
          <w:rFonts w:cs="Arial"/>
          <w:lang w:val="fr-BE" w:eastAsia="nl-BE"/>
        </w:rPr>
        <w:t xml:space="preserve">satisfait à l'ensemble </w:t>
      </w:r>
      <w:r>
        <w:rPr>
          <w:rFonts w:cs="Arial"/>
          <w:lang w:val="fr-BE" w:eastAsia="nl-BE"/>
        </w:rPr>
        <w:t>des</w:t>
      </w:r>
      <w:r w:rsidR="000A0636" w:rsidRPr="00AD7B1C">
        <w:rPr>
          <w:rFonts w:cs="Arial"/>
          <w:lang w:val="fr-BE" w:eastAsia="nl-BE"/>
        </w:rPr>
        <w:t xml:space="preserve"> obligations individuelles </w:t>
      </w:r>
      <w:r>
        <w:rPr>
          <w:rFonts w:cs="Arial"/>
          <w:lang w:val="fr-BE" w:eastAsia="nl-BE"/>
        </w:rPr>
        <w:t>des entités reprise dans la chaîne de participation</w:t>
      </w:r>
      <w:r w:rsidR="00774B3A">
        <w:rPr>
          <w:rFonts w:cs="Arial"/>
          <w:lang w:val="fr-BE" w:eastAsia="nl-BE"/>
        </w:rPr>
        <w:t xml:space="preserve">s </w:t>
      </w:r>
      <w:r w:rsidR="000A0636" w:rsidRPr="00AD7B1C">
        <w:rPr>
          <w:rFonts w:cs="Arial"/>
          <w:lang w:val="fr-BE" w:eastAsia="nl-BE"/>
        </w:rPr>
        <w:t>à l'intervention d'une seule de ces</w:t>
      </w:r>
      <w:r w:rsidR="006D3B7F" w:rsidRPr="00AD7B1C">
        <w:rPr>
          <w:rFonts w:cs="Arial"/>
          <w:lang w:val="fr-BE" w:eastAsia="nl-BE"/>
        </w:rPr>
        <w:t xml:space="preserve"> </w:t>
      </w:r>
      <w:r w:rsidR="000A0636" w:rsidRPr="00AD7B1C">
        <w:rPr>
          <w:rFonts w:cs="Arial"/>
          <w:lang w:val="fr-BE" w:eastAsia="nl-BE"/>
        </w:rPr>
        <w:t>entités pour autant que chacune des entités de la chaîne au nom et pour le compte</w:t>
      </w:r>
      <w:r w:rsidR="006D3B7F" w:rsidRPr="00AD7B1C">
        <w:rPr>
          <w:rFonts w:cs="Arial"/>
          <w:lang w:val="fr-BE" w:eastAsia="nl-BE"/>
        </w:rPr>
        <w:t xml:space="preserve"> </w:t>
      </w:r>
      <w:r w:rsidR="000A0636" w:rsidRPr="00AD7B1C">
        <w:rPr>
          <w:rFonts w:cs="Arial"/>
          <w:lang w:val="fr-BE" w:eastAsia="nl-BE"/>
        </w:rPr>
        <w:t xml:space="preserve">desquelles les notifications sont adressées à </w:t>
      </w:r>
      <w:r w:rsidR="00353A88">
        <w:rPr>
          <w:rFonts w:cs="Arial"/>
          <w:lang w:val="fr-BE" w:eastAsia="nl-BE"/>
        </w:rPr>
        <w:t>l’autorité compétente</w:t>
      </w:r>
      <w:r w:rsidR="000A0636" w:rsidRPr="00AD7B1C">
        <w:rPr>
          <w:rFonts w:cs="Arial"/>
          <w:lang w:val="fr-BE" w:eastAsia="nl-BE"/>
        </w:rPr>
        <w:t xml:space="preserve"> soient clairement identifiées. Une</w:t>
      </w:r>
      <w:r w:rsidR="006D3B7F" w:rsidRPr="00AD7B1C">
        <w:rPr>
          <w:rFonts w:cs="Arial"/>
          <w:lang w:val="fr-BE" w:eastAsia="nl-BE"/>
        </w:rPr>
        <w:t xml:space="preserve"> </w:t>
      </w:r>
      <w:r w:rsidR="000A0636" w:rsidRPr="00AD7B1C">
        <w:rPr>
          <w:rFonts w:cs="Arial"/>
          <w:lang w:val="fr-BE" w:eastAsia="nl-BE"/>
        </w:rPr>
        <w:t>telle notification groupée suppose cependant que chacune des entités concernées</w:t>
      </w:r>
      <w:r w:rsidR="006D3B7F" w:rsidRPr="00AD7B1C">
        <w:rPr>
          <w:rFonts w:cs="Arial"/>
          <w:lang w:val="fr-BE" w:eastAsia="nl-BE"/>
        </w:rPr>
        <w:t xml:space="preserve"> </w:t>
      </w:r>
      <w:r w:rsidR="000A0636" w:rsidRPr="00AD7B1C">
        <w:rPr>
          <w:rFonts w:cs="Arial"/>
          <w:lang w:val="fr-BE" w:eastAsia="nl-BE"/>
        </w:rPr>
        <w:t>donne à l'entité qui procède à la notification le mandat de poser cet acte en son nom et</w:t>
      </w:r>
      <w:r w:rsidR="006D3B7F" w:rsidRPr="00AD7B1C">
        <w:rPr>
          <w:rFonts w:cs="Arial"/>
          <w:lang w:val="fr-BE" w:eastAsia="nl-BE"/>
        </w:rPr>
        <w:t xml:space="preserve"> </w:t>
      </w:r>
      <w:r w:rsidR="000A0636" w:rsidRPr="00AD7B1C">
        <w:rPr>
          <w:rFonts w:cs="Arial"/>
          <w:lang w:val="fr-BE" w:eastAsia="nl-BE"/>
        </w:rPr>
        <w:t>pour son compte.</w:t>
      </w:r>
    </w:p>
    <w:p w14:paraId="310EED00" w14:textId="77777777" w:rsidR="006D3B7F" w:rsidRPr="00AD7B1C" w:rsidRDefault="006D3B7F" w:rsidP="00BE3219">
      <w:pPr>
        <w:tabs>
          <w:tab w:val="clear" w:pos="284"/>
        </w:tabs>
        <w:autoSpaceDE w:val="0"/>
        <w:autoSpaceDN w:val="0"/>
        <w:adjustRightInd w:val="0"/>
        <w:spacing w:line="240" w:lineRule="auto"/>
        <w:jc w:val="both"/>
        <w:rPr>
          <w:rFonts w:cs="Arial"/>
          <w:lang w:val="fr-BE" w:eastAsia="nl-BE"/>
        </w:rPr>
      </w:pPr>
    </w:p>
    <w:p w14:paraId="24A6DB2A"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Une telle déclaration groupée peut émaner du maillon le plus élevé de la chaîne de</w:t>
      </w:r>
      <w:r w:rsidR="006D3B7F" w:rsidRPr="00AD7B1C">
        <w:rPr>
          <w:rFonts w:cs="Arial"/>
          <w:lang w:val="fr-BE" w:eastAsia="nl-BE"/>
        </w:rPr>
        <w:t xml:space="preserve"> </w:t>
      </w:r>
      <w:r w:rsidRPr="00AD7B1C">
        <w:rPr>
          <w:rFonts w:cs="Arial"/>
          <w:lang w:val="fr-BE" w:eastAsia="nl-BE"/>
        </w:rPr>
        <w:t>participations qualifiées et de contrôle. Cette notification commune peut cependant</w:t>
      </w:r>
      <w:r w:rsidR="006D3B7F" w:rsidRPr="00AD7B1C">
        <w:rPr>
          <w:rFonts w:cs="Arial"/>
          <w:lang w:val="fr-BE" w:eastAsia="nl-BE"/>
        </w:rPr>
        <w:t xml:space="preserve"> </w:t>
      </w:r>
      <w:r w:rsidRPr="00AD7B1C">
        <w:rPr>
          <w:rFonts w:cs="Arial"/>
          <w:lang w:val="fr-BE" w:eastAsia="nl-BE"/>
        </w:rPr>
        <w:t xml:space="preserve">aussi être adressée à </w:t>
      </w:r>
      <w:r w:rsidR="00353A88">
        <w:rPr>
          <w:rFonts w:cs="Arial"/>
          <w:lang w:val="fr-BE" w:eastAsia="nl-BE"/>
        </w:rPr>
        <w:t>l’autorité compétente</w:t>
      </w:r>
      <w:r w:rsidRPr="00AD7B1C">
        <w:rPr>
          <w:rFonts w:cs="Arial"/>
          <w:lang w:val="fr-BE" w:eastAsia="nl-BE"/>
        </w:rPr>
        <w:t xml:space="preserve"> par le candidat acquéreur d'une participation directe</w:t>
      </w:r>
      <w:r w:rsidR="006D3B7F" w:rsidRPr="00AD7B1C">
        <w:rPr>
          <w:rFonts w:cs="Arial"/>
          <w:lang w:val="fr-BE" w:eastAsia="nl-BE"/>
        </w:rPr>
        <w:t xml:space="preserve"> </w:t>
      </w:r>
      <w:r w:rsidRPr="00AD7B1C">
        <w:rPr>
          <w:rFonts w:cs="Arial"/>
          <w:lang w:val="fr-BE" w:eastAsia="nl-BE"/>
        </w:rPr>
        <w:t>dans l'organisme financier, pour l'ensemble des entités qui, au travers de cette</w:t>
      </w:r>
      <w:r w:rsidR="006D3B7F" w:rsidRPr="00AD7B1C">
        <w:rPr>
          <w:rFonts w:cs="Arial"/>
          <w:lang w:val="fr-BE" w:eastAsia="nl-BE"/>
        </w:rPr>
        <w:t xml:space="preserve"> </w:t>
      </w:r>
      <w:r w:rsidRPr="00AD7B1C">
        <w:rPr>
          <w:rFonts w:cs="Arial"/>
          <w:lang w:val="fr-BE" w:eastAsia="nl-BE"/>
        </w:rPr>
        <w:t>participation directe, détiendront une participation indirecte dans l'organisme financier.</w:t>
      </w:r>
    </w:p>
    <w:p w14:paraId="30329CA5" w14:textId="77777777" w:rsidR="006D3B7F" w:rsidRPr="00AD7B1C" w:rsidRDefault="006D3B7F" w:rsidP="00BE3219">
      <w:pPr>
        <w:tabs>
          <w:tab w:val="clear" w:pos="284"/>
        </w:tabs>
        <w:autoSpaceDE w:val="0"/>
        <w:autoSpaceDN w:val="0"/>
        <w:adjustRightInd w:val="0"/>
        <w:spacing w:line="240" w:lineRule="auto"/>
        <w:jc w:val="both"/>
        <w:rPr>
          <w:rFonts w:cs="Arial"/>
          <w:lang w:val="fr-BE" w:eastAsia="nl-BE"/>
        </w:rPr>
      </w:pPr>
    </w:p>
    <w:p w14:paraId="20B03D3C" w14:textId="77777777" w:rsidR="000A0636"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En toute hypothèse, une telle notification groupée fournira les informations pertinentes</w:t>
      </w:r>
      <w:r w:rsidR="006D3B7F" w:rsidRPr="00AD7B1C">
        <w:rPr>
          <w:rFonts w:cs="Arial"/>
          <w:lang w:val="fr-BE" w:eastAsia="nl-BE"/>
        </w:rPr>
        <w:t xml:space="preserve"> </w:t>
      </w:r>
      <w:r w:rsidRPr="00AD7B1C">
        <w:rPr>
          <w:rFonts w:cs="Arial"/>
          <w:lang w:val="fr-BE" w:eastAsia="nl-BE"/>
        </w:rPr>
        <w:t>concernant la succession de participations qualifiées et de contrôle au travers</w:t>
      </w:r>
      <w:r w:rsidR="006D3B7F" w:rsidRPr="00AD7B1C">
        <w:rPr>
          <w:rFonts w:cs="Arial"/>
          <w:lang w:val="fr-BE" w:eastAsia="nl-BE"/>
        </w:rPr>
        <w:t xml:space="preserve"> </w:t>
      </w:r>
      <w:r w:rsidRPr="00AD7B1C">
        <w:rPr>
          <w:rFonts w:cs="Arial"/>
          <w:lang w:val="fr-BE" w:eastAsia="nl-BE"/>
        </w:rPr>
        <w:t>desquelles une participation qualifiée sera indirectement détenue. Cette information</w:t>
      </w:r>
      <w:r w:rsidR="006D3B7F" w:rsidRPr="00AD7B1C">
        <w:rPr>
          <w:rFonts w:cs="Arial"/>
          <w:lang w:val="fr-BE" w:eastAsia="nl-BE"/>
        </w:rPr>
        <w:t xml:space="preserve"> </w:t>
      </w:r>
      <w:r w:rsidRPr="00AD7B1C">
        <w:rPr>
          <w:rFonts w:cs="Arial"/>
          <w:lang w:val="fr-BE" w:eastAsia="nl-BE"/>
        </w:rPr>
        <w:t>pourra être fournie sous la forme d'un diagramme mentionnant, pour chacune des</w:t>
      </w:r>
      <w:r w:rsidR="006D3B7F" w:rsidRPr="00AD7B1C">
        <w:rPr>
          <w:rFonts w:cs="Arial"/>
          <w:lang w:val="fr-BE" w:eastAsia="nl-BE"/>
        </w:rPr>
        <w:t xml:space="preserve"> </w:t>
      </w:r>
      <w:r w:rsidRPr="00AD7B1C">
        <w:rPr>
          <w:rFonts w:cs="Arial"/>
          <w:lang w:val="fr-BE" w:eastAsia="nl-BE"/>
        </w:rPr>
        <w:t>participations mentionnées, son pourcentage, ainsi que le nombre et le type de titres</w:t>
      </w:r>
      <w:r w:rsidR="006D3B7F" w:rsidRPr="00AD7B1C">
        <w:rPr>
          <w:rFonts w:cs="Arial"/>
          <w:lang w:val="fr-BE" w:eastAsia="nl-BE"/>
        </w:rPr>
        <w:t xml:space="preserve"> </w:t>
      </w:r>
      <w:r w:rsidRPr="00AD7B1C">
        <w:rPr>
          <w:rFonts w:cs="Arial"/>
          <w:lang w:val="fr-BE" w:eastAsia="nl-BE"/>
        </w:rPr>
        <w:t>concernés.</w:t>
      </w:r>
    </w:p>
    <w:p w14:paraId="2429F1BA" w14:textId="77777777" w:rsidR="006D3B7F" w:rsidRPr="00AD7B1C" w:rsidRDefault="006D3B7F" w:rsidP="00BE3219">
      <w:pPr>
        <w:tabs>
          <w:tab w:val="clear" w:pos="284"/>
        </w:tabs>
        <w:autoSpaceDE w:val="0"/>
        <w:autoSpaceDN w:val="0"/>
        <w:adjustRightInd w:val="0"/>
        <w:spacing w:line="240" w:lineRule="auto"/>
        <w:jc w:val="both"/>
        <w:rPr>
          <w:rFonts w:cs="Arial"/>
          <w:lang w:val="fr-BE" w:eastAsia="nl-BE"/>
        </w:rPr>
      </w:pPr>
    </w:p>
    <w:p w14:paraId="782B389F" w14:textId="77777777" w:rsidR="00512BFD" w:rsidRPr="00AD7B1C" w:rsidRDefault="000A063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Il est également rappelé que, dans ce cas, </w:t>
      </w:r>
      <w:r w:rsidR="00353A88">
        <w:rPr>
          <w:rFonts w:cs="Arial"/>
          <w:lang w:val="fr-BE" w:eastAsia="nl-BE"/>
        </w:rPr>
        <w:t>l’autorité compétente</w:t>
      </w:r>
      <w:r w:rsidRPr="00AD7B1C">
        <w:rPr>
          <w:rFonts w:cs="Arial"/>
          <w:lang w:val="fr-BE" w:eastAsia="nl-BE"/>
        </w:rPr>
        <w:t xml:space="preserve"> pourra considérer que l'ensemble</w:t>
      </w:r>
      <w:r w:rsidR="006D3B7F" w:rsidRPr="00AD7B1C">
        <w:rPr>
          <w:rFonts w:cs="Arial"/>
          <w:lang w:val="fr-BE" w:eastAsia="nl-BE"/>
        </w:rPr>
        <w:t xml:space="preserve"> </w:t>
      </w:r>
      <w:r w:rsidRPr="00AD7B1C">
        <w:rPr>
          <w:rFonts w:cs="Arial"/>
          <w:lang w:val="fr-BE" w:eastAsia="nl-BE"/>
        </w:rPr>
        <w:t>des entités intermédiaires de la chaîne satisfont aux critères légaux d'évaluation</w:t>
      </w:r>
      <w:r w:rsidR="006D3B7F" w:rsidRPr="00AD7B1C">
        <w:rPr>
          <w:rFonts w:cs="Arial"/>
          <w:lang w:val="fr-BE" w:eastAsia="nl-BE"/>
        </w:rPr>
        <w:t xml:space="preserve"> </w:t>
      </w:r>
      <w:r w:rsidRPr="00AD7B1C">
        <w:rPr>
          <w:rFonts w:cs="Arial"/>
          <w:lang w:val="fr-BE" w:eastAsia="nl-BE"/>
        </w:rPr>
        <w:t xml:space="preserve">prudentielle si l'entité qui se trouve </w:t>
      </w:r>
      <w:r w:rsidR="00A53F08">
        <w:rPr>
          <w:rFonts w:cs="Arial"/>
          <w:lang w:val="fr-BE" w:eastAsia="nl-BE"/>
        </w:rPr>
        <w:t>au sommet</w:t>
      </w:r>
      <w:r w:rsidRPr="00AD7B1C">
        <w:rPr>
          <w:rFonts w:cs="Arial"/>
          <w:lang w:val="fr-BE" w:eastAsia="nl-BE"/>
        </w:rPr>
        <w:t xml:space="preserve"> de la chaîne et celle qui détiendra la</w:t>
      </w:r>
      <w:r w:rsidR="006D3B7F" w:rsidRPr="00AD7B1C">
        <w:rPr>
          <w:rFonts w:cs="Arial"/>
          <w:lang w:val="fr-BE" w:eastAsia="nl-BE"/>
        </w:rPr>
        <w:t xml:space="preserve"> </w:t>
      </w:r>
      <w:r w:rsidRPr="00AD7B1C">
        <w:rPr>
          <w:rFonts w:cs="Arial"/>
          <w:lang w:val="fr-BE" w:eastAsia="nl-BE"/>
        </w:rPr>
        <w:t xml:space="preserve">participation directe dans l'organisme financier y satisfont </w:t>
      </w:r>
      <w:r w:rsidR="006D3B7F" w:rsidRPr="00AD7B1C">
        <w:rPr>
          <w:rFonts w:cs="Arial"/>
          <w:lang w:val="fr-BE" w:eastAsia="nl-BE"/>
        </w:rPr>
        <w:t>(cf. le point 6 des orientations communes)</w:t>
      </w:r>
      <w:r w:rsidRPr="00AD7B1C">
        <w:rPr>
          <w:rFonts w:cs="Arial"/>
          <w:lang w:val="fr-BE" w:eastAsia="nl-BE"/>
        </w:rPr>
        <w:t>. Un contact préalable du</w:t>
      </w:r>
      <w:r w:rsidR="00EA758B">
        <w:rPr>
          <w:rFonts w:cs="Arial"/>
          <w:lang w:val="fr-BE" w:eastAsia="nl-BE"/>
        </w:rPr>
        <w:t xml:space="preserve"> déclarant avec </w:t>
      </w:r>
      <w:r w:rsidR="00353A88">
        <w:rPr>
          <w:rFonts w:cs="Arial"/>
          <w:lang w:val="fr-BE" w:eastAsia="nl-BE"/>
        </w:rPr>
        <w:t>l’autorité de contrôle</w:t>
      </w:r>
      <w:r w:rsidR="00353A88" w:rsidRPr="00AD7B1C">
        <w:rPr>
          <w:rFonts w:cs="Arial"/>
          <w:lang w:val="fr-BE" w:eastAsia="nl-BE"/>
        </w:rPr>
        <w:t xml:space="preserve"> </w:t>
      </w:r>
      <w:r w:rsidR="00512BFD" w:rsidRPr="00AD7B1C">
        <w:rPr>
          <w:rFonts w:cs="Arial"/>
          <w:lang w:val="fr-BE" w:eastAsia="nl-BE"/>
        </w:rPr>
        <w:t xml:space="preserve">apparaît tout particulièrement indiqué lorsque le déclarant souhaite la mise en </w:t>
      </w:r>
      <w:r w:rsidR="00AD7B1C" w:rsidRPr="00AD7B1C">
        <w:rPr>
          <w:rFonts w:cs="Arial"/>
          <w:lang w:val="fr-BE" w:eastAsia="nl-BE"/>
        </w:rPr>
        <w:t>œuvre</w:t>
      </w:r>
      <w:r w:rsidR="00512BFD" w:rsidRPr="00AD7B1C">
        <w:rPr>
          <w:rFonts w:cs="Arial"/>
          <w:lang w:val="fr-BE" w:eastAsia="nl-BE"/>
        </w:rPr>
        <w:t xml:space="preserve"> de cette modalité par </w:t>
      </w:r>
      <w:r w:rsidR="00353A88">
        <w:rPr>
          <w:rFonts w:cs="Arial"/>
          <w:lang w:val="fr-BE" w:eastAsia="nl-BE"/>
        </w:rPr>
        <w:t>l’autorité compétente</w:t>
      </w:r>
      <w:r w:rsidR="00512BFD" w:rsidRPr="00AD7B1C">
        <w:rPr>
          <w:rFonts w:cs="Arial"/>
          <w:lang w:val="fr-BE" w:eastAsia="nl-BE"/>
        </w:rPr>
        <w:t>.</w:t>
      </w:r>
    </w:p>
    <w:p w14:paraId="2D28139D"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p>
    <w:p w14:paraId="75853E95" w14:textId="77777777" w:rsidR="00512BFD" w:rsidRPr="00AD7B1C" w:rsidRDefault="00512BFD" w:rsidP="00BE3219">
      <w:pPr>
        <w:tabs>
          <w:tab w:val="clear" w:pos="284"/>
        </w:tabs>
        <w:autoSpaceDE w:val="0"/>
        <w:autoSpaceDN w:val="0"/>
        <w:adjustRightInd w:val="0"/>
        <w:spacing w:line="240" w:lineRule="auto"/>
        <w:jc w:val="both"/>
        <w:rPr>
          <w:rFonts w:cs="Arial"/>
          <w:u w:val="dotted"/>
          <w:lang w:val="fr-BE" w:eastAsia="nl-BE"/>
        </w:rPr>
      </w:pPr>
      <w:r w:rsidRPr="00AD7B1C">
        <w:rPr>
          <w:rFonts w:cs="Arial"/>
          <w:u w:val="dotted"/>
          <w:lang w:val="fr-BE" w:eastAsia="nl-BE"/>
        </w:rPr>
        <w:t>§3 Possibilité de notification à l'intervention d'un mandataire</w:t>
      </w:r>
    </w:p>
    <w:p w14:paraId="13BEBE16"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p>
    <w:p w14:paraId="178F1176"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Les personnes tenues à notification peuvent charger un mandataire de procéder à cette notification en leur nom et pour leur compte. Dans ce cas, le mandataire joindra à la notification une copie du mandat qui lui a été octroyé par les personnes au nom et pour le compte desquelles il agit.</w:t>
      </w:r>
    </w:p>
    <w:p w14:paraId="669D8992" w14:textId="77777777" w:rsidR="00512BFD" w:rsidRDefault="00512BFD" w:rsidP="00BE3219">
      <w:pPr>
        <w:tabs>
          <w:tab w:val="clear" w:pos="284"/>
        </w:tabs>
        <w:autoSpaceDE w:val="0"/>
        <w:autoSpaceDN w:val="0"/>
        <w:adjustRightInd w:val="0"/>
        <w:spacing w:line="240" w:lineRule="auto"/>
        <w:jc w:val="both"/>
        <w:rPr>
          <w:rFonts w:cs="Arial"/>
          <w:lang w:val="fr-BE" w:eastAsia="nl-BE"/>
        </w:rPr>
      </w:pPr>
    </w:p>
    <w:p w14:paraId="44B39E99" w14:textId="77777777" w:rsidR="009F0E2E" w:rsidRDefault="009F0E2E" w:rsidP="00BE3219">
      <w:pPr>
        <w:tabs>
          <w:tab w:val="clear" w:pos="284"/>
        </w:tabs>
        <w:autoSpaceDE w:val="0"/>
        <w:autoSpaceDN w:val="0"/>
        <w:adjustRightInd w:val="0"/>
        <w:spacing w:line="240" w:lineRule="auto"/>
        <w:jc w:val="both"/>
        <w:rPr>
          <w:rFonts w:cs="Arial"/>
          <w:lang w:val="fr-BE" w:eastAsia="nl-BE"/>
        </w:rPr>
      </w:pPr>
    </w:p>
    <w:p w14:paraId="39D83763" w14:textId="77777777" w:rsidR="00F008E9" w:rsidRDefault="00F008E9" w:rsidP="00BE3219">
      <w:pPr>
        <w:tabs>
          <w:tab w:val="clear" w:pos="284"/>
        </w:tabs>
        <w:autoSpaceDE w:val="0"/>
        <w:autoSpaceDN w:val="0"/>
        <w:adjustRightInd w:val="0"/>
        <w:spacing w:line="240" w:lineRule="auto"/>
        <w:jc w:val="both"/>
        <w:rPr>
          <w:rFonts w:cs="Arial"/>
          <w:b/>
          <w:u w:val="single"/>
          <w:lang w:val="fr-BE" w:eastAsia="nl-BE"/>
        </w:rPr>
      </w:pPr>
      <w:r>
        <w:rPr>
          <w:rFonts w:cs="Arial"/>
          <w:b/>
          <w:u w:val="single"/>
          <w:lang w:val="fr-BE" w:eastAsia="nl-BE"/>
        </w:rPr>
        <w:t>5</w:t>
      </w:r>
      <w:r w:rsidRPr="00B45417">
        <w:rPr>
          <w:rFonts w:cs="Arial"/>
          <w:b/>
          <w:u w:val="single"/>
          <w:lang w:val="fr-BE" w:eastAsia="nl-BE"/>
        </w:rPr>
        <w:t>.</w:t>
      </w:r>
      <w:r>
        <w:rPr>
          <w:rFonts w:cs="Arial"/>
          <w:b/>
          <w:u w:val="single"/>
          <w:lang w:val="fr-BE" w:eastAsia="nl-BE"/>
        </w:rPr>
        <w:t xml:space="preserve"> E</w:t>
      </w:r>
      <w:r w:rsidRPr="00B45417">
        <w:rPr>
          <w:rFonts w:cs="Arial"/>
          <w:b/>
          <w:u w:val="single"/>
          <w:lang w:val="fr-BE" w:eastAsia="nl-BE"/>
        </w:rPr>
        <w:t xml:space="preserve">valuation par </w:t>
      </w:r>
      <w:r>
        <w:rPr>
          <w:rFonts w:cs="Arial"/>
          <w:b/>
          <w:u w:val="single"/>
          <w:lang w:val="fr-BE" w:eastAsia="nl-BE"/>
        </w:rPr>
        <w:t>l’autorité de contrôle</w:t>
      </w:r>
    </w:p>
    <w:p w14:paraId="36D1A8B5" w14:textId="77777777" w:rsidR="00FC0DAC" w:rsidRDefault="00FC0DAC" w:rsidP="00BE3219">
      <w:pPr>
        <w:tabs>
          <w:tab w:val="clear" w:pos="284"/>
        </w:tabs>
        <w:autoSpaceDE w:val="0"/>
        <w:autoSpaceDN w:val="0"/>
        <w:adjustRightInd w:val="0"/>
        <w:spacing w:line="240" w:lineRule="auto"/>
        <w:jc w:val="both"/>
        <w:rPr>
          <w:rFonts w:cs="Arial"/>
          <w:b/>
          <w:u w:val="single"/>
          <w:lang w:val="fr-BE" w:eastAsia="nl-BE"/>
        </w:rPr>
      </w:pPr>
    </w:p>
    <w:p w14:paraId="2441F622" w14:textId="77777777" w:rsidR="00FC0DAC" w:rsidRDefault="00FC0DAC" w:rsidP="00BE3219">
      <w:pPr>
        <w:tabs>
          <w:tab w:val="clear" w:pos="284"/>
        </w:tabs>
        <w:autoSpaceDE w:val="0"/>
        <w:autoSpaceDN w:val="0"/>
        <w:adjustRightInd w:val="0"/>
        <w:spacing w:line="240" w:lineRule="auto"/>
        <w:jc w:val="both"/>
        <w:rPr>
          <w:rFonts w:cs="Arial"/>
          <w:lang w:val="fr-BE" w:eastAsia="nl-BE"/>
        </w:rPr>
      </w:pPr>
      <w:r w:rsidRPr="00CD4C44">
        <w:rPr>
          <w:rFonts w:cs="Arial"/>
          <w:lang w:val="fr-BE" w:eastAsia="nl-BE"/>
        </w:rPr>
        <w:t xml:space="preserve">Conformément aux lois de contrôle, </w:t>
      </w:r>
      <w:r>
        <w:rPr>
          <w:rFonts w:cs="Arial"/>
          <w:lang w:val="fr-BE" w:eastAsia="nl-BE"/>
        </w:rPr>
        <w:t>le</w:t>
      </w:r>
      <w:r w:rsidRPr="00CD4C44">
        <w:rPr>
          <w:rFonts w:cs="Arial"/>
          <w:lang w:val="fr-BE" w:eastAsia="nl-BE"/>
        </w:rPr>
        <w:t>s opérations d’acquisition</w:t>
      </w:r>
      <w:r w:rsidR="00DC553B">
        <w:rPr>
          <w:rFonts w:cs="Arial"/>
          <w:lang w:val="fr-BE" w:eastAsia="nl-BE"/>
        </w:rPr>
        <w:t xml:space="preserve"> d’une participation qualifiée dans un organisme financier de droit belge et</w:t>
      </w:r>
      <w:r w:rsidRPr="00CD4C44">
        <w:rPr>
          <w:rFonts w:cs="Arial"/>
          <w:lang w:val="fr-BE" w:eastAsia="nl-BE"/>
        </w:rPr>
        <w:t xml:space="preserve"> </w:t>
      </w:r>
      <w:r>
        <w:rPr>
          <w:rFonts w:cs="Arial"/>
          <w:lang w:val="fr-BE" w:eastAsia="nl-BE"/>
        </w:rPr>
        <w:t>d’</w:t>
      </w:r>
      <w:r w:rsidR="00DC553B">
        <w:rPr>
          <w:rFonts w:cs="Arial"/>
          <w:lang w:val="fr-BE" w:eastAsia="nl-BE"/>
        </w:rPr>
        <w:t>accroissement, d’une part, et</w:t>
      </w:r>
      <w:r>
        <w:rPr>
          <w:rFonts w:cs="Arial"/>
          <w:lang w:val="fr-BE" w:eastAsia="nl-BE"/>
        </w:rPr>
        <w:t xml:space="preserve"> de </w:t>
      </w:r>
      <w:r w:rsidRPr="00CD4C44">
        <w:rPr>
          <w:rFonts w:cs="Arial"/>
          <w:lang w:val="fr-BE" w:eastAsia="nl-BE"/>
        </w:rPr>
        <w:t>cession</w:t>
      </w:r>
      <w:r w:rsidR="00DC553B">
        <w:rPr>
          <w:rFonts w:cs="Arial"/>
          <w:lang w:val="fr-BE" w:eastAsia="nl-BE"/>
        </w:rPr>
        <w:t>, d’autre part,</w:t>
      </w:r>
      <w:r>
        <w:rPr>
          <w:rFonts w:cs="Arial"/>
          <w:lang w:val="fr-BE" w:eastAsia="nl-BE"/>
        </w:rPr>
        <w:t xml:space="preserve"> </w:t>
      </w:r>
      <w:r w:rsidR="00DC553B">
        <w:rPr>
          <w:rFonts w:cs="Arial"/>
          <w:lang w:val="fr-BE" w:eastAsia="nl-BE"/>
        </w:rPr>
        <w:t xml:space="preserve">sont </w:t>
      </w:r>
      <w:r w:rsidRPr="00CD4C44">
        <w:rPr>
          <w:rFonts w:cs="Arial"/>
          <w:lang w:val="fr-BE" w:eastAsia="nl-BE"/>
        </w:rPr>
        <w:t>soum</w:t>
      </w:r>
      <w:r w:rsidR="00DC553B" w:rsidRPr="00DC553B">
        <w:rPr>
          <w:rFonts w:cs="Arial"/>
          <w:lang w:val="fr-BE" w:eastAsia="nl-BE"/>
        </w:rPr>
        <w:t>ises à deux régimes différents</w:t>
      </w:r>
      <w:r w:rsidR="00DC553B">
        <w:rPr>
          <w:rFonts w:cs="Arial"/>
          <w:lang w:val="fr-BE" w:eastAsia="nl-BE"/>
        </w:rPr>
        <w:t> :  en cas d’acquisition ou d’accroissement, il s’agit d’une autorisation préalable de l’autorité compétente et en cas d’une cession, il s’agit d’une notification préalable à l’autorité compétente.</w:t>
      </w:r>
    </w:p>
    <w:p w14:paraId="118C29AE" w14:textId="77777777" w:rsidR="00EA758B" w:rsidRDefault="00EA758B" w:rsidP="00BE3219">
      <w:pPr>
        <w:tabs>
          <w:tab w:val="clear" w:pos="284"/>
        </w:tabs>
        <w:autoSpaceDE w:val="0"/>
        <w:autoSpaceDN w:val="0"/>
        <w:adjustRightInd w:val="0"/>
        <w:spacing w:line="240" w:lineRule="auto"/>
        <w:jc w:val="both"/>
        <w:rPr>
          <w:rFonts w:cs="Arial"/>
          <w:lang w:val="fr-BE" w:eastAsia="nl-BE"/>
        </w:rPr>
      </w:pPr>
    </w:p>
    <w:p w14:paraId="4927BBF2" w14:textId="77777777" w:rsidR="00DC553B" w:rsidRDefault="00F310C1" w:rsidP="00BE3219">
      <w:pPr>
        <w:tabs>
          <w:tab w:val="clear" w:pos="284"/>
        </w:tabs>
        <w:autoSpaceDE w:val="0"/>
        <w:autoSpaceDN w:val="0"/>
        <w:adjustRightInd w:val="0"/>
        <w:spacing w:line="240" w:lineRule="auto"/>
        <w:jc w:val="both"/>
        <w:rPr>
          <w:rFonts w:cs="Arial"/>
          <w:b/>
          <w:i/>
          <w:lang w:val="fr-BE" w:eastAsia="nl-BE"/>
        </w:rPr>
      </w:pPr>
      <w:r w:rsidRPr="00256F87">
        <w:rPr>
          <w:rFonts w:cs="Arial"/>
          <w:b/>
          <w:i/>
          <w:lang w:val="fr-BE" w:eastAsia="nl-BE"/>
        </w:rPr>
        <w:t xml:space="preserve">5.1. </w:t>
      </w:r>
      <w:r w:rsidR="00DC553B">
        <w:rPr>
          <w:rFonts w:cs="Arial"/>
          <w:b/>
          <w:i/>
          <w:lang w:val="fr-BE" w:eastAsia="nl-BE"/>
        </w:rPr>
        <w:t>A</w:t>
      </w:r>
      <w:r w:rsidR="0077670A">
        <w:rPr>
          <w:rFonts w:cs="Arial"/>
          <w:b/>
          <w:i/>
          <w:lang w:val="fr-BE" w:eastAsia="nl-BE"/>
        </w:rPr>
        <w:t>utorisation préalable en cas d’a</w:t>
      </w:r>
      <w:r w:rsidR="00DC553B">
        <w:rPr>
          <w:rFonts w:cs="Arial"/>
          <w:b/>
          <w:i/>
          <w:lang w:val="fr-BE" w:eastAsia="nl-BE"/>
        </w:rPr>
        <w:t xml:space="preserve">cquisition ou </w:t>
      </w:r>
      <w:r w:rsidR="0077670A">
        <w:rPr>
          <w:rFonts w:cs="Arial"/>
          <w:b/>
          <w:i/>
          <w:lang w:val="fr-BE" w:eastAsia="nl-BE"/>
        </w:rPr>
        <w:t>d’</w:t>
      </w:r>
      <w:r w:rsidR="00DC553B">
        <w:rPr>
          <w:rFonts w:cs="Arial"/>
          <w:b/>
          <w:i/>
          <w:lang w:val="fr-BE" w:eastAsia="nl-BE"/>
        </w:rPr>
        <w:t>accroissement d’une participation qualifiée</w:t>
      </w:r>
    </w:p>
    <w:p w14:paraId="1462148C" w14:textId="77777777" w:rsidR="00DC553B" w:rsidRDefault="00DC553B" w:rsidP="00BE3219">
      <w:pPr>
        <w:tabs>
          <w:tab w:val="clear" w:pos="284"/>
        </w:tabs>
        <w:autoSpaceDE w:val="0"/>
        <w:autoSpaceDN w:val="0"/>
        <w:adjustRightInd w:val="0"/>
        <w:spacing w:line="240" w:lineRule="auto"/>
        <w:jc w:val="both"/>
        <w:rPr>
          <w:rFonts w:cs="Arial"/>
          <w:b/>
          <w:i/>
          <w:lang w:val="fr-BE" w:eastAsia="nl-BE"/>
        </w:rPr>
      </w:pPr>
    </w:p>
    <w:p w14:paraId="11BB0C57" w14:textId="77777777" w:rsidR="00F008E9" w:rsidRPr="00CD4C44" w:rsidRDefault="00DC553B" w:rsidP="00BE3219">
      <w:pPr>
        <w:tabs>
          <w:tab w:val="clear" w:pos="284"/>
        </w:tabs>
        <w:autoSpaceDE w:val="0"/>
        <w:autoSpaceDN w:val="0"/>
        <w:adjustRightInd w:val="0"/>
        <w:spacing w:line="240" w:lineRule="auto"/>
        <w:jc w:val="both"/>
        <w:rPr>
          <w:rFonts w:cs="Arial"/>
          <w:i/>
          <w:u w:val="single"/>
          <w:lang w:val="fr-BE" w:eastAsia="nl-BE"/>
        </w:rPr>
      </w:pPr>
      <w:r w:rsidRPr="00CD4C44">
        <w:rPr>
          <w:rFonts w:cs="Arial"/>
          <w:i/>
          <w:u w:val="single"/>
          <w:lang w:val="fr-BE" w:eastAsia="nl-BE"/>
        </w:rPr>
        <w:t xml:space="preserve">5.1.1. </w:t>
      </w:r>
      <w:r w:rsidR="00F310C1" w:rsidRPr="00CD4C44">
        <w:rPr>
          <w:rFonts w:cs="Arial"/>
          <w:i/>
          <w:u w:val="single"/>
          <w:lang w:val="fr-BE" w:eastAsia="nl-BE"/>
        </w:rPr>
        <w:t>Procédure</w:t>
      </w:r>
    </w:p>
    <w:p w14:paraId="4FD5120A" w14:textId="77777777" w:rsidR="00F310C1" w:rsidRPr="00AD7B1C" w:rsidRDefault="00F310C1" w:rsidP="00BE3219">
      <w:pPr>
        <w:tabs>
          <w:tab w:val="clear" w:pos="284"/>
        </w:tabs>
        <w:autoSpaceDE w:val="0"/>
        <w:autoSpaceDN w:val="0"/>
        <w:adjustRightInd w:val="0"/>
        <w:spacing w:line="240" w:lineRule="auto"/>
        <w:jc w:val="both"/>
        <w:rPr>
          <w:rFonts w:cs="Arial"/>
          <w:lang w:val="fr-BE" w:eastAsia="nl-BE"/>
        </w:rPr>
      </w:pPr>
    </w:p>
    <w:p w14:paraId="3C21D875" w14:textId="5D0E1FF2" w:rsidR="002E009D" w:rsidRPr="00EA758B" w:rsidRDefault="002E009D" w:rsidP="00BE3219">
      <w:pPr>
        <w:tabs>
          <w:tab w:val="clear" w:pos="284"/>
        </w:tabs>
        <w:autoSpaceDE w:val="0"/>
        <w:autoSpaceDN w:val="0"/>
        <w:adjustRightInd w:val="0"/>
        <w:spacing w:line="240" w:lineRule="auto"/>
        <w:jc w:val="both"/>
        <w:rPr>
          <w:rFonts w:cs="Arial"/>
          <w:lang w:val="fr-BE" w:eastAsia="nl-BE"/>
        </w:rPr>
      </w:pPr>
      <w:r w:rsidRPr="00EA758B">
        <w:rPr>
          <w:rFonts w:cs="Arial"/>
          <w:lang w:val="fr-BE" w:eastAsia="nl-BE"/>
        </w:rPr>
        <w:t>En cas d’acquisition ou d’accroissement d’une participation qualifiée, le candidat actionnaire enverra le formulaire A, B ou C (</w:t>
      </w:r>
      <w:proofErr w:type="spellStart"/>
      <w:r w:rsidRPr="00EA758B">
        <w:rPr>
          <w:rFonts w:cs="Arial"/>
          <w:lang w:val="fr-BE" w:eastAsia="nl-BE"/>
        </w:rPr>
        <w:t>Cbis</w:t>
      </w:r>
      <w:proofErr w:type="spellEnd"/>
      <w:r w:rsidRPr="00EA758B">
        <w:rPr>
          <w:rFonts w:cs="Arial"/>
          <w:lang w:val="fr-BE" w:eastAsia="nl-BE"/>
        </w:rPr>
        <w:t>) complété</w:t>
      </w:r>
      <w:r w:rsidR="00D15EDA">
        <w:rPr>
          <w:rFonts w:cs="Arial"/>
          <w:lang w:val="fr-BE" w:eastAsia="nl-BE"/>
        </w:rPr>
        <w:t xml:space="preserve"> à </w:t>
      </w:r>
      <w:r w:rsidR="00D15EDA" w:rsidRPr="00D15EDA">
        <w:rPr>
          <w:rFonts w:cs="Arial"/>
          <w:lang w:val="fr-BE" w:eastAsia="nl-BE"/>
        </w:rPr>
        <w:t>la Banque nationale de Belgique ou rempli</w:t>
      </w:r>
      <w:r w:rsidR="00D15EDA">
        <w:rPr>
          <w:rFonts w:cs="Arial"/>
          <w:lang w:val="fr-BE" w:eastAsia="nl-BE"/>
        </w:rPr>
        <w:t>ra</w:t>
      </w:r>
      <w:r w:rsidR="00D15EDA" w:rsidRPr="00D15EDA">
        <w:rPr>
          <w:rFonts w:cs="Arial"/>
          <w:lang w:val="fr-BE" w:eastAsia="nl-BE"/>
        </w:rPr>
        <w:t xml:space="preserve"> le formulaire numérique correspondant via le portail IMAS de la BCE</w:t>
      </w:r>
      <w:r w:rsidRPr="00EA758B">
        <w:rPr>
          <w:rFonts w:cs="Arial"/>
          <w:lang w:val="fr-BE" w:eastAsia="nl-BE"/>
        </w:rPr>
        <w:t>.</w:t>
      </w:r>
    </w:p>
    <w:p w14:paraId="7979DDA3" w14:textId="1AA5548D" w:rsidR="002E009D" w:rsidRDefault="002E009D" w:rsidP="00BE3219">
      <w:pPr>
        <w:tabs>
          <w:tab w:val="clear" w:pos="284"/>
        </w:tabs>
        <w:autoSpaceDE w:val="0"/>
        <w:autoSpaceDN w:val="0"/>
        <w:adjustRightInd w:val="0"/>
        <w:spacing w:line="240" w:lineRule="auto"/>
        <w:jc w:val="both"/>
        <w:rPr>
          <w:rFonts w:cs="Arial"/>
          <w:u w:val="single"/>
          <w:lang w:val="fr-BE" w:eastAsia="nl-BE"/>
        </w:rPr>
      </w:pPr>
    </w:p>
    <w:p w14:paraId="53A9764C" w14:textId="272C151E" w:rsidR="00707E23" w:rsidRDefault="00707E23" w:rsidP="00BE3219">
      <w:pPr>
        <w:tabs>
          <w:tab w:val="clear" w:pos="284"/>
        </w:tabs>
        <w:autoSpaceDE w:val="0"/>
        <w:autoSpaceDN w:val="0"/>
        <w:adjustRightInd w:val="0"/>
        <w:spacing w:line="240" w:lineRule="auto"/>
        <w:jc w:val="both"/>
        <w:rPr>
          <w:rFonts w:cs="Arial"/>
          <w:u w:val="single"/>
          <w:lang w:val="fr-BE" w:eastAsia="nl-BE"/>
        </w:rPr>
      </w:pPr>
    </w:p>
    <w:p w14:paraId="6132F76A" w14:textId="7B4A7D56" w:rsidR="00707E23" w:rsidRDefault="00707E23" w:rsidP="00BE3219">
      <w:pPr>
        <w:tabs>
          <w:tab w:val="clear" w:pos="284"/>
        </w:tabs>
        <w:autoSpaceDE w:val="0"/>
        <w:autoSpaceDN w:val="0"/>
        <w:adjustRightInd w:val="0"/>
        <w:spacing w:line="240" w:lineRule="auto"/>
        <w:jc w:val="both"/>
        <w:rPr>
          <w:rFonts w:cs="Arial"/>
          <w:u w:val="single"/>
          <w:lang w:val="fr-BE" w:eastAsia="nl-BE"/>
        </w:rPr>
      </w:pPr>
    </w:p>
    <w:p w14:paraId="73B758A8" w14:textId="77777777" w:rsidR="00707E23" w:rsidRDefault="00707E23" w:rsidP="00BE3219">
      <w:pPr>
        <w:tabs>
          <w:tab w:val="clear" w:pos="284"/>
        </w:tabs>
        <w:autoSpaceDE w:val="0"/>
        <w:autoSpaceDN w:val="0"/>
        <w:adjustRightInd w:val="0"/>
        <w:spacing w:line="240" w:lineRule="auto"/>
        <w:jc w:val="both"/>
        <w:rPr>
          <w:rFonts w:cs="Arial"/>
          <w:u w:val="single"/>
          <w:lang w:val="fr-BE" w:eastAsia="nl-BE"/>
        </w:rPr>
      </w:pPr>
    </w:p>
    <w:p w14:paraId="5338ADF3" w14:textId="77777777" w:rsidR="00512BFD" w:rsidRPr="00AD7B1C" w:rsidRDefault="00F310C1" w:rsidP="00BE3219">
      <w:pPr>
        <w:tabs>
          <w:tab w:val="clear" w:pos="284"/>
        </w:tabs>
        <w:autoSpaceDE w:val="0"/>
        <w:autoSpaceDN w:val="0"/>
        <w:adjustRightInd w:val="0"/>
        <w:spacing w:line="240" w:lineRule="auto"/>
        <w:jc w:val="both"/>
        <w:rPr>
          <w:rFonts w:cs="Arial"/>
          <w:u w:val="single"/>
          <w:lang w:val="fr-BE" w:eastAsia="nl-BE"/>
        </w:rPr>
      </w:pPr>
      <w:r>
        <w:rPr>
          <w:rFonts w:cs="Arial"/>
          <w:u w:val="single"/>
          <w:lang w:val="fr-BE" w:eastAsia="nl-BE"/>
        </w:rPr>
        <w:lastRenderedPageBreak/>
        <w:t>a</w:t>
      </w:r>
      <w:r w:rsidR="00512BFD" w:rsidRPr="00AD7B1C">
        <w:rPr>
          <w:rFonts w:cs="Arial"/>
          <w:u w:val="single"/>
          <w:lang w:val="fr-BE" w:eastAsia="nl-BE"/>
        </w:rPr>
        <w:t xml:space="preserve">) Accusé de réception </w:t>
      </w:r>
      <w:r w:rsidR="00B938A0">
        <w:rPr>
          <w:rFonts w:cs="Arial"/>
          <w:u w:val="single"/>
          <w:lang w:val="fr-BE" w:eastAsia="nl-BE"/>
        </w:rPr>
        <w:t>pour les notifications d’</w:t>
      </w:r>
      <w:r w:rsidR="00975DE4">
        <w:rPr>
          <w:rFonts w:cs="Arial"/>
          <w:u w:val="single"/>
          <w:lang w:val="fr-BE" w:eastAsia="nl-BE"/>
        </w:rPr>
        <w:t xml:space="preserve">acquisition et </w:t>
      </w:r>
      <w:r w:rsidR="008C7626">
        <w:rPr>
          <w:rFonts w:cs="Arial"/>
          <w:u w:val="single"/>
          <w:lang w:val="fr-BE" w:eastAsia="nl-BE"/>
        </w:rPr>
        <w:t>d’accr</w:t>
      </w:r>
      <w:r w:rsidR="00DC553B">
        <w:rPr>
          <w:rFonts w:cs="Arial"/>
          <w:u w:val="single"/>
          <w:lang w:val="fr-BE" w:eastAsia="nl-BE"/>
        </w:rPr>
        <w:t>o</w:t>
      </w:r>
      <w:r w:rsidR="008C7626">
        <w:rPr>
          <w:rFonts w:cs="Arial"/>
          <w:u w:val="single"/>
          <w:lang w:val="fr-BE" w:eastAsia="nl-BE"/>
        </w:rPr>
        <w:t xml:space="preserve">issement </w:t>
      </w:r>
    </w:p>
    <w:p w14:paraId="4076274F"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p>
    <w:p w14:paraId="0FCEC7FC"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Dès la réception d'une notification et du </w:t>
      </w:r>
      <w:r w:rsidR="002E009D">
        <w:rPr>
          <w:rFonts w:cs="Arial"/>
          <w:lang w:val="fr-BE" w:eastAsia="nl-BE"/>
        </w:rPr>
        <w:t>formulaire complété</w:t>
      </w:r>
      <w:r w:rsidRPr="00AD7B1C">
        <w:rPr>
          <w:rFonts w:cs="Arial"/>
          <w:lang w:val="fr-BE" w:eastAsia="nl-BE"/>
        </w:rPr>
        <w:t xml:space="preserve">, </w:t>
      </w:r>
      <w:r w:rsidR="00353A88">
        <w:rPr>
          <w:rFonts w:cs="Arial"/>
          <w:lang w:val="fr-BE" w:eastAsia="nl-BE"/>
        </w:rPr>
        <w:t>l’autorité compétente</w:t>
      </w:r>
      <w:r w:rsidR="00107C84" w:rsidRPr="00AD7B1C">
        <w:rPr>
          <w:rFonts w:cs="Arial"/>
          <w:lang w:val="fr-BE" w:eastAsia="nl-BE"/>
        </w:rPr>
        <w:t xml:space="preserve"> </w:t>
      </w:r>
      <w:r w:rsidRPr="00AD7B1C">
        <w:rPr>
          <w:rFonts w:cs="Arial"/>
          <w:lang w:val="fr-BE" w:eastAsia="nl-BE"/>
        </w:rPr>
        <w:t>vérifiera, sans procéder dans un premier temps à une analyse exhaustive quant au fond, si</w:t>
      </w:r>
      <w:r w:rsidR="00107C84" w:rsidRPr="00AD7B1C">
        <w:rPr>
          <w:rFonts w:cs="Arial"/>
          <w:lang w:val="fr-BE" w:eastAsia="nl-BE"/>
        </w:rPr>
        <w:t xml:space="preserve"> </w:t>
      </w:r>
      <w:r w:rsidRPr="00AD7B1C">
        <w:rPr>
          <w:rFonts w:cs="Arial"/>
          <w:lang w:val="fr-BE" w:eastAsia="nl-BE"/>
        </w:rPr>
        <w:t>l'ensemble des informations qui sont requises sont effectivement jointes à la notification.</w:t>
      </w:r>
    </w:p>
    <w:p w14:paraId="0ADAD090" w14:textId="77777777" w:rsidR="00107C84" w:rsidRPr="00AD7B1C" w:rsidRDefault="00107C84" w:rsidP="00BE3219">
      <w:pPr>
        <w:tabs>
          <w:tab w:val="clear" w:pos="284"/>
        </w:tabs>
        <w:autoSpaceDE w:val="0"/>
        <w:autoSpaceDN w:val="0"/>
        <w:adjustRightInd w:val="0"/>
        <w:spacing w:line="240" w:lineRule="auto"/>
        <w:jc w:val="both"/>
        <w:rPr>
          <w:rFonts w:cs="Arial"/>
          <w:lang w:val="fr-BE" w:eastAsia="nl-BE"/>
        </w:rPr>
      </w:pPr>
    </w:p>
    <w:p w14:paraId="077FD8C4"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Dans la négative, elle indiquera au candidat acquéreur la liste des informations manquantes.</w:t>
      </w:r>
      <w:r w:rsidR="00107C84" w:rsidRPr="00AD7B1C">
        <w:rPr>
          <w:rFonts w:cs="Arial"/>
          <w:lang w:val="fr-BE" w:eastAsia="nl-BE"/>
        </w:rPr>
        <w:t xml:space="preserve"> </w:t>
      </w:r>
      <w:r w:rsidRPr="00AD7B1C">
        <w:rPr>
          <w:rFonts w:cs="Arial"/>
          <w:lang w:val="fr-BE" w:eastAsia="nl-BE"/>
        </w:rPr>
        <w:t>Dans ce cas, la période d'évaluation définie par les dispositions légales ne</w:t>
      </w:r>
      <w:r w:rsidR="00107C84" w:rsidRPr="00AD7B1C">
        <w:rPr>
          <w:rFonts w:cs="Arial"/>
          <w:lang w:val="fr-BE" w:eastAsia="nl-BE"/>
        </w:rPr>
        <w:t xml:space="preserve"> </w:t>
      </w:r>
      <w:r w:rsidRPr="00AD7B1C">
        <w:rPr>
          <w:rFonts w:cs="Arial"/>
          <w:lang w:val="fr-BE" w:eastAsia="nl-BE"/>
        </w:rPr>
        <w:t>commencera pas à courir.</w:t>
      </w:r>
    </w:p>
    <w:p w14:paraId="4EAB905F" w14:textId="77777777" w:rsidR="00107C84" w:rsidRPr="00AD7B1C" w:rsidRDefault="00107C84" w:rsidP="00BE3219">
      <w:pPr>
        <w:tabs>
          <w:tab w:val="clear" w:pos="284"/>
        </w:tabs>
        <w:autoSpaceDE w:val="0"/>
        <w:autoSpaceDN w:val="0"/>
        <w:adjustRightInd w:val="0"/>
        <w:spacing w:line="240" w:lineRule="auto"/>
        <w:jc w:val="both"/>
        <w:rPr>
          <w:rFonts w:cs="Arial"/>
          <w:lang w:val="fr-BE" w:eastAsia="nl-BE"/>
        </w:rPr>
      </w:pPr>
    </w:p>
    <w:p w14:paraId="26CE7D0E"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Lorsque </w:t>
      </w:r>
      <w:r w:rsidR="00353A88">
        <w:rPr>
          <w:rFonts w:cs="Arial"/>
          <w:lang w:val="fr-BE" w:eastAsia="nl-BE"/>
        </w:rPr>
        <w:t>l’autorité compétente</w:t>
      </w:r>
      <w:r w:rsidRPr="00AD7B1C">
        <w:rPr>
          <w:rFonts w:cs="Arial"/>
          <w:lang w:val="fr-BE" w:eastAsia="nl-BE"/>
        </w:rPr>
        <w:t xml:space="preserve"> constatera que le dossier d'information accompagnant la notification de la</w:t>
      </w:r>
      <w:r w:rsidR="00107C84" w:rsidRPr="00AD7B1C">
        <w:rPr>
          <w:rFonts w:cs="Arial"/>
          <w:lang w:val="fr-BE" w:eastAsia="nl-BE"/>
        </w:rPr>
        <w:t xml:space="preserve"> </w:t>
      </w:r>
      <w:r w:rsidRPr="00AD7B1C">
        <w:rPr>
          <w:rFonts w:cs="Arial"/>
          <w:lang w:val="fr-BE" w:eastAsia="nl-BE"/>
        </w:rPr>
        <w:t>décision d'acquérir ou d'accroître une participation qualifiée est complet ou a été adéquatement</w:t>
      </w:r>
      <w:r w:rsidR="00107C84" w:rsidRPr="00AD7B1C">
        <w:rPr>
          <w:rFonts w:cs="Arial"/>
          <w:lang w:val="fr-BE" w:eastAsia="nl-BE"/>
        </w:rPr>
        <w:t xml:space="preserve"> </w:t>
      </w:r>
      <w:r w:rsidRPr="00AD7B1C">
        <w:rPr>
          <w:rFonts w:cs="Arial"/>
          <w:lang w:val="fr-BE" w:eastAsia="nl-BE"/>
        </w:rPr>
        <w:t xml:space="preserve">complété, elle en accuse réception dans </w:t>
      </w:r>
      <w:r w:rsidRPr="00CD4C44">
        <w:rPr>
          <w:rFonts w:cs="Arial"/>
          <w:b/>
          <w:lang w:val="fr-BE" w:eastAsia="nl-BE"/>
        </w:rPr>
        <w:t>les deux jours ouvrables</w:t>
      </w:r>
      <w:r w:rsidRPr="00AD7B1C">
        <w:rPr>
          <w:rFonts w:cs="Arial"/>
          <w:lang w:val="fr-BE" w:eastAsia="nl-BE"/>
        </w:rPr>
        <w:t>, conformément aux</w:t>
      </w:r>
      <w:r w:rsidR="00107C84" w:rsidRPr="00AD7B1C">
        <w:rPr>
          <w:rFonts w:cs="Arial"/>
          <w:lang w:val="fr-BE" w:eastAsia="nl-BE"/>
        </w:rPr>
        <w:t xml:space="preserve"> dispositions légales</w:t>
      </w:r>
      <w:r w:rsidRPr="00AD7B1C">
        <w:rPr>
          <w:rFonts w:cs="Arial"/>
          <w:lang w:val="fr-BE" w:eastAsia="nl-BE"/>
        </w:rPr>
        <w:t>, et indique</w:t>
      </w:r>
      <w:r w:rsidR="00353A88">
        <w:rPr>
          <w:rFonts w:cs="Arial"/>
          <w:lang w:val="fr-BE" w:eastAsia="nl-BE"/>
        </w:rPr>
        <w:t>ra</w:t>
      </w:r>
      <w:r w:rsidRPr="00AD7B1C">
        <w:rPr>
          <w:rFonts w:cs="Arial"/>
          <w:lang w:val="fr-BE" w:eastAsia="nl-BE"/>
        </w:rPr>
        <w:t xml:space="preserve"> dans cet accusé de réception la date d'échéance de la</w:t>
      </w:r>
      <w:r w:rsidR="00107C84" w:rsidRPr="00AD7B1C">
        <w:rPr>
          <w:rFonts w:cs="Arial"/>
          <w:lang w:val="fr-BE" w:eastAsia="nl-BE"/>
        </w:rPr>
        <w:t xml:space="preserve"> </w:t>
      </w:r>
      <w:r w:rsidRPr="00AD7B1C">
        <w:rPr>
          <w:rFonts w:cs="Arial"/>
          <w:lang w:val="fr-BE" w:eastAsia="nl-BE"/>
        </w:rPr>
        <w:t>période d'évaluation.</w:t>
      </w:r>
    </w:p>
    <w:p w14:paraId="5AA0552E" w14:textId="77777777" w:rsidR="00512BFD" w:rsidRPr="00AD7B1C" w:rsidRDefault="00512BFD" w:rsidP="00BE3219">
      <w:pPr>
        <w:tabs>
          <w:tab w:val="clear" w:pos="284"/>
        </w:tabs>
        <w:autoSpaceDE w:val="0"/>
        <w:autoSpaceDN w:val="0"/>
        <w:adjustRightInd w:val="0"/>
        <w:spacing w:line="240" w:lineRule="auto"/>
        <w:jc w:val="both"/>
        <w:rPr>
          <w:rFonts w:cs="Arial"/>
          <w:lang w:val="fr-BE" w:eastAsia="nl-BE"/>
        </w:rPr>
      </w:pPr>
    </w:p>
    <w:p w14:paraId="53F0B068" w14:textId="77777777" w:rsidR="008C7626" w:rsidRPr="00256F87" w:rsidRDefault="00F310C1" w:rsidP="00BE3219">
      <w:pPr>
        <w:tabs>
          <w:tab w:val="clear" w:pos="284"/>
        </w:tabs>
        <w:autoSpaceDE w:val="0"/>
        <w:autoSpaceDN w:val="0"/>
        <w:adjustRightInd w:val="0"/>
        <w:spacing w:line="240" w:lineRule="auto"/>
        <w:jc w:val="both"/>
        <w:rPr>
          <w:rFonts w:cs="Arial"/>
          <w:u w:val="single"/>
          <w:lang w:val="fr-BE" w:eastAsia="nl-BE"/>
        </w:rPr>
      </w:pPr>
      <w:r w:rsidRPr="00256F87">
        <w:rPr>
          <w:rFonts w:cs="Arial"/>
          <w:u w:val="single"/>
          <w:lang w:val="fr-BE" w:eastAsia="nl-BE"/>
        </w:rPr>
        <w:t>b)</w:t>
      </w:r>
      <w:r w:rsidR="008C7626" w:rsidRPr="00256F87">
        <w:rPr>
          <w:rFonts w:cs="Arial"/>
          <w:u w:val="single"/>
          <w:lang w:val="fr-BE" w:eastAsia="nl-BE"/>
        </w:rPr>
        <w:t xml:space="preserve"> Période d’évaluation</w:t>
      </w:r>
    </w:p>
    <w:p w14:paraId="53AC78CC" w14:textId="77777777" w:rsidR="008C7626" w:rsidRDefault="008C7626" w:rsidP="00BE3219">
      <w:pPr>
        <w:tabs>
          <w:tab w:val="clear" w:pos="284"/>
        </w:tabs>
        <w:autoSpaceDE w:val="0"/>
        <w:autoSpaceDN w:val="0"/>
        <w:adjustRightInd w:val="0"/>
        <w:spacing w:line="240" w:lineRule="auto"/>
        <w:jc w:val="both"/>
        <w:rPr>
          <w:rFonts w:cs="Arial"/>
          <w:lang w:val="fr-BE" w:eastAsia="nl-BE"/>
        </w:rPr>
      </w:pPr>
    </w:p>
    <w:p w14:paraId="1AA2FCFC" w14:textId="77777777" w:rsidR="00F310C1" w:rsidRDefault="00F310C1"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Les règles en matière de période d’évaluation sont définies dans les lois de contrôle et précisées au point</w:t>
      </w:r>
      <w:r w:rsidR="004D368F">
        <w:rPr>
          <w:rFonts w:cs="Arial"/>
          <w:lang w:val="fr-BE" w:eastAsia="nl-BE"/>
        </w:rPr>
        <w:t> </w:t>
      </w:r>
      <w:r>
        <w:rPr>
          <w:rFonts w:cs="Arial"/>
          <w:lang w:val="fr-BE" w:eastAsia="nl-BE"/>
        </w:rPr>
        <w:t xml:space="preserve">9 des orientations communes </w:t>
      </w:r>
      <w:r w:rsidRPr="00AD7B1C">
        <w:rPr>
          <w:rFonts w:cs="Arial"/>
          <w:lang w:val="fr-BE" w:eastAsia="nl-BE"/>
        </w:rPr>
        <w:t xml:space="preserve">des AES </w:t>
      </w:r>
      <w:r>
        <w:rPr>
          <w:rFonts w:cs="Arial"/>
          <w:lang w:val="fr-BE" w:eastAsia="nl-BE"/>
        </w:rPr>
        <w:t>reprises en annexe 8.</w:t>
      </w:r>
    </w:p>
    <w:p w14:paraId="79CFFEF9" w14:textId="77777777" w:rsidR="00F310C1" w:rsidRPr="00AD7B1C" w:rsidRDefault="00F310C1" w:rsidP="00BE3219">
      <w:pPr>
        <w:tabs>
          <w:tab w:val="clear" w:pos="284"/>
        </w:tabs>
        <w:autoSpaceDE w:val="0"/>
        <w:autoSpaceDN w:val="0"/>
        <w:adjustRightInd w:val="0"/>
        <w:spacing w:line="240" w:lineRule="auto"/>
        <w:jc w:val="both"/>
        <w:rPr>
          <w:rFonts w:cs="Arial"/>
          <w:lang w:val="fr-BE" w:eastAsia="nl-BE"/>
        </w:rPr>
      </w:pPr>
    </w:p>
    <w:p w14:paraId="3B7595D6" w14:textId="77777777" w:rsidR="008C7626" w:rsidRPr="00AD7B1C" w:rsidRDefault="00F310C1"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 xml:space="preserve">En résumé, </w:t>
      </w:r>
      <w:r w:rsidR="008C7626" w:rsidRPr="00AD7B1C">
        <w:rPr>
          <w:rFonts w:cs="Arial"/>
          <w:lang w:val="fr-BE" w:eastAsia="nl-BE"/>
        </w:rPr>
        <w:t xml:space="preserve">sauf l'hypothèse dans laquelle </w:t>
      </w:r>
      <w:r w:rsidR="008C7626">
        <w:rPr>
          <w:rFonts w:cs="Arial"/>
          <w:lang w:val="fr-BE" w:eastAsia="nl-BE"/>
        </w:rPr>
        <w:t>l’autorité compétente</w:t>
      </w:r>
      <w:r w:rsidR="008C7626" w:rsidRPr="00AD7B1C">
        <w:rPr>
          <w:rFonts w:cs="Arial"/>
          <w:lang w:val="fr-BE" w:eastAsia="nl-BE"/>
        </w:rPr>
        <w:t xml:space="preserve"> a requis du candidat acquéreur qu'il lui fournisse des informations complémentaires (cf. infra), la période d'évaluation est légalement fixée à </w:t>
      </w:r>
      <w:r w:rsidR="008C7626" w:rsidRPr="00CD4C44">
        <w:rPr>
          <w:rFonts w:cs="Arial"/>
          <w:b/>
          <w:lang w:val="fr-BE" w:eastAsia="nl-BE"/>
        </w:rPr>
        <w:t>60</w:t>
      </w:r>
      <w:r w:rsidR="004D368F">
        <w:rPr>
          <w:rFonts w:cs="Arial"/>
          <w:b/>
          <w:lang w:val="fr-BE" w:eastAsia="nl-BE"/>
        </w:rPr>
        <w:t> </w:t>
      </w:r>
      <w:r w:rsidR="008C7626" w:rsidRPr="00CD4C44">
        <w:rPr>
          <w:rFonts w:cs="Arial"/>
          <w:b/>
          <w:lang w:val="fr-BE" w:eastAsia="nl-BE"/>
        </w:rPr>
        <w:t>jours ouvrables</w:t>
      </w:r>
      <w:r w:rsidR="008C7626" w:rsidRPr="00AD7B1C">
        <w:rPr>
          <w:rFonts w:cs="Arial"/>
          <w:lang w:val="fr-BE" w:eastAsia="nl-BE"/>
        </w:rPr>
        <w:t xml:space="preserve">, à compter de la date de l'accusé de réception de la notification par </w:t>
      </w:r>
      <w:r w:rsidR="008C7626">
        <w:rPr>
          <w:rFonts w:cs="Arial"/>
          <w:lang w:val="fr-BE" w:eastAsia="nl-BE"/>
        </w:rPr>
        <w:t>l’autorité compétente</w:t>
      </w:r>
      <w:r w:rsidR="008C7626" w:rsidRPr="00AD7B1C">
        <w:rPr>
          <w:rFonts w:cs="Arial"/>
          <w:lang w:val="fr-BE" w:eastAsia="nl-BE"/>
        </w:rPr>
        <w:t>. La date d'expiration de la période d'évaluation ainsi calculée est renseignée dans l'accusé de réception par l</w:t>
      </w:r>
      <w:r w:rsidR="008C7626">
        <w:rPr>
          <w:rFonts w:cs="Arial"/>
          <w:lang w:val="fr-BE" w:eastAsia="nl-BE"/>
        </w:rPr>
        <w:t>’autorité compétente</w:t>
      </w:r>
      <w:r w:rsidR="008C7626" w:rsidRPr="00AD7B1C">
        <w:rPr>
          <w:rFonts w:cs="Arial"/>
          <w:lang w:val="fr-BE" w:eastAsia="nl-BE"/>
        </w:rPr>
        <w:t xml:space="preserve"> de la notification du candidat acquéreur (cf. supra).</w:t>
      </w:r>
    </w:p>
    <w:p w14:paraId="2902047E"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4D730FC4" w14:textId="77777777" w:rsidR="008C7626" w:rsidRPr="00256F87" w:rsidRDefault="00F310C1" w:rsidP="00BE3219">
      <w:pPr>
        <w:tabs>
          <w:tab w:val="clear" w:pos="284"/>
        </w:tabs>
        <w:autoSpaceDE w:val="0"/>
        <w:autoSpaceDN w:val="0"/>
        <w:adjustRightInd w:val="0"/>
        <w:spacing w:line="240" w:lineRule="auto"/>
        <w:jc w:val="both"/>
        <w:rPr>
          <w:rFonts w:cs="Arial"/>
          <w:u w:val="single"/>
          <w:lang w:val="fr-BE" w:eastAsia="nl-BE"/>
        </w:rPr>
      </w:pPr>
      <w:r w:rsidRPr="00256F87">
        <w:rPr>
          <w:rFonts w:cs="Arial"/>
          <w:u w:val="single"/>
          <w:lang w:val="fr-BE" w:eastAsia="nl-BE"/>
        </w:rPr>
        <w:t>c)</w:t>
      </w:r>
      <w:r w:rsidR="008C7626" w:rsidRPr="00256F87">
        <w:rPr>
          <w:rFonts w:cs="Arial"/>
          <w:u w:val="single"/>
          <w:lang w:val="fr-BE" w:eastAsia="nl-BE"/>
        </w:rPr>
        <w:t xml:space="preserve"> Informations complémentaires et suspension de la période d’évaluation</w:t>
      </w:r>
    </w:p>
    <w:p w14:paraId="5230C2AB"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33A90C9D"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roofErr w:type="gramStart"/>
      <w:r w:rsidRPr="00AD7B1C">
        <w:rPr>
          <w:rFonts w:cs="Arial"/>
          <w:lang w:val="fr-BE" w:eastAsia="nl-BE"/>
        </w:rPr>
        <w:t>A tout moment</w:t>
      </w:r>
      <w:proofErr w:type="gramEnd"/>
      <w:r w:rsidRPr="00AD7B1C">
        <w:rPr>
          <w:rFonts w:cs="Arial"/>
          <w:lang w:val="fr-BE" w:eastAsia="nl-BE"/>
        </w:rPr>
        <w:t xml:space="preserve"> au cours de la procédure d'évaluation, </w:t>
      </w:r>
      <w:r>
        <w:rPr>
          <w:rFonts w:cs="Arial"/>
          <w:lang w:val="fr-BE" w:eastAsia="nl-BE"/>
        </w:rPr>
        <w:t>l’autorité compétente</w:t>
      </w:r>
      <w:r w:rsidRPr="00AD7B1C">
        <w:rPr>
          <w:rFonts w:cs="Arial"/>
          <w:lang w:val="fr-BE" w:eastAsia="nl-BE"/>
        </w:rPr>
        <w:t xml:space="preserve"> peut requérir par écrit du candidat acquéreur qu'il lui transmette toute information complémentaire qu'elle jugera nécessaire, au vu des informations initiales qui lui auront été fournies, pour lui permettre de procéder en toute connaissance de cause à l'évaluation prudentielle du projet d'acquisition au regard des critères prudentiels énumérés par la loi.</w:t>
      </w:r>
    </w:p>
    <w:p w14:paraId="7755AB7D"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2CA0CD0D"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L'on soulignera que les demandes d'informations complémentaires porteront généralement sur des éléments qui ne sont pas repris dans la liste des informations initiales requises, mais viseront en général à permettre une meilleure compréhension ou une meilleure évaluation de ces informations initiales.</w:t>
      </w:r>
    </w:p>
    <w:p w14:paraId="2FE74244"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55E5FCAC"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Il importe que le candidat acquéreur fournisse promptement les informations complémentaires ainsi requises de lui, afin d'éviter une prolongation excessive de la période de transition. Il convient aussi de souligner que l'abstention du candidat acquéreur de fournir les informations complémentaires requises par </w:t>
      </w:r>
      <w:r>
        <w:rPr>
          <w:rFonts w:cs="Arial"/>
          <w:lang w:val="fr-BE" w:eastAsia="nl-BE"/>
        </w:rPr>
        <w:t>l’autorité compétente</w:t>
      </w:r>
      <w:r w:rsidRPr="00AD7B1C">
        <w:rPr>
          <w:rFonts w:cs="Arial"/>
          <w:lang w:val="fr-BE" w:eastAsia="nl-BE"/>
        </w:rPr>
        <w:t xml:space="preserve"> pourra amener celle-ci à s'opposer à l'acquisition, dès lors que ces informations complémentaires sont nécessaires pour lui permettre de procéder à l'évaluation du projet d'acquisition au regard des critères légaux d'évaluation.</w:t>
      </w:r>
    </w:p>
    <w:p w14:paraId="731B47BF"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789C4E7D"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Lorsque les informations complémentaires requises sont transmises à </w:t>
      </w:r>
      <w:r>
        <w:rPr>
          <w:rFonts w:cs="Arial"/>
          <w:lang w:val="fr-BE" w:eastAsia="nl-BE"/>
        </w:rPr>
        <w:t>l’autorité compétente</w:t>
      </w:r>
      <w:r w:rsidRPr="00AD7B1C">
        <w:rPr>
          <w:rFonts w:cs="Arial"/>
          <w:lang w:val="fr-BE" w:eastAsia="nl-BE"/>
        </w:rPr>
        <w:t>, celle-ci en accuse réception et précise dans cet accusé de réception la nouvelle date d'échéance de la période d'évaluation, tenant compte de l'effet suspensif de la demande d'information complémentaire.</w:t>
      </w:r>
    </w:p>
    <w:p w14:paraId="1F7C0507"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73D99B81"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Lorsque </w:t>
      </w:r>
      <w:r>
        <w:rPr>
          <w:rFonts w:cs="Arial"/>
          <w:lang w:val="fr-BE" w:eastAsia="nl-BE"/>
        </w:rPr>
        <w:t>l’autorité compétente</w:t>
      </w:r>
      <w:r w:rsidRPr="00AD7B1C">
        <w:rPr>
          <w:rFonts w:cs="Arial"/>
          <w:lang w:val="fr-BE" w:eastAsia="nl-BE"/>
        </w:rPr>
        <w:t xml:space="preserve"> requiert du candidat acquéreur, par application des dispositions légales, qu'il lui fournisse des informations complémentaires, la période d'évaluation est suspendue entre la date de la demande d'informations par </w:t>
      </w:r>
      <w:r>
        <w:rPr>
          <w:rFonts w:cs="Arial"/>
          <w:lang w:val="fr-BE" w:eastAsia="nl-BE"/>
        </w:rPr>
        <w:t>l’autorité compétente</w:t>
      </w:r>
      <w:r w:rsidRPr="00AD7B1C">
        <w:rPr>
          <w:rFonts w:cs="Arial"/>
          <w:lang w:val="fr-BE" w:eastAsia="nl-BE"/>
        </w:rPr>
        <w:t xml:space="preserve"> et la réception par celle-ci des informations demandées, pour autant que la demande </w:t>
      </w:r>
      <w:r w:rsidRPr="00100944">
        <w:rPr>
          <w:rFonts w:cs="Arial"/>
          <w:lang w:val="fr-BE" w:eastAsia="nl-BE"/>
        </w:rPr>
        <w:t>d'inf</w:t>
      </w:r>
      <w:r w:rsidRPr="008700C9">
        <w:rPr>
          <w:rFonts w:cs="Arial"/>
          <w:lang w:val="fr-BE" w:eastAsia="nl-BE"/>
        </w:rPr>
        <w:t>ormation complémentaire soit notifiée</w:t>
      </w:r>
      <w:r w:rsidRPr="00CD4C44">
        <w:rPr>
          <w:rFonts w:cs="Arial"/>
          <w:b/>
          <w:lang w:val="fr-BE" w:eastAsia="nl-BE"/>
        </w:rPr>
        <w:t xml:space="preserve"> au plus tard le cinquantième jour ouvrable </w:t>
      </w:r>
      <w:r w:rsidRPr="00100944">
        <w:rPr>
          <w:rFonts w:cs="Arial"/>
          <w:lang w:val="fr-BE" w:eastAsia="nl-BE"/>
        </w:rPr>
        <w:t>de la période d'évaluation</w:t>
      </w:r>
      <w:r w:rsidRPr="00AD7B1C">
        <w:rPr>
          <w:rFonts w:cs="Arial"/>
          <w:lang w:val="fr-BE" w:eastAsia="nl-BE"/>
        </w:rPr>
        <w:t xml:space="preserve">.  </w:t>
      </w:r>
    </w:p>
    <w:p w14:paraId="7E2FAC61"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05F503A5"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Cette période de suspension est limitée, en règle générale, à </w:t>
      </w:r>
      <w:r w:rsidR="00100944">
        <w:rPr>
          <w:rFonts w:cs="Arial"/>
          <w:b/>
          <w:lang w:val="fr-BE" w:eastAsia="nl-BE"/>
        </w:rPr>
        <w:t>20</w:t>
      </w:r>
      <w:r w:rsidR="00100944" w:rsidRPr="00CD4C44">
        <w:rPr>
          <w:rFonts w:cs="Arial"/>
          <w:b/>
          <w:lang w:val="fr-BE" w:eastAsia="nl-BE"/>
        </w:rPr>
        <w:t xml:space="preserve"> </w:t>
      </w:r>
      <w:r w:rsidRPr="00CD4C44">
        <w:rPr>
          <w:rFonts w:cs="Arial"/>
          <w:b/>
          <w:lang w:val="fr-BE" w:eastAsia="nl-BE"/>
        </w:rPr>
        <w:t xml:space="preserve">jours ouvrables </w:t>
      </w:r>
      <w:r w:rsidRPr="00AD7B1C">
        <w:rPr>
          <w:rFonts w:cs="Arial"/>
          <w:lang w:val="fr-BE" w:eastAsia="nl-BE"/>
        </w:rPr>
        <w:t xml:space="preserve">maximum. </w:t>
      </w:r>
      <w:r>
        <w:rPr>
          <w:rFonts w:cs="Arial"/>
          <w:lang w:val="fr-BE" w:eastAsia="nl-BE"/>
        </w:rPr>
        <w:t>L’autorité compétente</w:t>
      </w:r>
      <w:r w:rsidRPr="00AD7B1C">
        <w:rPr>
          <w:rFonts w:cs="Arial"/>
          <w:lang w:val="fr-BE" w:eastAsia="nl-BE"/>
        </w:rPr>
        <w:t xml:space="preserve"> peut néanmoins décider de porter cette durée maximale de suspension à </w:t>
      </w:r>
      <w:r w:rsidRPr="00CD4C44">
        <w:rPr>
          <w:rFonts w:cs="Arial"/>
          <w:b/>
          <w:lang w:val="fr-BE" w:eastAsia="nl-BE"/>
        </w:rPr>
        <w:t>30 jours ouvrables</w:t>
      </w:r>
      <w:r w:rsidRPr="00AD7B1C">
        <w:rPr>
          <w:rFonts w:cs="Arial"/>
          <w:lang w:val="fr-BE" w:eastAsia="nl-BE"/>
        </w:rPr>
        <w:t xml:space="preserve"> si le candidat acquéreur est établi en dehors de l'Espace Economique Européen ou si, bien qu'établi dans l'Espace Economique Européen, il n'y est pas soumis à une législation de contrôle prudentiel du secteur financier. Dans ce cas, la demande d'information complémentaire adressée par </w:t>
      </w:r>
      <w:r>
        <w:rPr>
          <w:rFonts w:cs="Arial"/>
          <w:lang w:val="fr-BE" w:eastAsia="nl-BE"/>
        </w:rPr>
        <w:t>l’autorité compétente</w:t>
      </w:r>
      <w:r w:rsidRPr="00AD7B1C">
        <w:rPr>
          <w:rFonts w:cs="Arial"/>
          <w:lang w:val="fr-BE" w:eastAsia="nl-BE"/>
        </w:rPr>
        <w:t xml:space="preserve"> au candidat acquéreur mentionnera aussi la décision de </w:t>
      </w:r>
      <w:r>
        <w:rPr>
          <w:rFonts w:cs="Arial"/>
          <w:lang w:val="fr-BE" w:eastAsia="nl-BE"/>
        </w:rPr>
        <w:t>l’autorité compétente</w:t>
      </w:r>
      <w:r w:rsidRPr="00AD7B1C">
        <w:rPr>
          <w:rFonts w:cs="Arial"/>
          <w:lang w:val="fr-BE" w:eastAsia="nl-BE"/>
        </w:rPr>
        <w:t xml:space="preserve"> de porter la période de suspension à 30 jours ouvrables.</w:t>
      </w:r>
    </w:p>
    <w:p w14:paraId="239994E7"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55F23217"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lastRenderedPageBreak/>
        <w:t xml:space="preserve">Il est à noter que </w:t>
      </w:r>
      <w:r>
        <w:rPr>
          <w:rFonts w:cs="Arial"/>
          <w:lang w:val="fr-BE" w:eastAsia="nl-BE"/>
        </w:rPr>
        <w:t>l’autorité compétente</w:t>
      </w:r>
      <w:r w:rsidRPr="00AD7B1C">
        <w:rPr>
          <w:rFonts w:cs="Arial"/>
          <w:lang w:val="fr-BE" w:eastAsia="nl-BE"/>
        </w:rPr>
        <w:t xml:space="preserve"> peut adresser ultérieurement une nouvelle demande subséquente d'informations complémentaires, ou lui adresser une telle demande après le cinquantième jour de la période d'évaluation. Dans ces cas, toutefois, ces demandes d'informations complémentaires ne suspendent pas la période d'évaluation. </w:t>
      </w:r>
      <w:r>
        <w:rPr>
          <w:rFonts w:cs="Arial"/>
          <w:lang w:val="fr-BE" w:eastAsia="nl-BE"/>
        </w:rPr>
        <w:t>L’autorité compétente</w:t>
      </w:r>
      <w:r w:rsidRPr="00AD7B1C">
        <w:rPr>
          <w:rFonts w:cs="Arial"/>
          <w:lang w:val="fr-BE" w:eastAsia="nl-BE"/>
        </w:rPr>
        <w:t xml:space="preserve"> ne recourra cependant à de telles demandes subséquentes ou tardives qu'à titre exceptionnel, lorsque les informations complémentaires concernées lui apparaitront indispensables pour procéder à l'évaluation prudentielle correcte du projet. Il est dès lors aussi dans l'intérêt du candidat acquéreur d'y répondre correctement et diligemment.</w:t>
      </w:r>
    </w:p>
    <w:p w14:paraId="7566564C" w14:textId="5BD10E27" w:rsidR="007C07C1" w:rsidRDefault="007C07C1">
      <w:pPr>
        <w:tabs>
          <w:tab w:val="clear" w:pos="284"/>
        </w:tabs>
        <w:spacing w:line="240" w:lineRule="auto"/>
        <w:rPr>
          <w:rFonts w:cs="Arial"/>
          <w:i/>
          <w:u w:val="single"/>
          <w:lang w:val="fr-BE" w:eastAsia="nl-BE"/>
        </w:rPr>
      </w:pPr>
    </w:p>
    <w:p w14:paraId="72098C3B" w14:textId="77777777" w:rsidR="008C7626" w:rsidRPr="00CD4C44" w:rsidRDefault="00F310C1" w:rsidP="00BE3219">
      <w:pPr>
        <w:tabs>
          <w:tab w:val="clear" w:pos="284"/>
        </w:tabs>
        <w:autoSpaceDE w:val="0"/>
        <w:autoSpaceDN w:val="0"/>
        <w:adjustRightInd w:val="0"/>
        <w:spacing w:line="240" w:lineRule="auto"/>
        <w:jc w:val="both"/>
        <w:rPr>
          <w:rFonts w:cs="Arial"/>
          <w:i/>
          <w:u w:val="single"/>
          <w:lang w:val="fr-BE" w:eastAsia="nl-BE"/>
        </w:rPr>
      </w:pPr>
      <w:r w:rsidRPr="00CD4C44">
        <w:rPr>
          <w:rFonts w:cs="Arial"/>
          <w:i/>
          <w:u w:val="single"/>
          <w:lang w:val="fr-BE" w:eastAsia="nl-BE"/>
        </w:rPr>
        <w:t>5.</w:t>
      </w:r>
      <w:r w:rsidR="00DC553B" w:rsidRPr="00CD4C44">
        <w:rPr>
          <w:rFonts w:cs="Arial"/>
          <w:i/>
          <w:u w:val="single"/>
          <w:lang w:val="fr-BE" w:eastAsia="nl-BE"/>
        </w:rPr>
        <w:t>1.</w:t>
      </w:r>
      <w:r w:rsidRPr="00CD4C44">
        <w:rPr>
          <w:rFonts w:cs="Arial"/>
          <w:i/>
          <w:u w:val="single"/>
          <w:lang w:val="fr-BE" w:eastAsia="nl-BE"/>
        </w:rPr>
        <w:t xml:space="preserve">2. </w:t>
      </w:r>
      <w:r w:rsidR="008C7626" w:rsidRPr="00CD4C44">
        <w:rPr>
          <w:rFonts w:cs="Arial"/>
          <w:i/>
          <w:u w:val="single"/>
          <w:lang w:val="fr-BE" w:eastAsia="nl-BE"/>
        </w:rPr>
        <w:t>Critères d’évaluation</w:t>
      </w:r>
    </w:p>
    <w:p w14:paraId="73559F8D" w14:textId="77777777" w:rsidR="008C7626" w:rsidRPr="00AD7B1C" w:rsidRDefault="008C7626" w:rsidP="00BE3219">
      <w:pPr>
        <w:tabs>
          <w:tab w:val="clear" w:pos="284"/>
        </w:tabs>
        <w:autoSpaceDE w:val="0"/>
        <w:autoSpaceDN w:val="0"/>
        <w:adjustRightInd w:val="0"/>
        <w:spacing w:line="240" w:lineRule="auto"/>
        <w:jc w:val="both"/>
        <w:rPr>
          <w:rFonts w:cs="Arial"/>
          <w:lang w:val="fr-BE" w:eastAsia="nl-BE"/>
        </w:rPr>
      </w:pPr>
    </w:p>
    <w:p w14:paraId="36D6E89F" w14:textId="77777777" w:rsidR="00F80BF8" w:rsidRDefault="00100944"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Afin de garantir une gestion saine et prudente de l’entreprise, l</w:t>
      </w:r>
      <w:r w:rsidR="00353A88">
        <w:rPr>
          <w:rFonts w:cs="Arial"/>
          <w:lang w:val="fr-BE" w:eastAsia="nl-BE"/>
        </w:rPr>
        <w:t>’autorité compétente</w:t>
      </w:r>
      <w:r w:rsidR="008419D4" w:rsidRPr="00AD7B1C">
        <w:rPr>
          <w:rFonts w:cs="Arial"/>
          <w:lang w:val="fr-BE" w:eastAsia="nl-BE"/>
        </w:rPr>
        <w:t xml:space="preserve"> procède à l'évaluation prudentielle du projet d'acquisition au regard exclusivement des critères </w:t>
      </w:r>
      <w:r>
        <w:rPr>
          <w:rFonts w:cs="Arial"/>
          <w:lang w:val="fr-BE" w:eastAsia="nl-BE"/>
        </w:rPr>
        <w:t xml:space="preserve">suivants </w:t>
      </w:r>
      <w:r w:rsidR="008419D4" w:rsidRPr="00AD7B1C">
        <w:rPr>
          <w:rFonts w:cs="Arial"/>
          <w:lang w:val="fr-BE" w:eastAsia="nl-BE"/>
        </w:rPr>
        <w:t>définis à cet effet par les dispositions légales</w:t>
      </w:r>
      <w:r>
        <w:rPr>
          <w:rFonts w:cs="Arial"/>
          <w:lang w:val="fr-BE" w:eastAsia="nl-BE"/>
        </w:rPr>
        <w:t> :</w:t>
      </w:r>
    </w:p>
    <w:p w14:paraId="6DA6F41A" w14:textId="77777777" w:rsidR="008419D4" w:rsidRPr="00F80BF8" w:rsidRDefault="008419D4" w:rsidP="00A924BB">
      <w:pPr>
        <w:pStyle w:val="ListParagraph"/>
        <w:numPr>
          <w:ilvl w:val="0"/>
          <w:numId w:val="40"/>
        </w:numPr>
        <w:tabs>
          <w:tab w:val="clear" w:pos="284"/>
        </w:tabs>
        <w:autoSpaceDE w:val="0"/>
        <w:autoSpaceDN w:val="0"/>
        <w:adjustRightInd w:val="0"/>
        <w:spacing w:before="60" w:after="60" w:line="240" w:lineRule="auto"/>
        <w:ind w:left="714" w:hanging="357"/>
        <w:contextualSpacing w:val="0"/>
        <w:jc w:val="both"/>
        <w:rPr>
          <w:rFonts w:cs="Arial"/>
          <w:lang w:val="fr-BE" w:eastAsia="nl-BE"/>
        </w:rPr>
      </w:pPr>
      <w:proofErr w:type="gramStart"/>
      <w:r w:rsidRPr="00F80BF8">
        <w:rPr>
          <w:rFonts w:cs="Arial"/>
          <w:lang w:val="fr-BE" w:eastAsia="nl-BE"/>
        </w:rPr>
        <w:t>la</w:t>
      </w:r>
      <w:proofErr w:type="gramEnd"/>
      <w:r w:rsidRPr="00F80BF8">
        <w:rPr>
          <w:rFonts w:cs="Arial"/>
          <w:lang w:val="fr-BE" w:eastAsia="nl-BE"/>
        </w:rPr>
        <w:t xml:space="preserve"> réputation du candidat acquéreur ;</w:t>
      </w:r>
    </w:p>
    <w:p w14:paraId="38EF6934" w14:textId="77777777" w:rsidR="008E6000" w:rsidRPr="00014687" w:rsidRDefault="008419D4" w:rsidP="00A924BB">
      <w:pPr>
        <w:pStyle w:val="ListParagraph"/>
        <w:numPr>
          <w:ilvl w:val="0"/>
          <w:numId w:val="40"/>
        </w:numPr>
        <w:tabs>
          <w:tab w:val="clear" w:pos="284"/>
        </w:tabs>
        <w:autoSpaceDE w:val="0"/>
        <w:autoSpaceDN w:val="0"/>
        <w:adjustRightInd w:val="0"/>
        <w:spacing w:before="60" w:after="60" w:line="240" w:lineRule="auto"/>
        <w:ind w:left="714" w:hanging="357"/>
        <w:contextualSpacing w:val="0"/>
        <w:jc w:val="both"/>
        <w:rPr>
          <w:rFonts w:cs="Arial"/>
          <w:lang w:val="fr-BE" w:eastAsia="nl-BE"/>
        </w:rPr>
      </w:pPr>
      <w:proofErr w:type="gramStart"/>
      <w:r w:rsidRPr="00F80BF8">
        <w:rPr>
          <w:rFonts w:cs="Arial"/>
          <w:lang w:val="fr-BE" w:eastAsia="nl-BE"/>
        </w:rPr>
        <w:t>la</w:t>
      </w:r>
      <w:proofErr w:type="gramEnd"/>
      <w:r w:rsidRPr="00F80BF8">
        <w:rPr>
          <w:rFonts w:cs="Arial"/>
          <w:lang w:val="fr-BE" w:eastAsia="nl-BE"/>
        </w:rPr>
        <w:t xml:space="preserve"> réputation et l'expérience de toute personne qui assurera la direction des activités de l'entreprise financière à la suite de l'acquisition envisagée ;</w:t>
      </w:r>
    </w:p>
    <w:p w14:paraId="53A3CF20" w14:textId="77777777" w:rsidR="008419D4" w:rsidRPr="003F5E55" w:rsidRDefault="008419D4" w:rsidP="00A924BB">
      <w:pPr>
        <w:pStyle w:val="ListParagraph"/>
        <w:numPr>
          <w:ilvl w:val="0"/>
          <w:numId w:val="40"/>
        </w:numPr>
        <w:tabs>
          <w:tab w:val="clear" w:pos="284"/>
        </w:tabs>
        <w:autoSpaceDE w:val="0"/>
        <w:autoSpaceDN w:val="0"/>
        <w:adjustRightInd w:val="0"/>
        <w:spacing w:before="60" w:after="60" w:line="240" w:lineRule="auto"/>
        <w:ind w:left="714" w:hanging="357"/>
        <w:contextualSpacing w:val="0"/>
        <w:jc w:val="both"/>
        <w:rPr>
          <w:rFonts w:cs="Arial"/>
          <w:lang w:val="fr-BE" w:eastAsia="nl-BE"/>
        </w:rPr>
      </w:pPr>
      <w:proofErr w:type="gramStart"/>
      <w:r w:rsidRPr="003F5E55">
        <w:rPr>
          <w:rFonts w:cs="Arial"/>
          <w:lang w:val="fr-BE" w:eastAsia="nl-BE"/>
        </w:rPr>
        <w:t>la</w:t>
      </w:r>
      <w:proofErr w:type="gramEnd"/>
      <w:r w:rsidRPr="003F5E55">
        <w:rPr>
          <w:rFonts w:cs="Arial"/>
          <w:lang w:val="fr-BE" w:eastAsia="nl-BE"/>
        </w:rPr>
        <w:t xml:space="preserve"> solidité financière du candidat acquéreur ;</w:t>
      </w:r>
    </w:p>
    <w:p w14:paraId="4E4DD34B" w14:textId="77777777" w:rsidR="008419D4" w:rsidRPr="00BD09DC" w:rsidRDefault="008419D4" w:rsidP="00A924BB">
      <w:pPr>
        <w:pStyle w:val="ListParagraph"/>
        <w:numPr>
          <w:ilvl w:val="0"/>
          <w:numId w:val="40"/>
        </w:numPr>
        <w:tabs>
          <w:tab w:val="clear" w:pos="284"/>
        </w:tabs>
        <w:autoSpaceDE w:val="0"/>
        <w:autoSpaceDN w:val="0"/>
        <w:adjustRightInd w:val="0"/>
        <w:spacing w:before="60" w:after="60" w:line="240" w:lineRule="auto"/>
        <w:ind w:left="714" w:hanging="357"/>
        <w:contextualSpacing w:val="0"/>
        <w:jc w:val="both"/>
        <w:rPr>
          <w:rFonts w:cs="Arial"/>
          <w:lang w:val="fr-BE" w:eastAsia="nl-BE"/>
        </w:rPr>
      </w:pPr>
      <w:proofErr w:type="gramStart"/>
      <w:r w:rsidRPr="002C2641">
        <w:rPr>
          <w:rFonts w:cs="Arial"/>
          <w:lang w:val="fr-BE" w:eastAsia="nl-BE"/>
        </w:rPr>
        <w:t>la</w:t>
      </w:r>
      <w:proofErr w:type="gramEnd"/>
      <w:r w:rsidRPr="002C2641">
        <w:rPr>
          <w:rFonts w:cs="Arial"/>
          <w:lang w:val="fr-BE" w:eastAsia="nl-BE"/>
        </w:rPr>
        <w:t xml:space="preserve"> capacité de l'entreprise financière de continuer à satisfaire aux obligations prudentielles découlant de son statut à la suite de l'acquisition envisagée ; et</w:t>
      </w:r>
    </w:p>
    <w:p w14:paraId="1AAFC7D4" w14:textId="77777777" w:rsidR="008419D4" w:rsidRPr="003C0485" w:rsidRDefault="008419D4" w:rsidP="00A924BB">
      <w:pPr>
        <w:pStyle w:val="ListParagraph"/>
        <w:numPr>
          <w:ilvl w:val="0"/>
          <w:numId w:val="40"/>
        </w:numPr>
        <w:tabs>
          <w:tab w:val="clear" w:pos="284"/>
        </w:tabs>
        <w:autoSpaceDE w:val="0"/>
        <w:autoSpaceDN w:val="0"/>
        <w:adjustRightInd w:val="0"/>
        <w:spacing w:before="60" w:after="60" w:line="240" w:lineRule="auto"/>
        <w:ind w:left="714" w:hanging="357"/>
        <w:contextualSpacing w:val="0"/>
        <w:jc w:val="both"/>
        <w:rPr>
          <w:rFonts w:cs="Arial"/>
          <w:lang w:val="fr-BE" w:eastAsia="nl-BE"/>
        </w:rPr>
      </w:pPr>
      <w:proofErr w:type="gramStart"/>
      <w:r w:rsidRPr="003C0485">
        <w:rPr>
          <w:rFonts w:cs="Arial"/>
          <w:lang w:val="fr-BE" w:eastAsia="nl-BE"/>
        </w:rPr>
        <w:t>l'absence</w:t>
      </w:r>
      <w:proofErr w:type="gramEnd"/>
      <w:r w:rsidRPr="003C0485">
        <w:rPr>
          <w:rFonts w:cs="Arial"/>
          <w:lang w:val="fr-BE" w:eastAsia="nl-BE"/>
        </w:rPr>
        <w:t xml:space="preserve"> de soupçon de blanchiment de capitaux ou de financement du terrorisme en rapport avec l'acquisition.</w:t>
      </w:r>
    </w:p>
    <w:p w14:paraId="6491D2DA"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4952CFEF" w14:textId="77777777" w:rsidR="008419D4" w:rsidRPr="00AD7B1C" w:rsidRDefault="00353A88"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L’autorité compétente</w:t>
      </w:r>
      <w:r w:rsidR="008419D4" w:rsidRPr="00AD7B1C">
        <w:rPr>
          <w:rFonts w:cs="Arial"/>
          <w:lang w:val="fr-BE" w:eastAsia="nl-BE"/>
        </w:rPr>
        <w:t xml:space="preserve"> se référera </w:t>
      </w:r>
      <w:r w:rsidR="0042555A">
        <w:rPr>
          <w:rFonts w:cs="Arial"/>
          <w:lang w:val="fr-BE" w:eastAsia="nl-BE"/>
        </w:rPr>
        <w:t xml:space="preserve">aux </w:t>
      </w:r>
      <w:r w:rsidR="00100944" w:rsidRPr="00AD7B1C">
        <w:rPr>
          <w:rFonts w:cs="Arial"/>
          <w:lang w:val="fr-BE" w:eastAsia="nl-BE"/>
        </w:rPr>
        <w:t xml:space="preserve">points 10 à 14 des orientations communes </w:t>
      </w:r>
      <w:r w:rsidR="00100944">
        <w:rPr>
          <w:rFonts w:cs="Arial"/>
          <w:lang w:val="fr-BE" w:eastAsia="nl-BE"/>
        </w:rPr>
        <w:t xml:space="preserve">des AES </w:t>
      </w:r>
      <w:r w:rsidR="00100944" w:rsidRPr="00AD7B1C">
        <w:rPr>
          <w:rFonts w:cs="Arial"/>
          <w:lang w:val="fr-BE" w:eastAsia="nl-BE"/>
        </w:rPr>
        <w:t xml:space="preserve">reprises en annexe </w:t>
      </w:r>
      <w:r w:rsidR="00100944">
        <w:rPr>
          <w:rFonts w:cs="Arial"/>
          <w:lang w:val="fr-BE" w:eastAsia="nl-BE"/>
        </w:rPr>
        <w:t xml:space="preserve">8 </w:t>
      </w:r>
      <w:r w:rsidR="008419D4" w:rsidRPr="00AD7B1C">
        <w:rPr>
          <w:rFonts w:cs="Arial"/>
          <w:lang w:val="fr-BE" w:eastAsia="nl-BE"/>
        </w:rPr>
        <w:t>lorsqu'elle procèdera à l'évaluation des personnes souhaitant acquérir ou accroître leurs participations qualifiées dans des organismes financiers de droit belge.</w:t>
      </w:r>
      <w:r w:rsidR="00100944" w:rsidRPr="00AD7B1C">
        <w:rPr>
          <w:rFonts w:cs="Arial"/>
          <w:lang w:val="fr-BE" w:eastAsia="nl-BE"/>
        </w:rPr>
        <w:t xml:space="preserve"> </w:t>
      </w:r>
      <w:r w:rsidR="00100944">
        <w:rPr>
          <w:rFonts w:cs="Arial"/>
          <w:lang w:val="fr-BE" w:eastAsia="nl-BE"/>
        </w:rPr>
        <w:t xml:space="preserve">  Ces points sont en effet </w:t>
      </w:r>
      <w:r w:rsidR="00100944" w:rsidRPr="00AD7B1C">
        <w:rPr>
          <w:rFonts w:cs="Arial"/>
          <w:lang w:val="fr-BE" w:eastAsia="nl-BE"/>
        </w:rPr>
        <w:t xml:space="preserve">consacrés à l'énonciation d'une compréhension commune de la portée précise de chacun de ces cinq critères prudentiels.  </w:t>
      </w:r>
    </w:p>
    <w:p w14:paraId="08FFDC65" w14:textId="77777777" w:rsidR="008E6000" w:rsidRPr="00AD7B1C" w:rsidRDefault="008E6000" w:rsidP="00BE3219">
      <w:pPr>
        <w:tabs>
          <w:tab w:val="clear" w:pos="284"/>
        </w:tabs>
        <w:autoSpaceDE w:val="0"/>
        <w:autoSpaceDN w:val="0"/>
        <w:adjustRightInd w:val="0"/>
        <w:spacing w:line="240" w:lineRule="auto"/>
        <w:jc w:val="both"/>
        <w:rPr>
          <w:rFonts w:cs="Arial"/>
          <w:lang w:val="fr-BE" w:eastAsia="nl-BE"/>
        </w:rPr>
      </w:pPr>
    </w:p>
    <w:p w14:paraId="5AB6B6A0" w14:textId="77777777" w:rsidR="000D059B" w:rsidRPr="00CD4C44" w:rsidRDefault="00805A74" w:rsidP="00BE3219">
      <w:pPr>
        <w:tabs>
          <w:tab w:val="clear" w:pos="284"/>
        </w:tabs>
        <w:autoSpaceDE w:val="0"/>
        <w:autoSpaceDN w:val="0"/>
        <w:adjustRightInd w:val="0"/>
        <w:spacing w:line="240" w:lineRule="auto"/>
        <w:jc w:val="both"/>
        <w:rPr>
          <w:rFonts w:cs="Arial"/>
          <w:i/>
          <w:u w:val="single"/>
          <w:lang w:val="fr-BE" w:eastAsia="nl-BE"/>
        </w:rPr>
      </w:pPr>
      <w:r w:rsidRPr="00CD4C44">
        <w:rPr>
          <w:rFonts w:cs="Arial"/>
          <w:i/>
          <w:u w:val="single"/>
          <w:lang w:val="fr-BE" w:eastAsia="nl-BE"/>
        </w:rPr>
        <w:t>5.</w:t>
      </w:r>
      <w:r w:rsidR="00F80BF8" w:rsidRPr="00CD4C44">
        <w:rPr>
          <w:rFonts w:cs="Arial"/>
          <w:i/>
          <w:u w:val="single"/>
          <w:lang w:val="fr-BE" w:eastAsia="nl-BE"/>
        </w:rPr>
        <w:t>1.</w:t>
      </w:r>
      <w:r w:rsidRPr="00CD4C44">
        <w:rPr>
          <w:rFonts w:cs="Arial"/>
          <w:i/>
          <w:u w:val="single"/>
          <w:lang w:val="fr-BE" w:eastAsia="nl-BE"/>
        </w:rPr>
        <w:t>3.</w:t>
      </w:r>
      <w:r w:rsidR="000D059B" w:rsidRPr="00CD4C44">
        <w:rPr>
          <w:rFonts w:cs="Arial"/>
          <w:i/>
          <w:u w:val="single"/>
          <w:lang w:val="fr-BE" w:eastAsia="nl-BE"/>
        </w:rPr>
        <w:t xml:space="preserve"> Décision de </w:t>
      </w:r>
      <w:r w:rsidR="00353A88" w:rsidRPr="00CD4C44">
        <w:rPr>
          <w:rFonts w:cs="Arial"/>
          <w:i/>
          <w:u w:val="single"/>
          <w:lang w:val="fr-BE" w:eastAsia="nl-BE"/>
        </w:rPr>
        <w:t>l’autorité compétente</w:t>
      </w:r>
      <w:r w:rsidR="000D059B" w:rsidRPr="00CD4C44">
        <w:rPr>
          <w:rFonts w:cs="Arial"/>
          <w:i/>
          <w:u w:val="single"/>
          <w:lang w:val="fr-BE" w:eastAsia="nl-BE"/>
        </w:rPr>
        <w:t xml:space="preserve"> et recours</w:t>
      </w:r>
    </w:p>
    <w:p w14:paraId="2E891136" w14:textId="77777777" w:rsidR="000D059B" w:rsidRPr="00AD7B1C" w:rsidRDefault="000D059B" w:rsidP="00BE3219">
      <w:pPr>
        <w:tabs>
          <w:tab w:val="clear" w:pos="284"/>
        </w:tabs>
        <w:autoSpaceDE w:val="0"/>
        <w:autoSpaceDN w:val="0"/>
        <w:adjustRightInd w:val="0"/>
        <w:spacing w:line="240" w:lineRule="auto"/>
        <w:jc w:val="both"/>
        <w:rPr>
          <w:rFonts w:cs="Arial"/>
          <w:u w:val="single"/>
          <w:lang w:val="fr-BE" w:eastAsia="nl-BE"/>
        </w:rPr>
      </w:pPr>
    </w:p>
    <w:p w14:paraId="5B660C79" w14:textId="77777777" w:rsidR="00EE2021" w:rsidRPr="00AD7B1C" w:rsidRDefault="000D059B"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a</w:t>
      </w:r>
      <w:r w:rsidR="00870884" w:rsidRPr="00AD7B1C">
        <w:rPr>
          <w:rFonts w:cs="Arial"/>
          <w:u w:val="single"/>
          <w:lang w:val="fr-BE" w:eastAsia="nl-BE"/>
        </w:rPr>
        <w:t>) Notification de la décis</w:t>
      </w:r>
      <w:r w:rsidRPr="00AD7B1C">
        <w:rPr>
          <w:rFonts w:cs="Arial"/>
          <w:u w:val="single"/>
          <w:lang w:val="fr-BE" w:eastAsia="nl-BE"/>
        </w:rPr>
        <w:t>i</w:t>
      </w:r>
      <w:r w:rsidR="00870884" w:rsidRPr="00AD7B1C">
        <w:rPr>
          <w:rFonts w:cs="Arial"/>
          <w:u w:val="single"/>
          <w:lang w:val="fr-BE" w:eastAsia="nl-BE"/>
        </w:rPr>
        <w:t xml:space="preserve">on de </w:t>
      </w:r>
      <w:r w:rsidR="00353A88">
        <w:rPr>
          <w:rFonts w:cs="Arial"/>
          <w:u w:val="single"/>
          <w:lang w:val="fr-BE" w:eastAsia="nl-BE"/>
        </w:rPr>
        <w:t>l’autorité compétente</w:t>
      </w:r>
      <w:r w:rsidR="00870884" w:rsidRPr="00AD7B1C">
        <w:rPr>
          <w:rFonts w:cs="Arial"/>
          <w:u w:val="single"/>
          <w:lang w:val="fr-BE" w:eastAsia="nl-BE"/>
        </w:rPr>
        <w:t xml:space="preserve"> au candidat acquéreur</w:t>
      </w:r>
    </w:p>
    <w:p w14:paraId="74F95F36" w14:textId="77777777" w:rsidR="008700C9" w:rsidRPr="00AD7B1C" w:rsidRDefault="008700C9" w:rsidP="00BE3219">
      <w:pPr>
        <w:tabs>
          <w:tab w:val="clear" w:pos="284"/>
        </w:tabs>
        <w:autoSpaceDE w:val="0"/>
        <w:autoSpaceDN w:val="0"/>
        <w:adjustRightInd w:val="0"/>
        <w:spacing w:line="240" w:lineRule="auto"/>
        <w:jc w:val="both"/>
        <w:rPr>
          <w:rFonts w:cs="Arial"/>
          <w:lang w:val="fr-BE" w:eastAsia="nl-BE"/>
        </w:rPr>
      </w:pPr>
    </w:p>
    <w:p w14:paraId="1DC691FB" w14:textId="77777777" w:rsidR="00870884" w:rsidRPr="00AD7B1C" w:rsidRDefault="00870884"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Lorsque, sur la base de son analyse des informations dont elle dispose, </w:t>
      </w:r>
      <w:r w:rsidR="00353A88">
        <w:rPr>
          <w:rFonts w:cs="Arial"/>
          <w:lang w:val="fr-BE" w:eastAsia="nl-BE"/>
        </w:rPr>
        <w:t>l’autorité compétente</w:t>
      </w:r>
      <w:r w:rsidRPr="00AD7B1C">
        <w:rPr>
          <w:rFonts w:cs="Arial"/>
          <w:lang w:val="fr-BE" w:eastAsia="nl-BE"/>
        </w:rPr>
        <w:t xml:space="preserve"> décide de s'opposer à l'acquisition décidée par le candidat acquéreur, elle est tenue de motiver et de notifier sa décision au candidat acquéreur dans les deux jours ouvrables de cette décision, et au plus tard le jour de l'expiration de la période d'évaluation, tenant compte, le cas échéant, de la période de suspension de celle-ci.</w:t>
      </w:r>
    </w:p>
    <w:p w14:paraId="65DB0B4B" w14:textId="77777777" w:rsidR="00870884" w:rsidRPr="00AD7B1C" w:rsidRDefault="00870884" w:rsidP="00BE3219">
      <w:pPr>
        <w:tabs>
          <w:tab w:val="clear" w:pos="284"/>
        </w:tabs>
        <w:autoSpaceDE w:val="0"/>
        <w:autoSpaceDN w:val="0"/>
        <w:adjustRightInd w:val="0"/>
        <w:spacing w:line="240" w:lineRule="auto"/>
        <w:jc w:val="both"/>
        <w:rPr>
          <w:rFonts w:cs="Arial"/>
          <w:lang w:val="fr-BE" w:eastAsia="nl-BE"/>
        </w:rPr>
      </w:pPr>
    </w:p>
    <w:p w14:paraId="1F4D3688" w14:textId="77777777" w:rsidR="0051142C" w:rsidRDefault="00870884"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A défaut d'une telle décision de </w:t>
      </w:r>
      <w:r w:rsidR="00353A88">
        <w:rPr>
          <w:rFonts w:cs="Arial"/>
          <w:lang w:val="fr-BE" w:eastAsia="nl-BE"/>
        </w:rPr>
        <w:t>l’autorité compétente</w:t>
      </w:r>
      <w:r w:rsidRPr="00AD7B1C">
        <w:rPr>
          <w:rFonts w:cs="Arial"/>
          <w:lang w:val="fr-BE" w:eastAsia="nl-BE"/>
        </w:rPr>
        <w:t xml:space="preserve"> à l'échéance de la période d'évaluation, l'acquisition projetée est réputée avoir été approuvée. </w:t>
      </w:r>
    </w:p>
    <w:p w14:paraId="7031C3AA" w14:textId="77777777" w:rsidR="0051142C" w:rsidRDefault="0051142C" w:rsidP="00BE3219">
      <w:pPr>
        <w:tabs>
          <w:tab w:val="clear" w:pos="284"/>
        </w:tabs>
        <w:autoSpaceDE w:val="0"/>
        <w:autoSpaceDN w:val="0"/>
        <w:adjustRightInd w:val="0"/>
        <w:spacing w:line="240" w:lineRule="auto"/>
        <w:jc w:val="both"/>
        <w:rPr>
          <w:rFonts w:cs="Arial"/>
          <w:lang w:val="fr-BE" w:eastAsia="nl-BE"/>
        </w:rPr>
      </w:pPr>
    </w:p>
    <w:p w14:paraId="402C3CCE" w14:textId="77777777" w:rsidR="00870884" w:rsidRPr="00AD7B1C" w:rsidRDefault="000D059B"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 xml:space="preserve">b) Acquisition exécutée avant la notification de la décision de </w:t>
      </w:r>
      <w:r w:rsidR="00353A88">
        <w:rPr>
          <w:rFonts w:cs="Arial"/>
          <w:u w:val="single"/>
          <w:lang w:val="fr-BE" w:eastAsia="nl-BE"/>
        </w:rPr>
        <w:t>l’autorité compétente</w:t>
      </w:r>
      <w:r w:rsidRPr="00AD7B1C">
        <w:rPr>
          <w:rFonts w:cs="Arial"/>
          <w:u w:val="single"/>
          <w:lang w:val="fr-BE" w:eastAsia="nl-BE"/>
        </w:rPr>
        <w:t xml:space="preserve"> ou avant l’expiration de la période d’évaluation</w:t>
      </w:r>
    </w:p>
    <w:p w14:paraId="7C2581F9" w14:textId="77777777" w:rsidR="00CF44AF" w:rsidRPr="00AD7B1C" w:rsidRDefault="00CF44AF" w:rsidP="00BE3219">
      <w:pPr>
        <w:tabs>
          <w:tab w:val="clear" w:pos="284"/>
        </w:tabs>
        <w:autoSpaceDE w:val="0"/>
        <w:autoSpaceDN w:val="0"/>
        <w:adjustRightInd w:val="0"/>
        <w:spacing w:line="240" w:lineRule="auto"/>
        <w:jc w:val="both"/>
        <w:rPr>
          <w:rFonts w:cs="Arial"/>
          <w:lang w:val="fr-BE" w:eastAsia="nl-BE"/>
        </w:rPr>
      </w:pPr>
    </w:p>
    <w:p w14:paraId="45F8372D"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Dans le cas où un candidat acquéreur </w:t>
      </w:r>
      <w:r w:rsidR="0051142C">
        <w:rPr>
          <w:rFonts w:cs="Arial"/>
          <w:lang w:val="fr-BE" w:eastAsia="nl-BE"/>
        </w:rPr>
        <w:t>omet</w:t>
      </w:r>
      <w:r w:rsidR="0051142C" w:rsidRPr="00AD7B1C">
        <w:rPr>
          <w:rFonts w:cs="Arial"/>
          <w:lang w:val="fr-BE" w:eastAsia="nl-BE"/>
        </w:rPr>
        <w:t xml:space="preserve"> </w:t>
      </w:r>
      <w:r w:rsidRPr="00AD7B1C">
        <w:rPr>
          <w:rFonts w:cs="Arial"/>
          <w:lang w:val="fr-BE" w:eastAsia="nl-BE"/>
        </w:rPr>
        <w:t xml:space="preserve">de procéder aux notifications préalables prescrites, ou dans le cas où il procède à l'acquisition ou à l'accroissement d'une participation qualifiée en dépit de l'opposition notifiée par </w:t>
      </w:r>
      <w:r w:rsidR="00353A88">
        <w:rPr>
          <w:rFonts w:cs="Arial"/>
          <w:lang w:val="fr-BE" w:eastAsia="nl-BE"/>
        </w:rPr>
        <w:t>l’autorité compétente</w:t>
      </w:r>
      <w:r w:rsidRPr="00AD7B1C">
        <w:rPr>
          <w:rFonts w:cs="Arial"/>
          <w:lang w:val="fr-BE" w:eastAsia="nl-BE"/>
        </w:rPr>
        <w:t>, les dispositions légales habilitent celle-ci à engager une procédure devant le président du tribunal du commerce, statuant comme en référé, en vue de prendre les mesures prévues à l'article 516, § 1</w:t>
      </w:r>
      <w:r w:rsidRPr="00AD7B1C">
        <w:rPr>
          <w:rFonts w:cs="Arial"/>
          <w:sz w:val="13"/>
          <w:szCs w:val="13"/>
          <w:lang w:val="fr-BE" w:eastAsia="nl-BE"/>
        </w:rPr>
        <w:t>er</w:t>
      </w:r>
      <w:r w:rsidRPr="00AD7B1C">
        <w:rPr>
          <w:rFonts w:cs="Arial"/>
          <w:lang w:val="fr-BE" w:eastAsia="nl-BE"/>
        </w:rPr>
        <w:t>, du Code des sociétés.</w:t>
      </w:r>
    </w:p>
    <w:p w14:paraId="5E698DCA"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1271736D"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Ces mesures peuvent consister à :</w:t>
      </w:r>
    </w:p>
    <w:p w14:paraId="2565C56F"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1° prononcer pour une période d'un an au plus la suspension de l'exercice de tout ou partie des droits afférents aux titres concernés ;</w:t>
      </w:r>
    </w:p>
    <w:p w14:paraId="4C540CF0"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2° suspendre pendant la durée qu'il fixe, la tenue d'une assemblée générale déjà convoquée.</w:t>
      </w:r>
    </w:p>
    <w:p w14:paraId="4F813651"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3° ordonner sous son contrôle la vente des titres concernés à un tiers qui n'est pas lié à l'actionnaire actuel, dans un délai qu'il fixe et qui est renouvelable.</w:t>
      </w:r>
    </w:p>
    <w:p w14:paraId="2B0DA72E"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45D35CD0"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De plus, </w:t>
      </w:r>
      <w:r w:rsidR="00353A88">
        <w:rPr>
          <w:rFonts w:cs="Arial"/>
          <w:lang w:val="fr-BE" w:eastAsia="nl-BE"/>
        </w:rPr>
        <w:t>l’autorité compétente</w:t>
      </w:r>
      <w:r w:rsidRPr="00AD7B1C">
        <w:rPr>
          <w:rFonts w:cs="Arial"/>
          <w:lang w:val="fr-BE" w:eastAsia="nl-BE"/>
        </w:rPr>
        <w:t xml:space="preserve"> peut demander l'annulation de tout ou partie des délibérations d'assemblée générale tenue</w:t>
      </w:r>
      <w:r w:rsidR="00353A88">
        <w:rPr>
          <w:rFonts w:cs="Arial"/>
          <w:lang w:val="fr-BE" w:eastAsia="nl-BE"/>
        </w:rPr>
        <w:t xml:space="preserve"> après la date d’acquisition</w:t>
      </w:r>
      <w:r w:rsidRPr="00AD7B1C">
        <w:rPr>
          <w:rFonts w:cs="Arial"/>
          <w:lang w:val="fr-BE" w:eastAsia="nl-BE"/>
        </w:rPr>
        <w:t>.</w:t>
      </w:r>
    </w:p>
    <w:p w14:paraId="589C6DE1"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0430342C"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lastRenderedPageBreak/>
        <w:t xml:space="preserve">Par ailleurs, l'attention est attirée sur le fait que constitue une infraction pénale le fait pour un candidat </w:t>
      </w:r>
      <w:proofErr w:type="gramStart"/>
      <w:r w:rsidRPr="00AD7B1C">
        <w:rPr>
          <w:rFonts w:cs="Arial"/>
          <w:lang w:val="fr-BE" w:eastAsia="nl-BE"/>
        </w:rPr>
        <w:t xml:space="preserve">acquéreur </w:t>
      </w:r>
      <w:r w:rsidR="0051142C">
        <w:rPr>
          <w:rFonts w:cs="Arial"/>
          <w:lang w:val="fr-BE" w:eastAsia="nl-BE"/>
        </w:rPr>
        <w:t xml:space="preserve"> d’omettre</w:t>
      </w:r>
      <w:proofErr w:type="gramEnd"/>
      <w:r w:rsidRPr="00AD7B1C">
        <w:rPr>
          <w:rFonts w:cs="Arial"/>
          <w:lang w:val="fr-BE" w:eastAsia="nl-BE"/>
        </w:rPr>
        <w:t xml:space="preserve"> sciemment de procéder aux notifications légalement requises ou de passer outre à l'opposition de </w:t>
      </w:r>
      <w:r w:rsidR="00353A88">
        <w:rPr>
          <w:rFonts w:cs="Arial"/>
          <w:lang w:val="fr-BE" w:eastAsia="nl-BE"/>
        </w:rPr>
        <w:t>l’autorité compétente</w:t>
      </w:r>
      <w:r w:rsidRPr="00AD7B1C">
        <w:rPr>
          <w:rFonts w:cs="Arial"/>
          <w:lang w:val="fr-BE" w:eastAsia="nl-BE"/>
        </w:rPr>
        <w:t>.</w:t>
      </w:r>
      <w:r w:rsidR="0051142C">
        <w:rPr>
          <w:rFonts w:cs="Arial"/>
          <w:lang w:val="fr-BE" w:eastAsia="nl-BE"/>
        </w:rPr>
        <w:t xml:space="preserve"> </w:t>
      </w:r>
      <w:r w:rsidR="00A53F08">
        <w:rPr>
          <w:rFonts w:cs="Arial"/>
          <w:lang w:val="fr-BE" w:eastAsia="nl-BE"/>
        </w:rPr>
        <w:t xml:space="preserve"> </w:t>
      </w:r>
    </w:p>
    <w:p w14:paraId="7AB63114"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3A85CA72" w14:textId="77777777" w:rsidR="00CF44AF" w:rsidRPr="00AD7B1C" w:rsidRDefault="000D059B"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Lorsque les circonstances imposent que les termes et modalités de l'accord entre le cédant et l'acquéreur soient fixés par écrit sans attendre la notification de la décision de </w:t>
      </w:r>
      <w:r w:rsidR="00353A88">
        <w:rPr>
          <w:rFonts w:cs="Arial"/>
          <w:lang w:val="fr-BE" w:eastAsia="nl-BE"/>
        </w:rPr>
        <w:t>l’autorité compétente</w:t>
      </w:r>
      <w:r w:rsidRPr="00AD7B1C">
        <w:rPr>
          <w:rFonts w:cs="Arial"/>
          <w:lang w:val="fr-BE" w:eastAsia="nl-BE"/>
        </w:rPr>
        <w:t xml:space="preserve"> ou l'expiration de la période d'évaluation, il est vivement recommandé que cet accord soit assorti de la condition suspensive de l'absence d'objection de </w:t>
      </w:r>
      <w:r w:rsidR="00353A88">
        <w:rPr>
          <w:rFonts w:cs="Arial"/>
          <w:lang w:val="fr-BE" w:eastAsia="nl-BE"/>
        </w:rPr>
        <w:t>l’autorité compétente</w:t>
      </w:r>
      <w:r w:rsidRPr="00AD7B1C">
        <w:rPr>
          <w:rFonts w:cs="Arial"/>
          <w:lang w:val="fr-BE" w:eastAsia="nl-BE"/>
        </w:rPr>
        <w:t xml:space="preserve"> notifiée dans les délais fixés par la loi.</w:t>
      </w:r>
    </w:p>
    <w:p w14:paraId="39B44CC2"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54F1840B" w14:textId="77777777" w:rsidR="00CF44AF" w:rsidRPr="00AD7B1C" w:rsidRDefault="000D059B" w:rsidP="00BE3219">
      <w:pPr>
        <w:tabs>
          <w:tab w:val="clear" w:pos="284"/>
        </w:tabs>
        <w:autoSpaceDE w:val="0"/>
        <w:autoSpaceDN w:val="0"/>
        <w:adjustRightInd w:val="0"/>
        <w:spacing w:line="240" w:lineRule="auto"/>
        <w:jc w:val="both"/>
        <w:rPr>
          <w:rFonts w:cs="Arial"/>
          <w:u w:val="single"/>
          <w:lang w:val="fr-BE" w:eastAsia="nl-BE"/>
        </w:rPr>
      </w:pPr>
      <w:r w:rsidRPr="00AD7B1C">
        <w:rPr>
          <w:rFonts w:cs="Arial"/>
          <w:u w:val="single"/>
          <w:lang w:val="fr-BE" w:eastAsia="nl-BE"/>
        </w:rPr>
        <w:t xml:space="preserve">c) Recours à l’encontre d’une décision d’opposition de </w:t>
      </w:r>
      <w:r w:rsidR="00353A88">
        <w:rPr>
          <w:rFonts w:cs="Arial"/>
          <w:u w:val="single"/>
          <w:lang w:val="fr-BE" w:eastAsia="nl-BE"/>
        </w:rPr>
        <w:t>l’autorité compétente</w:t>
      </w:r>
    </w:p>
    <w:p w14:paraId="50638478" w14:textId="77777777" w:rsidR="000D059B" w:rsidRPr="00AD7B1C" w:rsidRDefault="000D059B" w:rsidP="00BE3219">
      <w:pPr>
        <w:tabs>
          <w:tab w:val="clear" w:pos="284"/>
        </w:tabs>
        <w:autoSpaceDE w:val="0"/>
        <w:autoSpaceDN w:val="0"/>
        <w:adjustRightInd w:val="0"/>
        <w:spacing w:line="240" w:lineRule="auto"/>
        <w:jc w:val="both"/>
        <w:rPr>
          <w:rFonts w:cs="Arial"/>
          <w:lang w:val="fr-BE" w:eastAsia="nl-BE"/>
        </w:rPr>
      </w:pPr>
    </w:p>
    <w:p w14:paraId="14DDCDB5" w14:textId="77777777" w:rsidR="00CF44AF" w:rsidRDefault="00A53F08"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Dans l’hypothèse où l’autorité compétente est la Banque nationale de Belgique, c</w:t>
      </w:r>
      <w:r w:rsidR="000D059B" w:rsidRPr="00AD7B1C">
        <w:rPr>
          <w:rFonts w:cs="Arial"/>
          <w:lang w:val="fr-BE" w:eastAsia="nl-BE"/>
        </w:rPr>
        <w:t>onformément à la loi du 22 février 1998 fixant le statut organique de la Banque, un recours auprès du Conseil d’Etat est ouvert aux demandeurs contre les décisions prises par la Banque</w:t>
      </w:r>
      <w:r>
        <w:rPr>
          <w:rFonts w:cs="Arial"/>
          <w:lang w:val="fr-BE" w:eastAsia="nl-BE"/>
        </w:rPr>
        <w:t xml:space="preserve"> nationale de Belgique</w:t>
      </w:r>
      <w:r w:rsidR="000D059B" w:rsidRPr="00AD7B1C">
        <w:rPr>
          <w:rFonts w:cs="Arial"/>
          <w:lang w:val="fr-BE" w:eastAsia="nl-BE"/>
        </w:rPr>
        <w:t xml:space="preserve"> en matière d’agrément en vertu de l’article 28 de </w:t>
      </w:r>
      <w:r w:rsidR="00FA2054" w:rsidRPr="00AD7B1C">
        <w:rPr>
          <w:rFonts w:cs="Arial"/>
          <w:lang w:val="fr-BE" w:eastAsia="nl-BE"/>
        </w:rPr>
        <w:t>cette</w:t>
      </w:r>
      <w:r w:rsidR="000D059B" w:rsidRPr="00AD7B1C">
        <w:rPr>
          <w:rFonts w:cs="Arial"/>
          <w:lang w:val="fr-BE" w:eastAsia="nl-BE"/>
        </w:rPr>
        <w:t xml:space="preserve"> loi.</w:t>
      </w:r>
    </w:p>
    <w:p w14:paraId="1C2951A1" w14:textId="77777777" w:rsidR="00A53F08" w:rsidRDefault="00A53F08" w:rsidP="00BE3219">
      <w:pPr>
        <w:tabs>
          <w:tab w:val="clear" w:pos="284"/>
        </w:tabs>
        <w:autoSpaceDE w:val="0"/>
        <w:autoSpaceDN w:val="0"/>
        <w:adjustRightInd w:val="0"/>
        <w:spacing w:line="240" w:lineRule="auto"/>
        <w:jc w:val="both"/>
        <w:rPr>
          <w:rFonts w:cs="Arial"/>
          <w:lang w:val="fr-BE" w:eastAsia="nl-BE"/>
        </w:rPr>
      </w:pPr>
    </w:p>
    <w:p w14:paraId="782D3BCA" w14:textId="77777777" w:rsidR="00A53F08" w:rsidRDefault="00A53F08"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Dans l’hypothèse où l’autorité compétente est la BCE</w:t>
      </w:r>
      <w:r w:rsidRPr="00AD7B1C">
        <w:rPr>
          <w:rFonts w:cs="Arial"/>
          <w:lang w:val="fr-BE" w:eastAsia="nl-BE"/>
        </w:rPr>
        <w:t xml:space="preserve">, </w:t>
      </w:r>
      <w:r>
        <w:rPr>
          <w:rFonts w:cs="Arial"/>
          <w:lang w:val="fr-BE" w:eastAsia="nl-BE"/>
        </w:rPr>
        <w:t xml:space="preserve">il y a lieu de se référer au cadre juridique qui lui est applicable. </w:t>
      </w:r>
    </w:p>
    <w:p w14:paraId="7A5BBE53" w14:textId="77777777" w:rsidR="008A477E" w:rsidRPr="00AD7B1C" w:rsidRDefault="008A477E" w:rsidP="00BE3219">
      <w:pPr>
        <w:tabs>
          <w:tab w:val="clear" w:pos="284"/>
        </w:tabs>
        <w:autoSpaceDE w:val="0"/>
        <w:autoSpaceDN w:val="0"/>
        <w:adjustRightInd w:val="0"/>
        <w:spacing w:line="240" w:lineRule="auto"/>
        <w:jc w:val="both"/>
        <w:rPr>
          <w:rFonts w:cs="Arial"/>
          <w:lang w:val="fr-BE" w:eastAsia="nl-BE"/>
        </w:rPr>
      </w:pPr>
    </w:p>
    <w:p w14:paraId="2CA15F6E" w14:textId="77777777" w:rsidR="00805A74" w:rsidRPr="00EA758B" w:rsidRDefault="00F80BF8" w:rsidP="00BE3219">
      <w:pPr>
        <w:tabs>
          <w:tab w:val="clear" w:pos="284"/>
        </w:tabs>
        <w:autoSpaceDE w:val="0"/>
        <w:autoSpaceDN w:val="0"/>
        <w:adjustRightInd w:val="0"/>
        <w:spacing w:line="240" w:lineRule="auto"/>
        <w:jc w:val="both"/>
        <w:rPr>
          <w:rFonts w:cs="Arial"/>
          <w:b/>
          <w:i/>
          <w:lang w:val="fr-BE" w:eastAsia="nl-BE"/>
        </w:rPr>
      </w:pPr>
      <w:r w:rsidRPr="00EA758B">
        <w:rPr>
          <w:rFonts w:cs="Arial"/>
          <w:b/>
          <w:i/>
          <w:lang w:val="fr-BE" w:eastAsia="nl-BE"/>
        </w:rPr>
        <w:t>5.2</w:t>
      </w:r>
      <w:r w:rsidR="00805A74" w:rsidRPr="00EA758B">
        <w:rPr>
          <w:rFonts w:cs="Arial"/>
          <w:b/>
          <w:i/>
          <w:lang w:val="fr-BE" w:eastAsia="nl-BE"/>
        </w:rPr>
        <w:t xml:space="preserve">. </w:t>
      </w:r>
      <w:r w:rsidR="0077670A" w:rsidRPr="00EA758B">
        <w:rPr>
          <w:rFonts w:cs="Arial"/>
          <w:b/>
          <w:i/>
          <w:lang w:val="fr-BE" w:eastAsia="nl-BE"/>
        </w:rPr>
        <w:t>Notification préalable en cas de c</w:t>
      </w:r>
      <w:r w:rsidR="00805A74" w:rsidRPr="00EA758B">
        <w:rPr>
          <w:rFonts w:cs="Arial"/>
          <w:b/>
          <w:i/>
          <w:lang w:val="fr-BE" w:eastAsia="nl-BE"/>
        </w:rPr>
        <w:t xml:space="preserve">ession ou de réduction d’une participation qualifiée </w:t>
      </w:r>
    </w:p>
    <w:p w14:paraId="45D6BA61" w14:textId="77777777" w:rsidR="00805A74" w:rsidRDefault="00805A74" w:rsidP="00BE3219">
      <w:pPr>
        <w:tabs>
          <w:tab w:val="clear" w:pos="284"/>
        </w:tabs>
        <w:autoSpaceDE w:val="0"/>
        <w:autoSpaceDN w:val="0"/>
        <w:adjustRightInd w:val="0"/>
        <w:spacing w:line="240" w:lineRule="auto"/>
        <w:jc w:val="both"/>
        <w:rPr>
          <w:rFonts w:cs="Arial"/>
          <w:lang w:val="fr-BE" w:eastAsia="nl-BE"/>
        </w:rPr>
      </w:pPr>
    </w:p>
    <w:p w14:paraId="59B8F6A6" w14:textId="77777777" w:rsidR="00A95E73" w:rsidRDefault="00F80BF8"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 xml:space="preserve">En cas de cession ou de réduction d’une participation qualifiée, </w:t>
      </w:r>
      <w:r w:rsidR="00A95E73" w:rsidRPr="008F70FE">
        <w:rPr>
          <w:rFonts w:cs="Arial"/>
          <w:lang w:val="fr-BE" w:eastAsia="nl-BE"/>
        </w:rPr>
        <w:t>l’actionnaire doit adresser à l’autorité compétente le formulaire D complété</w:t>
      </w:r>
      <w:r w:rsidR="00A95E73">
        <w:rPr>
          <w:rFonts w:cs="Arial"/>
          <w:lang w:val="fr-BE" w:eastAsia="nl-BE"/>
        </w:rPr>
        <w:t>.</w:t>
      </w:r>
    </w:p>
    <w:p w14:paraId="27DB2F39" w14:textId="77777777" w:rsidR="00A95E73" w:rsidRDefault="00A95E73" w:rsidP="00BE3219">
      <w:pPr>
        <w:tabs>
          <w:tab w:val="clear" w:pos="284"/>
        </w:tabs>
        <w:autoSpaceDE w:val="0"/>
        <w:autoSpaceDN w:val="0"/>
        <w:adjustRightInd w:val="0"/>
        <w:spacing w:line="240" w:lineRule="auto"/>
        <w:jc w:val="both"/>
        <w:rPr>
          <w:rFonts w:cs="Arial"/>
          <w:lang w:val="fr-BE" w:eastAsia="nl-BE"/>
        </w:rPr>
      </w:pPr>
    </w:p>
    <w:p w14:paraId="1EAF6D49" w14:textId="77777777" w:rsidR="00F80BF8" w:rsidRDefault="00A95E73" w:rsidP="00BE3219">
      <w:pPr>
        <w:tabs>
          <w:tab w:val="clear" w:pos="284"/>
        </w:tabs>
        <w:autoSpaceDE w:val="0"/>
        <w:autoSpaceDN w:val="0"/>
        <w:adjustRightInd w:val="0"/>
        <w:spacing w:line="240" w:lineRule="auto"/>
        <w:jc w:val="both"/>
        <w:rPr>
          <w:rFonts w:cs="Arial"/>
          <w:lang w:val="fr-BE" w:eastAsia="nl-BE"/>
        </w:rPr>
      </w:pPr>
      <w:r>
        <w:rPr>
          <w:rFonts w:cs="Arial"/>
          <w:lang w:val="fr-BE" w:eastAsia="nl-BE"/>
        </w:rPr>
        <w:t>Dans ce cas, il n’y a pas d’autorisation préalable de l’</w:t>
      </w:r>
      <w:r w:rsidR="00F80BF8">
        <w:rPr>
          <w:rFonts w:cs="Arial"/>
          <w:lang w:val="fr-BE" w:eastAsia="nl-BE"/>
        </w:rPr>
        <w:t>autorité compétente</w:t>
      </w:r>
      <w:r>
        <w:rPr>
          <w:rFonts w:cs="Arial"/>
          <w:lang w:val="fr-BE" w:eastAsia="nl-BE"/>
        </w:rPr>
        <w:t xml:space="preserve">.  Néanmoins, celle-ci peut </w:t>
      </w:r>
      <w:r w:rsidR="002E009D">
        <w:rPr>
          <w:rFonts w:cs="Arial"/>
          <w:lang w:val="fr-BE" w:eastAsia="nl-BE"/>
        </w:rPr>
        <w:t>vérifie</w:t>
      </w:r>
      <w:r>
        <w:rPr>
          <w:rFonts w:cs="Arial"/>
          <w:lang w:val="fr-BE" w:eastAsia="nl-BE"/>
        </w:rPr>
        <w:t>r</w:t>
      </w:r>
      <w:r w:rsidR="002E009D">
        <w:rPr>
          <w:rFonts w:cs="Arial"/>
          <w:lang w:val="fr-BE" w:eastAsia="nl-BE"/>
        </w:rPr>
        <w:t xml:space="preserve"> que cette opération ne remet pas en cause les conditions auxquelles est subordonné l’agrément.</w:t>
      </w:r>
      <w:r>
        <w:rPr>
          <w:rFonts w:cs="Arial"/>
          <w:lang w:val="fr-BE" w:eastAsia="nl-BE"/>
        </w:rPr>
        <w:t xml:space="preserve">   </w:t>
      </w:r>
    </w:p>
    <w:p w14:paraId="4B003940" w14:textId="77777777" w:rsidR="00F80BF8" w:rsidRDefault="00F80BF8" w:rsidP="00BE3219">
      <w:pPr>
        <w:tabs>
          <w:tab w:val="clear" w:pos="284"/>
        </w:tabs>
        <w:autoSpaceDE w:val="0"/>
        <w:autoSpaceDN w:val="0"/>
        <w:adjustRightInd w:val="0"/>
        <w:spacing w:line="240" w:lineRule="auto"/>
        <w:jc w:val="both"/>
        <w:rPr>
          <w:rFonts w:cs="Arial"/>
          <w:lang w:val="fr-BE" w:eastAsia="nl-BE"/>
        </w:rPr>
      </w:pPr>
    </w:p>
    <w:p w14:paraId="62A11AC6" w14:textId="77777777" w:rsidR="00805A74" w:rsidRPr="00AD7B1C" w:rsidRDefault="00805A74" w:rsidP="00BE3219">
      <w:pPr>
        <w:tabs>
          <w:tab w:val="clear" w:pos="284"/>
        </w:tabs>
        <w:autoSpaceDE w:val="0"/>
        <w:autoSpaceDN w:val="0"/>
        <w:adjustRightInd w:val="0"/>
        <w:spacing w:line="240" w:lineRule="auto"/>
        <w:jc w:val="both"/>
        <w:rPr>
          <w:rFonts w:cs="Arial"/>
          <w:lang w:val="fr-BE" w:eastAsia="nl-BE"/>
        </w:rPr>
      </w:pPr>
    </w:p>
    <w:p w14:paraId="598D058E" w14:textId="77777777" w:rsidR="003E36A8" w:rsidRPr="00256F87" w:rsidRDefault="002C2641" w:rsidP="00BE3219">
      <w:pPr>
        <w:tabs>
          <w:tab w:val="clear" w:pos="284"/>
        </w:tabs>
        <w:autoSpaceDE w:val="0"/>
        <w:autoSpaceDN w:val="0"/>
        <w:adjustRightInd w:val="0"/>
        <w:spacing w:line="240" w:lineRule="auto"/>
        <w:jc w:val="both"/>
        <w:rPr>
          <w:rFonts w:cs="Arial"/>
          <w:b/>
          <w:u w:val="single"/>
          <w:lang w:val="fr-BE" w:eastAsia="nl-BE"/>
        </w:rPr>
      </w:pPr>
      <w:r>
        <w:rPr>
          <w:rFonts w:cs="Arial"/>
          <w:b/>
          <w:u w:val="single"/>
          <w:lang w:val="fr-BE" w:eastAsia="nl-BE"/>
        </w:rPr>
        <w:t>6</w:t>
      </w:r>
      <w:r w:rsidR="008419D4" w:rsidRPr="00256F87">
        <w:rPr>
          <w:rFonts w:cs="Arial"/>
          <w:b/>
          <w:u w:val="single"/>
          <w:lang w:val="fr-BE" w:eastAsia="nl-BE"/>
        </w:rPr>
        <w:t xml:space="preserve">. Pouvoir de contrôle de </w:t>
      </w:r>
      <w:r w:rsidR="00353A88" w:rsidRPr="00256F87">
        <w:rPr>
          <w:rFonts w:cs="Arial"/>
          <w:b/>
          <w:u w:val="single"/>
          <w:lang w:val="fr-BE" w:eastAsia="nl-BE"/>
        </w:rPr>
        <w:t>l’autorité compétente</w:t>
      </w:r>
      <w:r w:rsidR="008419D4" w:rsidRPr="00256F87">
        <w:rPr>
          <w:rFonts w:cs="Arial"/>
          <w:b/>
          <w:u w:val="single"/>
          <w:lang w:val="fr-BE" w:eastAsia="nl-BE"/>
        </w:rPr>
        <w:t xml:space="preserve"> sur base continue</w:t>
      </w:r>
    </w:p>
    <w:p w14:paraId="121AFA72"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3006A36F" w14:textId="77777777" w:rsidR="008419D4" w:rsidRPr="00AD7B1C" w:rsidRDefault="00AE224C"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Outre les dispositions légales qui soumettent au contrôle de </w:t>
      </w:r>
      <w:r w:rsidR="00353A88">
        <w:rPr>
          <w:rFonts w:cs="Arial"/>
          <w:lang w:val="fr-BE" w:eastAsia="nl-BE"/>
        </w:rPr>
        <w:t>l’autorité compétente</w:t>
      </w:r>
      <w:r w:rsidRPr="00AD7B1C">
        <w:rPr>
          <w:rFonts w:cs="Arial"/>
          <w:lang w:val="fr-BE" w:eastAsia="nl-BE"/>
        </w:rPr>
        <w:t xml:space="preserve"> les projets d'acquisition, d'accroissement ou de cession totale ou partielle des participations qualifiées, les </w:t>
      </w:r>
      <w:r w:rsidR="00AD7B1C" w:rsidRPr="00AD7B1C">
        <w:rPr>
          <w:rFonts w:cs="Arial"/>
          <w:lang w:val="fr-BE" w:eastAsia="nl-BE"/>
        </w:rPr>
        <w:t>législations</w:t>
      </w:r>
      <w:r w:rsidRPr="00AD7B1C">
        <w:rPr>
          <w:rFonts w:cs="Arial"/>
          <w:lang w:val="fr-BE" w:eastAsia="nl-BE"/>
        </w:rPr>
        <w:t xml:space="preserve"> prudentielles confèrent également à </w:t>
      </w:r>
      <w:r w:rsidR="00353A88">
        <w:rPr>
          <w:rFonts w:cs="Arial"/>
          <w:lang w:val="fr-BE" w:eastAsia="nl-BE"/>
        </w:rPr>
        <w:t>l’autorité compétente</w:t>
      </w:r>
      <w:r w:rsidRPr="00AD7B1C">
        <w:rPr>
          <w:rFonts w:cs="Arial"/>
          <w:lang w:val="fr-BE" w:eastAsia="nl-BE"/>
        </w:rPr>
        <w:t xml:space="preserve"> des pouvoirs qu'elle peut mettre en </w:t>
      </w:r>
      <w:r w:rsidR="00AD7B1C" w:rsidRPr="00AD7B1C">
        <w:rPr>
          <w:rFonts w:cs="Arial"/>
          <w:lang w:val="fr-BE" w:eastAsia="nl-BE"/>
        </w:rPr>
        <w:t>œuvre</w:t>
      </w:r>
      <w:r w:rsidR="00AD7B1C">
        <w:rPr>
          <w:rFonts w:cs="Arial"/>
          <w:lang w:val="fr-BE" w:eastAsia="nl-BE"/>
        </w:rPr>
        <w:t xml:space="preserve"> </w:t>
      </w:r>
      <w:r w:rsidRPr="00AD7B1C">
        <w:rPr>
          <w:rFonts w:cs="Arial"/>
          <w:lang w:val="fr-BE" w:eastAsia="nl-BE"/>
        </w:rPr>
        <w:t>indépendamment de toute modification de l'actionnariat à l'encontre des actionnaires des</w:t>
      </w:r>
      <w:r w:rsidR="00AD7B1C">
        <w:rPr>
          <w:rFonts w:cs="Arial"/>
          <w:lang w:val="fr-BE" w:eastAsia="nl-BE"/>
        </w:rPr>
        <w:t xml:space="preserve"> </w:t>
      </w:r>
      <w:r w:rsidRPr="00AD7B1C">
        <w:rPr>
          <w:rFonts w:cs="Arial"/>
          <w:lang w:val="fr-BE" w:eastAsia="nl-BE"/>
        </w:rPr>
        <w:t>organismes financiers dont elle a des raisons de considérer qu'ils exercent une influence de nature à</w:t>
      </w:r>
      <w:r w:rsidR="00AD7B1C">
        <w:rPr>
          <w:rFonts w:cs="Arial"/>
          <w:lang w:val="fr-BE" w:eastAsia="nl-BE"/>
        </w:rPr>
        <w:t xml:space="preserve"> </w:t>
      </w:r>
      <w:r w:rsidRPr="00AD7B1C">
        <w:rPr>
          <w:rFonts w:cs="Arial"/>
          <w:lang w:val="fr-BE" w:eastAsia="nl-BE"/>
        </w:rPr>
        <w:t xml:space="preserve">compromettre la gestion de ces organismes.   </w:t>
      </w:r>
    </w:p>
    <w:p w14:paraId="09B89FC3" w14:textId="77777777" w:rsidR="00AE224C" w:rsidRPr="00AD7B1C" w:rsidRDefault="00AE224C" w:rsidP="00BE3219">
      <w:pPr>
        <w:tabs>
          <w:tab w:val="clear" w:pos="284"/>
        </w:tabs>
        <w:autoSpaceDE w:val="0"/>
        <w:autoSpaceDN w:val="0"/>
        <w:adjustRightInd w:val="0"/>
        <w:spacing w:line="240" w:lineRule="auto"/>
        <w:jc w:val="both"/>
        <w:rPr>
          <w:rFonts w:cs="Arial"/>
          <w:lang w:val="fr-BE" w:eastAsia="nl-BE"/>
        </w:rPr>
      </w:pPr>
    </w:p>
    <w:p w14:paraId="0AD5A56E" w14:textId="77777777" w:rsidR="00B6688B" w:rsidRPr="00256F87" w:rsidRDefault="00AE224C" w:rsidP="00BE3219">
      <w:pPr>
        <w:jc w:val="both"/>
        <w:rPr>
          <w:lang w:val="fr-BE"/>
        </w:rPr>
      </w:pPr>
      <w:r w:rsidRPr="00256F87">
        <w:rPr>
          <w:rFonts w:cs="Arial"/>
          <w:lang w:val="fr-BE" w:eastAsia="nl-BE"/>
        </w:rPr>
        <w:t>A</w:t>
      </w:r>
      <w:r w:rsidR="00B6688B" w:rsidRPr="00256F87">
        <w:rPr>
          <w:rFonts w:cs="Arial"/>
          <w:lang w:val="fr-BE" w:eastAsia="nl-BE"/>
        </w:rPr>
        <w:t>fin de pouvoir réaliser ce contrôle sur base continu</w:t>
      </w:r>
      <w:r w:rsidR="008A477E">
        <w:rPr>
          <w:rFonts w:cs="Arial"/>
          <w:lang w:val="fr-BE" w:eastAsia="nl-BE"/>
        </w:rPr>
        <w:t xml:space="preserve"> des actionnaires</w:t>
      </w:r>
      <w:r w:rsidR="00B6688B" w:rsidRPr="00256F87">
        <w:rPr>
          <w:rFonts w:cs="Arial"/>
          <w:lang w:val="fr-BE" w:eastAsia="nl-BE"/>
        </w:rPr>
        <w:t xml:space="preserve">, les nouveaux éléments pouvant avoir un impact </w:t>
      </w:r>
      <w:r w:rsidR="003A13C5" w:rsidRPr="00256F87">
        <w:rPr>
          <w:rFonts w:cs="Arial"/>
          <w:lang w:val="fr-BE" w:eastAsia="nl-BE"/>
        </w:rPr>
        <w:t xml:space="preserve">matériel </w:t>
      </w:r>
      <w:r w:rsidR="00B6688B" w:rsidRPr="00256F87">
        <w:rPr>
          <w:rFonts w:cs="Arial"/>
          <w:lang w:val="fr-BE" w:eastAsia="nl-BE"/>
        </w:rPr>
        <w:t xml:space="preserve">sur </w:t>
      </w:r>
      <w:r w:rsidR="00B6688B" w:rsidRPr="00256F87">
        <w:rPr>
          <w:lang w:val="fr-BE"/>
        </w:rPr>
        <w:t xml:space="preserve">l’évaluation par </w:t>
      </w:r>
      <w:r w:rsidR="00353A88" w:rsidRPr="00256F87">
        <w:rPr>
          <w:lang w:val="fr-BE"/>
        </w:rPr>
        <w:t>l’autorité compétente</w:t>
      </w:r>
      <w:r w:rsidR="00B6688B" w:rsidRPr="00256F87">
        <w:rPr>
          <w:lang w:val="fr-BE"/>
        </w:rPr>
        <w:t xml:space="preserve"> des 5 critères explicités au point 2.3. </w:t>
      </w:r>
      <w:proofErr w:type="gramStart"/>
      <w:r w:rsidR="00B6688B" w:rsidRPr="00256F87">
        <w:rPr>
          <w:lang w:val="fr-BE"/>
        </w:rPr>
        <w:t>ci</w:t>
      </w:r>
      <w:proofErr w:type="gramEnd"/>
      <w:r w:rsidR="00B6688B" w:rsidRPr="00256F87">
        <w:rPr>
          <w:lang w:val="fr-BE"/>
        </w:rPr>
        <w:t xml:space="preserve">-dessus doivent être communiqués sans tarder à </w:t>
      </w:r>
      <w:r w:rsidR="00353A88" w:rsidRPr="00256F87">
        <w:rPr>
          <w:lang w:val="fr-BE"/>
        </w:rPr>
        <w:t>l’autorité compétente</w:t>
      </w:r>
      <w:r w:rsidR="00B6688B" w:rsidRPr="00256F87">
        <w:rPr>
          <w:lang w:val="fr-BE"/>
        </w:rPr>
        <w:t xml:space="preserve">. </w:t>
      </w:r>
    </w:p>
    <w:p w14:paraId="4138192B" w14:textId="77777777" w:rsidR="00B6688B" w:rsidRPr="00256F87" w:rsidRDefault="00B6688B" w:rsidP="00BE3219">
      <w:pPr>
        <w:jc w:val="both"/>
        <w:rPr>
          <w:lang w:val="fr-BE"/>
        </w:rPr>
      </w:pPr>
    </w:p>
    <w:p w14:paraId="202A66E8" w14:textId="77777777" w:rsidR="00B6688B" w:rsidRDefault="00B6688B" w:rsidP="00BE3219">
      <w:pPr>
        <w:jc w:val="both"/>
        <w:rPr>
          <w:lang w:val="fr-BE"/>
        </w:rPr>
      </w:pPr>
      <w:r w:rsidRPr="00256F87">
        <w:rPr>
          <w:lang w:val="fr-BE"/>
        </w:rPr>
        <w:t xml:space="preserve">A cet effet, </w:t>
      </w:r>
      <w:r w:rsidR="00353A88" w:rsidRPr="00256F87">
        <w:rPr>
          <w:lang w:val="fr-BE"/>
        </w:rPr>
        <w:t>l’autorité compétente</w:t>
      </w:r>
      <w:r w:rsidRPr="00256F87">
        <w:rPr>
          <w:lang w:val="fr-BE"/>
        </w:rPr>
        <w:t xml:space="preserve"> met à disposition</w:t>
      </w:r>
      <w:r w:rsidR="008A477E">
        <w:rPr>
          <w:lang w:val="fr-BE"/>
        </w:rPr>
        <w:t xml:space="preserve"> des actionnaires (personnes physiques ou morales</w:t>
      </w:r>
      <w:r w:rsidR="00082177">
        <w:rPr>
          <w:lang w:val="fr-BE"/>
        </w:rPr>
        <w:t xml:space="preserve">, directs ou </w:t>
      </w:r>
      <w:proofErr w:type="gramStart"/>
      <w:r w:rsidR="00082177">
        <w:rPr>
          <w:lang w:val="fr-BE"/>
        </w:rPr>
        <w:t>indirects</w:t>
      </w:r>
      <w:r w:rsidR="008A477E">
        <w:rPr>
          <w:lang w:val="fr-BE"/>
        </w:rPr>
        <w:t>)  détenant</w:t>
      </w:r>
      <w:proofErr w:type="gramEnd"/>
      <w:r w:rsidR="008A477E">
        <w:rPr>
          <w:lang w:val="fr-BE"/>
        </w:rPr>
        <w:t xml:space="preserve"> une participation qualifiée dans un org</w:t>
      </w:r>
      <w:r w:rsidR="00F579F5">
        <w:rPr>
          <w:lang w:val="fr-BE"/>
        </w:rPr>
        <w:t>a</w:t>
      </w:r>
      <w:r w:rsidR="008A477E">
        <w:rPr>
          <w:lang w:val="fr-BE"/>
        </w:rPr>
        <w:t xml:space="preserve">nisme financier </w:t>
      </w:r>
      <w:r w:rsidR="00F579F5">
        <w:rPr>
          <w:lang w:val="fr-BE"/>
        </w:rPr>
        <w:t xml:space="preserve">visé par la présente </w:t>
      </w:r>
      <w:r w:rsidR="0042555A">
        <w:rPr>
          <w:lang w:val="fr-BE"/>
        </w:rPr>
        <w:t>communication</w:t>
      </w:r>
      <w:r w:rsidR="0042555A" w:rsidRPr="00256F87">
        <w:rPr>
          <w:lang w:val="fr-BE"/>
        </w:rPr>
        <w:t xml:space="preserve"> </w:t>
      </w:r>
      <w:r w:rsidR="00F579F5">
        <w:rPr>
          <w:lang w:val="fr-BE"/>
        </w:rPr>
        <w:t>le</w:t>
      </w:r>
      <w:r w:rsidR="00F579F5" w:rsidRPr="00256F87">
        <w:rPr>
          <w:lang w:val="fr-BE"/>
        </w:rPr>
        <w:t xml:space="preserve"> </w:t>
      </w:r>
      <w:r w:rsidRPr="00256F87">
        <w:rPr>
          <w:lang w:val="fr-BE"/>
        </w:rPr>
        <w:t xml:space="preserve">formulaire standard </w:t>
      </w:r>
      <w:r w:rsidR="00F579F5">
        <w:rPr>
          <w:lang w:val="fr-BE"/>
        </w:rPr>
        <w:t xml:space="preserve">F ci-joint </w:t>
      </w:r>
      <w:r w:rsidRPr="00256F87">
        <w:rPr>
          <w:lang w:val="fr-BE"/>
        </w:rPr>
        <w:t>pour la notification de ces éléments.</w:t>
      </w:r>
      <w:r w:rsidRPr="00AD7B1C">
        <w:rPr>
          <w:lang w:val="fr-BE"/>
        </w:rPr>
        <w:t xml:space="preserve">  </w:t>
      </w:r>
    </w:p>
    <w:p w14:paraId="15BA956B" w14:textId="77777777" w:rsidR="00F579F5" w:rsidRDefault="00F579F5" w:rsidP="00BE3219">
      <w:pPr>
        <w:jc w:val="both"/>
        <w:rPr>
          <w:lang w:val="fr-BE"/>
        </w:rPr>
      </w:pPr>
    </w:p>
    <w:p w14:paraId="3202FA1F" w14:textId="77777777" w:rsidR="00F579F5" w:rsidRDefault="00F579F5" w:rsidP="00BE3219">
      <w:pPr>
        <w:jc w:val="both"/>
        <w:rPr>
          <w:lang w:val="fr-BE"/>
        </w:rPr>
      </w:pPr>
      <w:r>
        <w:rPr>
          <w:lang w:val="fr-BE"/>
        </w:rPr>
        <w:t xml:space="preserve">Dès que l’autorité compétente a connaissance d’éléments qui soulèvent des doutes quant à l’aptitude des actionnaires à respecter les critères repris au point </w:t>
      </w:r>
      <w:r w:rsidR="00B440DB">
        <w:rPr>
          <w:lang w:val="fr-BE"/>
        </w:rPr>
        <w:t>5.1.2.</w:t>
      </w:r>
      <w:r>
        <w:rPr>
          <w:lang w:val="fr-BE"/>
        </w:rPr>
        <w:t xml:space="preserve"> </w:t>
      </w:r>
      <w:proofErr w:type="gramStart"/>
      <w:r>
        <w:rPr>
          <w:lang w:val="fr-BE"/>
        </w:rPr>
        <w:t>ci</w:t>
      </w:r>
      <w:proofErr w:type="gramEnd"/>
      <w:r>
        <w:rPr>
          <w:lang w:val="fr-BE"/>
        </w:rPr>
        <w:t>-dessus, elle procèdera immédiatement à un examen plus approfondi et, au besoin</w:t>
      </w:r>
      <w:r w:rsidR="00082177">
        <w:rPr>
          <w:lang w:val="fr-BE"/>
        </w:rPr>
        <w:t>,</w:t>
      </w:r>
      <w:r>
        <w:rPr>
          <w:lang w:val="fr-BE"/>
        </w:rPr>
        <w:t xml:space="preserve"> à une nouvelle </w:t>
      </w:r>
      <w:proofErr w:type="spellStart"/>
      <w:r>
        <w:rPr>
          <w:lang w:val="fr-BE"/>
        </w:rPr>
        <w:t>évauluation</w:t>
      </w:r>
      <w:proofErr w:type="spellEnd"/>
      <w:r>
        <w:rPr>
          <w:lang w:val="fr-BE"/>
        </w:rPr>
        <w:t>.</w:t>
      </w:r>
    </w:p>
    <w:p w14:paraId="37423F58" w14:textId="77777777" w:rsidR="00F579F5" w:rsidRDefault="00F579F5" w:rsidP="00BE3219">
      <w:pPr>
        <w:jc w:val="both"/>
        <w:rPr>
          <w:lang w:val="fr-BE"/>
        </w:rPr>
      </w:pPr>
    </w:p>
    <w:p w14:paraId="0384E2C5" w14:textId="77777777" w:rsidR="00F579F5" w:rsidRPr="00AD7B1C" w:rsidRDefault="00F579F5" w:rsidP="00BE3219">
      <w:pPr>
        <w:jc w:val="both"/>
        <w:rPr>
          <w:lang w:val="fr-BE"/>
        </w:rPr>
      </w:pPr>
      <w:r>
        <w:rPr>
          <w:lang w:val="fr-BE"/>
        </w:rPr>
        <w:t xml:space="preserve">Si, sur base de cet examen, l’autorité de contrôle considère que </w:t>
      </w:r>
      <w:r w:rsidR="00082177">
        <w:rPr>
          <w:lang w:val="fr-BE"/>
        </w:rPr>
        <w:t xml:space="preserve">l’influence exercé par cet </w:t>
      </w:r>
      <w:r>
        <w:rPr>
          <w:lang w:val="fr-BE"/>
        </w:rPr>
        <w:t xml:space="preserve">actionnaire en question </w:t>
      </w:r>
      <w:r w:rsidR="00082177">
        <w:rPr>
          <w:lang w:val="fr-BE"/>
        </w:rPr>
        <w:t>est de nature à comprom</w:t>
      </w:r>
      <w:r w:rsidR="00EA758B">
        <w:rPr>
          <w:lang w:val="fr-BE"/>
        </w:rPr>
        <w:t>ettre la gestion saine et pruden</w:t>
      </w:r>
      <w:r w:rsidR="00082177">
        <w:rPr>
          <w:lang w:val="fr-BE"/>
        </w:rPr>
        <w:t>te de l’</w:t>
      </w:r>
      <w:proofErr w:type="spellStart"/>
      <w:r w:rsidR="00082177">
        <w:rPr>
          <w:lang w:val="fr-BE"/>
        </w:rPr>
        <w:t>oragnisme</w:t>
      </w:r>
      <w:proofErr w:type="spellEnd"/>
      <w:r w:rsidR="00082177">
        <w:rPr>
          <w:lang w:val="fr-BE"/>
        </w:rPr>
        <w:t xml:space="preserve"> financier concerné, l’autorité de contrôle peut prendre les mesures prudentielles prévues dans les lois de contrôle, à savoir (i) la suspension de l’exercice des droits de vote attachés aux actions ou aux parts détenues par l’actionnaire en question ou (ii) l’injonction de céder dans un délai fixé les droits d’</w:t>
      </w:r>
      <w:r w:rsidR="005A39E1">
        <w:rPr>
          <w:lang w:val="fr-BE"/>
        </w:rPr>
        <w:t>associé</w:t>
      </w:r>
      <w:r w:rsidR="00082177">
        <w:rPr>
          <w:lang w:val="fr-BE"/>
        </w:rPr>
        <w:t xml:space="preserve"> qu’il détient.</w:t>
      </w:r>
    </w:p>
    <w:p w14:paraId="1BFC6434"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3C9CE10E" w14:textId="77777777" w:rsidR="00BE3219" w:rsidRDefault="00BE3219">
      <w:pPr>
        <w:tabs>
          <w:tab w:val="clear" w:pos="284"/>
        </w:tabs>
        <w:spacing w:line="240" w:lineRule="auto"/>
        <w:rPr>
          <w:rFonts w:cs="Arial"/>
          <w:b/>
          <w:bCs/>
          <w:u w:val="single"/>
          <w:lang w:val="fr-BE" w:eastAsia="nl-BE"/>
        </w:rPr>
      </w:pPr>
    </w:p>
    <w:p w14:paraId="69729878" w14:textId="77777777" w:rsidR="00A924BB" w:rsidRDefault="00A924BB">
      <w:pPr>
        <w:tabs>
          <w:tab w:val="clear" w:pos="284"/>
        </w:tabs>
        <w:spacing w:line="240" w:lineRule="auto"/>
        <w:rPr>
          <w:rFonts w:cs="Arial"/>
          <w:b/>
          <w:bCs/>
          <w:u w:val="single"/>
          <w:lang w:val="fr-BE" w:eastAsia="nl-BE"/>
        </w:rPr>
      </w:pPr>
      <w:r>
        <w:rPr>
          <w:rFonts w:cs="Arial"/>
          <w:b/>
          <w:bCs/>
          <w:u w:val="single"/>
          <w:lang w:val="fr-BE" w:eastAsia="nl-BE"/>
        </w:rPr>
        <w:br w:type="page"/>
      </w:r>
    </w:p>
    <w:p w14:paraId="6C50313F" w14:textId="77777777" w:rsidR="00C004A7" w:rsidRPr="00256F87" w:rsidRDefault="002C2641" w:rsidP="00BE3219">
      <w:pPr>
        <w:tabs>
          <w:tab w:val="clear" w:pos="284"/>
        </w:tabs>
        <w:autoSpaceDE w:val="0"/>
        <w:autoSpaceDN w:val="0"/>
        <w:adjustRightInd w:val="0"/>
        <w:spacing w:line="240" w:lineRule="auto"/>
        <w:jc w:val="both"/>
        <w:rPr>
          <w:rFonts w:cs="Arial"/>
          <w:b/>
          <w:bCs/>
          <w:u w:val="single"/>
          <w:lang w:val="fr-BE" w:eastAsia="nl-BE"/>
        </w:rPr>
      </w:pPr>
      <w:r>
        <w:rPr>
          <w:rFonts w:cs="Arial"/>
          <w:b/>
          <w:bCs/>
          <w:u w:val="single"/>
          <w:lang w:val="fr-BE" w:eastAsia="nl-BE"/>
        </w:rPr>
        <w:lastRenderedPageBreak/>
        <w:t>7</w:t>
      </w:r>
      <w:r w:rsidR="00C004A7" w:rsidRPr="00256F87">
        <w:rPr>
          <w:rFonts w:cs="Arial"/>
          <w:b/>
          <w:bCs/>
          <w:u w:val="single"/>
          <w:lang w:val="fr-BE" w:eastAsia="nl-BE"/>
        </w:rPr>
        <w:t>. Entrée en vigueur</w:t>
      </w:r>
    </w:p>
    <w:p w14:paraId="5B7E2F2D" w14:textId="77777777" w:rsidR="008419D4" w:rsidRPr="00AD7B1C" w:rsidRDefault="008419D4" w:rsidP="00BE3219">
      <w:pPr>
        <w:tabs>
          <w:tab w:val="clear" w:pos="284"/>
        </w:tabs>
        <w:autoSpaceDE w:val="0"/>
        <w:autoSpaceDN w:val="0"/>
        <w:adjustRightInd w:val="0"/>
        <w:spacing w:line="240" w:lineRule="auto"/>
        <w:jc w:val="both"/>
        <w:rPr>
          <w:rFonts w:cs="Arial"/>
          <w:b/>
          <w:bCs/>
          <w:lang w:val="fr-BE" w:eastAsia="nl-BE"/>
        </w:rPr>
      </w:pPr>
    </w:p>
    <w:p w14:paraId="12E4C3C4" w14:textId="77777777" w:rsidR="004E7F0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L</w:t>
      </w:r>
      <w:r w:rsidR="004E7F07" w:rsidRPr="00AD7B1C">
        <w:rPr>
          <w:rFonts w:cs="Arial"/>
          <w:lang w:val="fr-BE" w:eastAsia="nl-BE"/>
        </w:rPr>
        <w:t xml:space="preserve">a présente </w:t>
      </w:r>
      <w:proofErr w:type="gramStart"/>
      <w:r w:rsidR="004E7F07" w:rsidRPr="00AD7B1C">
        <w:rPr>
          <w:rFonts w:cs="Arial"/>
          <w:lang w:val="fr-BE" w:eastAsia="nl-BE"/>
        </w:rPr>
        <w:t xml:space="preserve">communication </w:t>
      </w:r>
      <w:r w:rsidR="009940DB">
        <w:rPr>
          <w:rFonts w:cs="Arial"/>
          <w:lang w:val="fr-BE" w:eastAsia="nl-BE"/>
        </w:rPr>
        <w:t xml:space="preserve"> </w:t>
      </w:r>
      <w:r w:rsidR="004E7F07" w:rsidRPr="00AD7B1C">
        <w:rPr>
          <w:rFonts w:cs="Arial"/>
          <w:lang w:val="fr-BE" w:eastAsia="nl-BE"/>
        </w:rPr>
        <w:t>s’applique</w:t>
      </w:r>
      <w:proofErr w:type="gramEnd"/>
      <w:r w:rsidR="004E7F07" w:rsidRPr="00AD7B1C">
        <w:rPr>
          <w:rFonts w:cs="Arial"/>
          <w:lang w:val="fr-BE" w:eastAsia="nl-BE"/>
        </w:rPr>
        <w:t xml:space="preserve"> à partir du 1er octobre 2017</w:t>
      </w:r>
      <w:r w:rsidR="009940DB">
        <w:rPr>
          <w:rFonts w:cs="Arial"/>
          <w:lang w:val="fr-BE" w:eastAsia="nl-BE"/>
        </w:rPr>
        <w:t xml:space="preserve"> (date d’entrée en </w:t>
      </w:r>
      <w:proofErr w:type="spellStart"/>
      <w:r w:rsidR="009940DB">
        <w:rPr>
          <w:rFonts w:cs="Arial"/>
          <w:lang w:val="fr-BE" w:eastAsia="nl-BE"/>
        </w:rPr>
        <w:t>vigeur</w:t>
      </w:r>
      <w:proofErr w:type="spellEnd"/>
      <w:r w:rsidR="009940DB">
        <w:rPr>
          <w:rFonts w:cs="Arial"/>
          <w:lang w:val="fr-BE" w:eastAsia="nl-BE"/>
        </w:rPr>
        <w:t xml:space="preserve"> des </w:t>
      </w:r>
      <w:r w:rsidR="009940DB" w:rsidRPr="00AD7B1C">
        <w:rPr>
          <w:rFonts w:cs="Arial"/>
          <w:lang w:val="fr-BE" w:eastAsia="nl-BE"/>
        </w:rPr>
        <w:t>orientations communes des AES</w:t>
      </w:r>
      <w:r w:rsidR="009940DB">
        <w:rPr>
          <w:rFonts w:cs="Arial"/>
          <w:lang w:val="fr-BE" w:eastAsia="nl-BE"/>
        </w:rPr>
        <w:t>)</w:t>
      </w:r>
      <w:r w:rsidR="004E7F07" w:rsidRPr="00AD7B1C">
        <w:rPr>
          <w:rFonts w:cs="Arial"/>
          <w:lang w:val="fr-BE" w:eastAsia="nl-BE"/>
        </w:rPr>
        <w:t xml:space="preserve">. </w:t>
      </w:r>
      <w:r w:rsidR="001A107D" w:rsidRPr="00AD7B1C">
        <w:rPr>
          <w:rFonts w:cs="Arial"/>
          <w:lang w:val="fr-BE" w:eastAsia="nl-BE"/>
        </w:rPr>
        <w:t>A</w:t>
      </w:r>
      <w:r w:rsidR="004E7F07" w:rsidRPr="00AD7B1C">
        <w:rPr>
          <w:rFonts w:cs="Arial"/>
          <w:lang w:val="fr-BE" w:eastAsia="nl-BE"/>
        </w:rPr>
        <w:t xml:space="preserve"> compter du 1er octobre 2017</w:t>
      </w:r>
      <w:r w:rsidR="001A107D" w:rsidRPr="00AD7B1C">
        <w:rPr>
          <w:rFonts w:cs="Arial"/>
          <w:lang w:val="fr-BE" w:eastAsia="nl-BE"/>
        </w:rPr>
        <w:t>,</w:t>
      </w:r>
      <w:r w:rsidR="004E7F07" w:rsidRPr="00AD7B1C">
        <w:rPr>
          <w:rFonts w:cs="Arial"/>
          <w:lang w:val="fr-BE" w:eastAsia="nl-BE"/>
        </w:rPr>
        <w:t xml:space="preserve"> la communication CBFA_2009-31 du 18 novembre 2009 sur l’acquisition, l’accroissement, la </w:t>
      </w:r>
      <w:r w:rsidR="00AD7B1C" w:rsidRPr="00AD7B1C">
        <w:rPr>
          <w:rFonts w:cs="Arial"/>
          <w:lang w:val="fr-BE" w:eastAsia="nl-BE"/>
        </w:rPr>
        <w:t>réduction</w:t>
      </w:r>
      <w:r w:rsidR="004E7F07" w:rsidRPr="00AD7B1C">
        <w:rPr>
          <w:rFonts w:cs="Arial"/>
          <w:lang w:val="fr-BE" w:eastAsia="nl-BE"/>
        </w:rPr>
        <w:t xml:space="preserve"> ou la cession d’une participation qualifiée dans le capital d’organismes financiers </w:t>
      </w:r>
      <w:r w:rsidR="001A107D" w:rsidRPr="00AD7B1C">
        <w:rPr>
          <w:rFonts w:cs="Arial"/>
          <w:lang w:val="fr-BE" w:eastAsia="nl-BE"/>
        </w:rPr>
        <w:t>et</w:t>
      </w:r>
      <w:r w:rsidR="004E7F07" w:rsidRPr="00AD7B1C">
        <w:rPr>
          <w:rFonts w:cs="Arial"/>
          <w:lang w:val="fr-BE" w:eastAsia="nl-BE"/>
        </w:rPr>
        <w:t xml:space="preserve"> les orientations communes que les autorités européennes de surveillance de l’époque (CEBS, CESR et CEIOPS) avaient publiées en 2008</w:t>
      </w:r>
      <w:r w:rsidR="001A107D" w:rsidRPr="00AD7B1C">
        <w:rPr>
          <w:rFonts w:cs="Arial"/>
          <w:lang w:val="fr-BE" w:eastAsia="nl-BE"/>
        </w:rPr>
        <w:t xml:space="preserve"> sont abrogées.</w:t>
      </w:r>
    </w:p>
    <w:p w14:paraId="6D36F7B0"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70C911B2"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 xml:space="preserve">Nous vous prions d’agréer, Madame, Monsieur, nos </w:t>
      </w:r>
      <w:r w:rsidR="007C07C1">
        <w:rPr>
          <w:rFonts w:cs="Arial"/>
          <w:lang w:val="fr-BE" w:eastAsia="nl-BE"/>
        </w:rPr>
        <w:t>salutations</w:t>
      </w:r>
      <w:r w:rsidRPr="00AD7B1C">
        <w:rPr>
          <w:rFonts w:cs="Arial"/>
          <w:lang w:val="fr-BE" w:eastAsia="nl-BE"/>
        </w:rPr>
        <w:t xml:space="preserve"> distingué</w:t>
      </w:r>
      <w:r w:rsidR="007C07C1">
        <w:rPr>
          <w:rFonts w:cs="Arial"/>
          <w:lang w:val="fr-BE" w:eastAsia="nl-BE"/>
        </w:rPr>
        <w:t>e</w:t>
      </w:r>
      <w:r w:rsidRPr="00AD7B1C">
        <w:rPr>
          <w:rFonts w:cs="Arial"/>
          <w:lang w:val="fr-BE" w:eastAsia="nl-BE"/>
        </w:rPr>
        <w:t>s.</w:t>
      </w:r>
    </w:p>
    <w:p w14:paraId="6CB8D61E"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09FB31DD"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04B4B398"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235A8C90"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63CF2895"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1D54C5C8" w14:textId="77777777" w:rsidR="008419D4" w:rsidRPr="00AD7B1C" w:rsidRDefault="008419D4" w:rsidP="00BE3219">
      <w:pPr>
        <w:tabs>
          <w:tab w:val="clear" w:pos="284"/>
        </w:tabs>
        <w:autoSpaceDE w:val="0"/>
        <w:autoSpaceDN w:val="0"/>
        <w:adjustRightInd w:val="0"/>
        <w:spacing w:line="240" w:lineRule="auto"/>
        <w:jc w:val="both"/>
        <w:rPr>
          <w:rFonts w:cs="Arial"/>
          <w:lang w:val="fr-BE" w:eastAsia="nl-BE"/>
        </w:rPr>
      </w:pPr>
    </w:p>
    <w:p w14:paraId="5834417A"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Jan Smets</w:t>
      </w:r>
    </w:p>
    <w:p w14:paraId="67C0CB85" w14:textId="77777777" w:rsidR="00C004A7" w:rsidRPr="00AD7B1C" w:rsidRDefault="00C004A7" w:rsidP="00BE3219">
      <w:pPr>
        <w:tabs>
          <w:tab w:val="clear" w:pos="284"/>
        </w:tabs>
        <w:autoSpaceDE w:val="0"/>
        <w:autoSpaceDN w:val="0"/>
        <w:adjustRightInd w:val="0"/>
        <w:spacing w:line="240" w:lineRule="auto"/>
        <w:jc w:val="both"/>
        <w:rPr>
          <w:rFonts w:cs="Arial"/>
          <w:lang w:val="fr-BE" w:eastAsia="nl-BE"/>
        </w:rPr>
      </w:pPr>
      <w:r w:rsidRPr="00AD7B1C">
        <w:rPr>
          <w:rFonts w:cs="Arial"/>
          <w:lang w:val="fr-BE" w:eastAsia="nl-BE"/>
        </w:rPr>
        <w:t>Gouverneur</w:t>
      </w:r>
    </w:p>
    <w:p w14:paraId="6A4CA43A" w14:textId="77777777" w:rsidR="008419D4" w:rsidRPr="00AD7B1C" w:rsidRDefault="008419D4" w:rsidP="00BE3219">
      <w:pPr>
        <w:tabs>
          <w:tab w:val="clear" w:pos="284"/>
        </w:tabs>
        <w:autoSpaceDE w:val="0"/>
        <w:autoSpaceDN w:val="0"/>
        <w:adjustRightInd w:val="0"/>
        <w:spacing w:line="240" w:lineRule="auto"/>
        <w:jc w:val="both"/>
        <w:rPr>
          <w:rFonts w:cs="Arial"/>
          <w:i/>
          <w:iCs/>
          <w:lang w:val="fr-BE" w:eastAsia="nl-BE"/>
        </w:rPr>
      </w:pPr>
    </w:p>
    <w:p w14:paraId="19452907" w14:textId="77777777" w:rsidR="004E7F07" w:rsidRPr="00AD7B1C" w:rsidRDefault="00C004A7" w:rsidP="00BE3219">
      <w:pPr>
        <w:tabs>
          <w:tab w:val="clear" w:pos="284"/>
        </w:tabs>
        <w:autoSpaceDE w:val="0"/>
        <w:autoSpaceDN w:val="0"/>
        <w:adjustRightInd w:val="0"/>
        <w:spacing w:line="240" w:lineRule="auto"/>
        <w:jc w:val="both"/>
        <w:rPr>
          <w:rFonts w:cs="Arial"/>
          <w:i/>
          <w:iCs/>
          <w:lang w:val="fr-BE" w:eastAsia="nl-BE"/>
        </w:rPr>
      </w:pPr>
      <w:r w:rsidRPr="00AD7B1C">
        <w:rPr>
          <w:rFonts w:cs="Arial"/>
          <w:i/>
          <w:iCs/>
          <w:lang w:val="fr-BE" w:eastAsia="nl-BE"/>
        </w:rPr>
        <w:t>Annexe</w:t>
      </w:r>
      <w:r w:rsidR="001A107D" w:rsidRPr="00AD7B1C">
        <w:rPr>
          <w:rFonts w:cs="Arial"/>
          <w:i/>
          <w:iCs/>
          <w:lang w:val="fr-BE" w:eastAsia="nl-BE"/>
        </w:rPr>
        <w:t>s</w:t>
      </w:r>
      <w:r w:rsidR="00B8300A">
        <w:rPr>
          <w:rFonts w:cs="Arial"/>
          <w:i/>
          <w:iCs/>
          <w:lang w:val="fr-BE" w:eastAsia="nl-BE"/>
        </w:rPr>
        <w:t xml:space="preserve"> </w:t>
      </w:r>
      <w:r w:rsidRPr="00AD7B1C">
        <w:rPr>
          <w:rFonts w:cs="Arial"/>
          <w:i/>
          <w:iCs/>
          <w:lang w:val="fr-BE" w:eastAsia="nl-BE"/>
        </w:rPr>
        <w:t xml:space="preserve">: </w:t>
      </w:r>
    </w:p>
    <w:p w14:paraId="0D43B0DC" w14:textId="77777777" w:rsidR="004E7F07" w:rsidRPr="00AD7B1C" w:rsidRDefault="004E7F07" w:rsidP="00BE3219">
      <w:pPr>
        <w:tabs>
          <w:tab w:val="clear" w:pos="284"/>
        </w:tabs>
        <w:autoSpaceDE w:val="0"/>
        <w:autoSpaceDN w:val="0"/>
        <w:adjustRightInd w:val="0"/>
        <w:spacing w:line="240" w:lineRule="auto"/>
        <w:jc w:val="both"/>
        <w:rPr>
          <w:rFonts w:cs="Arial"/>
          <w:i/>
          <w:iCs/>
          <w:lang w:val="fr-BE" w:eastAsia="nl-BE"/>
        </w:rPr>
      </w:pPr>
    </w:p>
    <w:p w14:paraId="78E4AE0D" w14:textId="77777777" w:rsidR="001A107D" w:rsidRPr="00AD7B1C"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A / Déclaration en vue de l'évaluation prudentielle des acquisitions ou accroissements de participations qualifiées dans le capital d'un organisme financier par des personnes </w:t>
      </w:r>
      <w:proofErr w:type="gramStart"/>
      <w:r w:rsidRPr="00AD7B1C">
        <w:rPr>
          <w:rFonts w:cs="Arial"/>
          <w:i/>
          <w:iCs/>
          <w:lang w:val="fr-BE" w:eastAsia="nl-BE"/>
        </w:rPr>
        <w:t>physiques;</w:t>
      </w:r>
      <w:proofErr w:type="gramEnd"/>
    </w:p>
    <w:p w14:paraId="77F62985" w14:textId="77777777" w:rsidR="001A107D" w:rsidRPr="00AD7B1C"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B / Déclaration en vue de l'évaluation prudentielle des acquisitions ou accroissements de participations qualifiées dans le capital d'un organisme financier par des personnes </w:t>
      </w:r>
      <w:proofErr w:type="gramStart"/>
      <w:r w:rsidRPr="00AD7B1C">
        <w:rPr>
          <w:rFonts w:cs="Arial"/>
          <w:i/>
          <w:iCs/>
          <w:lang w:val="fr-BE" w:eastAsia="nl-BE"/>
        </w:rPr>
        <w:t>morales;</w:t>
      </w:r>
      <w:proofErr w:type="gramEnd"/>
    </w:p>
    <w:p w14:paraId="39A3DCCF" w14:textId="77777777" w:rsidR="001A107D" w:rsidRPr="00AD7B1C"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C / Déclaration en vue de l'évaluation prudentielle des acquisitions ou accroissements de participations qualifiées dans le capital d'un </w:t>
      </w:r>
      <w:r w:rsidR="00AD7B1C" w:rsidRPr="00AD7B1C">
        <w:rPr>
          <w:rFonts w:cs="Arial"/>
          <w:i/>
          <w:iCs/>
          <w:lang w:val="fr-BE" w:eastAsia="nl-BE"/>
        </w:rPr>
        <w:t>organisme financier</w:t>
      </w:r>
      <w:r w:rsidRPr="00AD7B1C">
        <w:rPr>
          <w:rFonts w:cs="Arial"/>
          <w:i/>
          <w:iCs/>
          <w:lang w:val="fr-BE" w:eastAsia="nl-BE"/>
        </w:rPr>
        <w:t xml:space="preserve"> par des trusts ou autres constructions juridiques </w:t>
      </w:r>
      <w:proofErr w:type="gramStart"/>
      <w:r w:rsidRPr="00AD7B1C">
        <w:rPr>
          <w:rFonts w:cs="Arial"/>
          <w:i/>
          <w:iCs/>
          <w:lang w:val="fr-BE" w:eastAsia="nl-BE"/>
        </w:rPr>
        <w:t>analogues;</w:t>
      </w:r>
      <w:proofErr w:type="gramEnd"/>
      <w:r w:rsidRPr="00AD7B1C">
        <w:rPr>
          <w:rFonts w:cs="Arial"/>
          <w:i/>
          <w:iCs/>
          <w:lang w:val="fr-BE" w:eastAsia="nl-BE"/>
        </w:rPr>
        <w:t xml:space="preserve"> </w:t>
      </w:r>
    </w:p>
    <w:p w14:paraId="5E5AD706" w14:textId="77777777" w:rsidR="001A107D" w:rsidRPr="00AD7B1C"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C bis / Déclaration individuelle complémentaire à la déclaration en vue de l'évaluation prudentielle des acquisitions ou accroissements de participations qualifiées dans le capital d'un organisme financier par des trusts ou autres constructions juridiques </w:t>
      </w:r>
      <w:proofErr w:type="gramStart"/>
      <w:r w:rsidRPr="00AD7B1C">
        <w:rPr>
          <w:rFonts w:cs="Arial"/>
          <w:i/>
          <w:iCs/>
          <w:lang w:val="fr-BE" w:eastAsia="nl-BE"/>
        </w:rPr>
        <w:t>analogues;</w:t>
      </w:r>
      <w:proofErr w:type="gramEnd"/>
    </w:p>
    <w:p w14:paraId="5DF7FB9C" w14:textId="77777777" w:rsidR="001A107D" w:rsidRPr="00AD7B1C"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D / Déclaration d'une cession ou d'une réduction d'une participation qualifiée dans le capital d'un organisme </w:t>
      </w:r>
      <w:proofErr w:type="gramStart"/>
      <w:r w:rsidRPr="00AD7B1C">
        <w:rPr>
          <w:rFonts w:cs="Arial"/>
          <w:i/>
          <w:iCs/>
          <w:lang w:val="fr-BE" w:eastAsia="nl-BE"/>
        </w:rPr>
        <w:t>financier;</w:t>
      </w:r>
      <w:proofErr w:type="gramEnd"/>
    </w:p>
    <w:p w14:paraId="0D7C883C" w14:textId="77777777" w:rsidR="001A107D" w:rsidRPr="003F7D68"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AD7B1C">
        <w:rPr>
          <w:rFonts w:cs="Arial"/>
          <w:i/>
          <w:iCs/>
          <w:lang w:val="fr-BE" w:eastAsia="nl-BE"/>
        </w:rPr>
        <w:t xml:space="preserve">Formulaire E / Déclaration à titre informatif d'une acquisition ou d'une cession de titres d'un </w:t>
      </w:r>
      <w:r w:rsidRPr="00A53F08">
        <w:rPr>
          <w:rFonts w:cs="Arial"/>
          <w:i/>
          <w:iCs/>
          <w:lang w:val="fr-BE" w:eastAsia="nl-BE"/>
        </w:rPr>
        <w:t xml:space="preserve">organisme financier faisant franchir le seuil de 5% des droits de vote ou du </w:t>
      </w:r>
      <w:proofErr w:type="gramStart"/>
      <w:r w:rsidRPr="00A53F08">
        <w:rPr>
          <w:rFonts w:cs="Arial"/>
          <w:i/>
          <w:iCs/>
          <w:lang w:val="fr-BE" w:eastAsia="nl-BE"/>
        </w:rPr>
        <w:t>capital;</w:t>
      </w:r>
      <w:proofErr w:type="gramEnd"/>
      <w:r w:rsidRPr="00A53F08">
        <w:rPr>
          <w:rFonts w:cs="Arial"/>
          <w:i/>
          <w:iCs/>
          <w:lang w:val="fr-BE" w:eastAsia="nl-BE"/>
        </w:rPr>
        <w:t xml:space="preserve"> </w:t>
      </w:r>
    </w:p>
    <w:p w14:paraId="7D83233C" w14:textId="77777777" w:rsidR="009A7603" w:rsidRPr="003F7D68" w:rsidRDefault="001A107D"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256F87">
        <w:rPr>
          <w:rFonts w:cs="Arial"/>
          <w:i/>
          <w:iCs/>
          <w:lang w:val="fr-BE" w:eastAsia="nl-BE"/>
        </w:rPr>
        <w:t>Formulaire F / Déclaration de « nouveaux éléments » en vue d’une réévaluation prudentielle de la personne physique ou morale ou du trust détenant une participation qualifiée dans le capital d’un organisme financier</w:t>
      </w:r>
      <w:r w:rsidR="009A7603" w:rsidRPr="00256F87">
        <w:rPr>
          <w:rFonts w:cs="Arial"/>
          <w:i/>
          <w:iCs/>
          <w:lang w:val="fr-BE" w:eastAsia="nl-BE"/>
        </w:rPr>
        <w:t> </w:t>
      </w:r>
      <w:r w:rsidR="009A7603" w:rsidRPr="00A53F08">
        <w:rPr>
          <w:rFonts w:cs="Arial"/>
          <w:i/>
          <w:iCs/>
          <w:lang w:val="fr-BE" w:eastAsia="nl-BE"/>
        </w:rPr>
        <w:t>; et</w:t>
      </w:r>
    </w:p>
    <w:p w14:paraId="2AEBB2E7" w14:textId="77777777" w:rsidR="009A7603" w:rsidRPr="003F7D68" w:rsidRDefault="009A7603" w:rsidP="00A924BB">
      <w:pPr>
        <w:pStyle w:val="ListParagraph"/>
        <w:numPr>
          <w:ilvl w:val="0"/>
          <w:numId w:val="38"/>
        </w:numPr>
        <w:tabs>
          <w:tab w:val="clear" w:pos="284"/>
        </w:tabs>
        <w:autoSpaceDE w:val="0"/>
        <w:autoSpaceDN w:val="0"/>
        <w:adjustRightInd w:val="0"/>
        <w:spacing w:before="60" w:after="60" w:line="240" w:lineRule="auto"/>
        <w:ind w:left="714" w:hanging="357"/>
        <w:contextualSpacing w:val="0"/>
        <w:jc w:val="both"/>
        <w:rPr>
          <w:rFonts w:cs="Arial"/>
          <w:i/>
          <w:iCs/>
          <w:lang w:val="fr-BE" w:eastAsia="nl-BE"/>
        </w:rPr>
      </w:pPr>
      <w:r w:rsidRPr="003F7D68">
        <w:rPr>
          <w:rFonts w:cs="Arial"/>
          <w:i/>
          <w:iCs/>
          <w:lang w:val="fr-BE" w:eastAsia="nl-BE"/>
        </w:rPr>
        <w:t>Orientations communes des AES (EBA, EIOPA et ESMA) relatives à l’évaluation prudentielle des acquisitions et des augmentations de participations qualifiées dans des entités du secteur financier publiée le 5 mai 2017</w:t>
      </w:r>
    </w:p>
    <w:p w14:paraId="2F3B165F" w14:textId="77777777" w:rsidR="00C004A7" w:rsidRPr="00AD7B1C" w:rsidRDefault="00C004A7" w:rsidP="00BE3219">
      <w:pPr>
        <w:tabs>
          <w:tab w:val="clear" w:pos="284"/>
        </w:tabs>
        <w:autoSpaceDE w:val="0"/>
        <w:autoSpaceDN w:val="0"/>
        <w:adjustRightInd w:val="0"/>
        <w:spacing w:line="240" w:lineRule="auto"/>
        <w:jc w:val="both"/>
        <w:rPr>
          <w:rFonts w:cs="Arial"/>
          <w:i/>
          <w:iCs/>
          <w:lang w:val="fr-BE" w:eastAsia="nl-BE"/>
        </w:rPr>
      </w:pPr>
    </w:p>
    <w:sectPr w:rsidR="00C004A7" w:rsidRPr="00AD7B1C" w:rsidSect="00D850C8">
      <w:headerReference w:type="even" r:id="rId11"/>
      <w:headerReference w:type="default" r:id="rId12"/>
      <w:footerReference w:type="even" r:id="rId13"/>
      <w:footerReference w:type="defaul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9825" w14:textId="77777777" w:rsidR="009F7A64" w:rsidRDefault="009F7A64">
      <w:r>
        <w:separator/>
      </w:r>
    </w:p>
  </w:endnote>
  <w:endnote w:type="continuationSeparator" w:id="0">
    <w:p w14:paraId="25C1B22B" w14:textId="77777777" w:rsidR="009F7A64" w:rsidRDefault="009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3C8A" w14:textId="77777777" w:rsidR="009A7603" w:rsidRPr="00850941" w:rsidRDefault="009A7603" w:rsidP="00E87276">
    <w:pPr>
      <w:pStyle w:val="Footer"/>
      <w:pBdr>
        <w:top w:val="single" w:sz="4" w:space="1" w:color="auto"/>
      </w:pBdr>
      <w:rPr>
        <w:b/>
        <w:sz w:val="16"/>
        <w:szCs w:val="16"/>
        <w:lang w:val="nl-BE"/>
      </w:rPr>
    </w:pPr>
    <w:r>
      <w:rPr>
        <w:b/>
        <w:sz w:val="16"/>
        <w:szCs w:val="16"/>
        <w:lang w:val="nl-BE"/>
      </w:rPr>
      <w:t>Communication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AE71C4">
      <w:rPr>
        <w:b/>
        <w:noProof/>
        <w:sz w:val="16"/>
        <w:szCs w:val="16"/>
        <w:lang w:val="nl-BE"/>
      </w:rPr>
      <w:t>10</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AE71C4">
      <w:rPr>
        <w:b/>
        <w:noProof/>
        <w:sz w:val="16"/>
        <w:szCs w:val="16"/>
        <w:lang w:val="nl-BE"/>
      </w:rPr>
      <w:t>12</w:t>
    </w:r>
    <w:r>
      <w:rPr>
        <w:b/>
        <w:sz w:val="16"/>
        <w:szCs w:val="16"/>
        <w:lang w:val="nl-BE"/>
      </w:rPr>
      <w:fldChar w:fldCharType="end"/>
    </w:r>
    <w:r>
      <w:rPr>
        <w:b/>
        <w:sz w:val="16"/>
        <w:szCs w:val="16"/>
        <w:lang w:val="nl-BE"/>
      </w:rPr>
      <w:tab/>
    </w:r>
    <w:r w:rsidR="004D368F">
      <w:rPr>
        <w:sz w:val="14"/>
        <w:szCs w:val="16"/>
        <w:lang w:val="nl-BE"/>
      </w:rPr>
      <w:t>NBB_2017_2</w:t>
    </w:r>
    <w:r w:rsidR="007A24BA">
      <w:rPr>
        <w:sz w:val="14"/>
        <w:szCs w:val="16"/>
        <w:lang w:val="nl-BE"/>
      </w:rPr>
      <w:t>2</w:t>
    </w:r>
    <w:r w:rsidR="004D368F">
      <w:rPr>
        <w:rFonts w:cs="Arial"/>
        <w:sz w:val="14"/>
        <w:szCs w:val="16"/>
        <w:lang w:val="nl-BE"/>
      </w:rPr>
      <w:t> </w:t>
    </w:r>
    <w:r w:rsidR="004D368F">
      <w:rPr>
        <w:rFonts w:cs="Arial"/>
        <w:sz w:val="14"/>
        <w:szCs w:val="16"/>
        <w:lang w:val="nl-BE"/>
      </w:rPr>
      <w:t>–</w:t>
    </w:r>
    <w:r w:rsidR="004D368F">
      <w:rPr>
        <w:rFonts w:cs="Arial"/>
        <w:sz w:val="14"/>
        <w:szCs w:val="16"/>
        <w:lang w:val="nl-BE"/>
      </w:rPr>
      <w:t> </w:t>
    </w:r>
    <w:r w:rsidR="004D368F">
      <w:rPr>
        <w:sz w:val="14"/>
        <w:szCs w:val="16"/>
        <w:lang w:val="nl-BE"/>
      </w:rPr>
      <w:t>14 septembre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F309" w14:textId="77777777" w:rsidR="009A7603" w:rsidRPr="00850941" w:rsidRDefault="009A7603" w:rsidP="00F64E38">
    <w:pPr>
      <w:pStyle w:val="Footer"/>
      <w:pBdr>
        <w:top w:val="single" w:sz="4" w:space="1" w:color="auto"/>
      </w:pBdr>
      <w:rPr>
        <w:b/>
        <w:sz w:val="16"/>
        <w:szCs w:val="14"/>
        <w:lang w:val="nl-BE"/>
      </w:rPr>
    </w:pPr>
    <w:r>
      <w:rPr>
        <w:b/>
        <w:sz w:val="16"/>
        <w:szCs w:val="14"/>
        <w:lang w:val="nl-BE"/>
      </w:rPr>
      <w:tab/>
    </w:r>
    <w:r w:rsidR="004D368F">
      <w:rPr>
        <w:sz w:val="14"/>
        <w:szCs w:val="16"/>
        <w:lang w:val="nl-BE"/>
      </w:rPr>
      <w:t>NBB_2017_2</w:t>
    </w:r>
    <w:r w:rsidR="007A24BA">
      <w:rPr>
        <w:sz w:val="14"/>
        <w:szCs w:val="16"/>
        <w:lang w:val="nl-BE"/>
      </w:rPr>
      <w:t>2</w:t>
    </w:r>
    <w:r w:rsidR="004D368F">
      <w:rPr>
        <w:rFonts w:cs="Arial"/>
        <w:sz w:val="14"/>
        <w:szCs w:val="16"/>
        <w:lang w:val="nl-BE"/>
      </w:rPr>
      <w:t> </w:t>
    </w:r>
    <w:r w:rsidR="004D368F">
      <w:rPr>
        <w:rFonts w:cs="Arial"/>
        <w:sz w:val="14"/>
        <w:szCs w:val="16"/>
        <w:lang w:val="nl-BE"/>
      </w:rPr>
      <w:t>–</w:t>
    </w:r>
    <w:r w:rsidR="004D368F">
      <w:rPr>
        <w:rFonts w:cs="Arial"/>
        <w:sz w:val="14"/>
        <w:szCs w:val="16"/>
        <w:lang w:val="nl-BE"/>
      </w:rPr>
      <w:t> </w:t>
    </w:r>
    <w:r w:rsidR="004D368F">
      <w:rPr>
        <w:sz w:val="14"/>
        <w:szCs w:val="16"/>
        <w:lang w:val="nl-BE"/>
      </w:rPr>
      <w:t>14 septembre 2017</w:t>
    </w:r>
    <w:r>
      <w:rPr>
        <w:b/>
        <w:sz w:val="16"/>
        <w:szCs w:val="14"/>
        <w:lang w:val="nl-BE"/>
      </w:rPr>
      <w:tab/>
      <w:t>Communication</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AE71C4">
      <w:rPr>
        <w:b/>
        <w:noProof/>
        <w:sz w:val="16"/>
        <w:szCs w:val="14"/>
        <w:lang w:val="nl-BE"/>
      </w:rPr>
      <w:t>11</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AE71C4">
      <w:rPr>
        <w:b/>
        <w:noProof/>
        <w:sz w:val="16"/>
        <w:szCs w:val="14"/>
        <w:lang w:val="nl-BE"/>
      </w:rPr>
      <w:t>12</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E5C4" w14:textId="77777777" w:rsidR="009A7603" w:rsidRPr="00850941" w:rsidRDefault="009A7603" w:rsidP="00CB2202">
    <w:pPr>
      <w:pStyle w:val="Footer"/>
      <w:pBdr>
        <w:top w:val="single" w:sz="4" w:space="1" w:color="auto"/>
      </w:pBdr>
      <w:rPr>
        <w:b/>
        <w:sz w:val="16"/>
        <w:szCs w:val="16"/>
        <w:lang w:val="nl-BE"/>
      </w:rPr>
    </w:pPr>
    <w:r>
      <w:rPr>
        <w:b/>
        <w:sz w:val="16"/>
        <w:szCs w:val="16"/>
        <w:lang w:val="nl-BE"/>
      </w:rPr>
      <w:tab/>
    </w:r>
    <w:r>
      <w:rPr>
        <w:sz w:val="14"/>
        <w:szCs w:val="16"/>
        <w:lang w:val="nl-BE"/>
      </w:rPr>
      <w:t>NBB_2017</w:t>
    </w:r>
    <w:r w:rsidR="0060681F">
      <w:rPr>
        <w:sz w:val="14"/>
        <w:szCs w:val="16"/>
        <w:lang w:val="nl-BE"/>
      </w:rPr>
      <w:t>_</w:t>
    </w:r>
    <w:r w:rsidR="004D368F">
      <w:rPr>
        <w:sz w:val="14"/>
        <w:szCs w:val="16"/>
        <w:lang w:val="nl-BE"/>
      </w:rPr>
      <w:t>2</w:t>
    </w:r>
    <w:r w:rsidR="007A24BA">
      <w:rPr>
        <w:sz w:val="14"/>
        <w:szCs w:val="16"/>
        <w:lang w:val="nl-BE"/>
      </w:rPr>
      <w:t>2</w:t>
    </w:r>
    <w:r>
      <w:rPr>
        <w:rFonts w:cs="Arial"/>
        <w:sz w:val="14"/>
        <w:szCs w:val="16"/>
        <w:lang w:val="nl-BE"/>
      </w:rPr>
      <w:t> </w:t>
    </w:r>
    <w:r>
      <w:rPr>
        <w:rFonts w:cs="Arial"/>
        <w:sz w:val="14"/>
        <w:szCs w:val="16"/>
        <w:lang w:val="nl-BE"/>
      </w:rPr>
      <w:t>–</w:t>
    </w:r>
    <w:r>
      <w:rPr>
        <w:rFonts w:cs="Arial"/>
        <w:sz w:val="14"/>
        <w:szCs w:val="16"/>
        <w:lang w:val="nl-BE"/>
      </w:rPr>
      <w:t> </w:t>
    </w:r>
    <w:r w:rsidR="004D368F">
      <w:rPr>
        <w:sz w:val="14"/>
        <w:szCs w:val="16"/>
        <w:lang w:val="nl-BE"/>
      </w:rPr>
      <w:t>14 septembre</w:t>
    </w:r>
    <w:r w:rsidR="0060681F">
      <w:rPr>
        <w:sz w:val="14"/>
        <w:szCs w:val="16"/>
        <w:lang w:val="nl-BE"/>
      </w:rPr>
      <w:t xml:space="preserve"> </w:t>
    </w:r>
    <w:r>
      <w:rPr>
        <w:sz w:val="14"/>
        <w:szCs w:val="16"/>
        <w:lang w:val="nl-BE"/>
      </w:rPr>
      <w:t>2017</w:t>
    </w:r>
    <w:r>
      <w:rPr>
        <w:b/>
        <w:sz w:val="16"/>
        <w:szCs w:val="16"/>
        <w:lang w:val="nl-BE"/>
      </w:rPr>
      <w:tab/>
      <w:t>Communication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AE71C4">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AE71C4">
      <w:rPr>
        <w:b/>
        <w:noProof/>
        <w:sz w:val="16"/>
        <w:szCs w:val="16"/>
        <w:lang w:val="nl-BE"/>
      </w:rPr>
      <w:t>12</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AD591" w14:textId="77777777" w:rsidR="009F7A64" w:rsidRPr="00117F31" w:rsidRDefault="009F7A64" w:rsidP="00117F31">
      <w:pPr>
        <w:pStyle w:val="Footer"/>
      </w:pPr>
    </w:p>
  </w:footnote>
  <w:footnote w:type="continuationSeparator" w:id="0">
    <w:p w14:paraId="3B08F3D4" w14:textId="77777777" w:rsidR="009F7A64" w:rsidRPr="00117F31" w:rsidRDefault="009F7A64" w:rsidP="00117F31">
      <w:pPr>
        <w:pStyle w:val="Footer"/>
      </w:pPr>
    </w:p>
  </w:footnote>
  <w:footnote w:type="continuationNotice" w:id="1">
    <w:p w14:paraId="5AE62402" w14:textId="77777777" w:rsidR="009F7A64" w:rsidRDefault="009F7A64"/>
  </w:footnote>
  <w:footnote w:id="2">
    <w:p w14:paraId="5227A88D" w14:textId="75476C10" w:rsidR="00156AD0" w:rsidRPr="00927B6D" w:rsidRDefault="00156AD0" w:rsidP="00646F52">
      <w:pPr>
        <w:pStyle w:val="FootnoteText"/>
        <w:tabs>
          <w:tab w:val="clear" w:pos="284"/>
        </w:tabs>
        <w:ind w:left="0" w:firstLine="0"/>
        <w:jc w:val="both"/>
        <w:rPr>
          <w:lang w:val="fr-BE"/>
        </w:rPr>
      </w:pPr>
      <w:r>
        <w:rPr>
          <w:rStyle w:val="FootnoteReference"/>
        </w:rPr>
        <w:footnoteRef/>
      </w:r>
      <w:r w:rsidRPr="00927B6D">
        <w:rPr>
          <w:lang w:val="fr-BE"/>
        </w:rPr>
        <w:t xml:space="preserve"> Cette communication a été adaptée à la </w:t>
      </w:r>
      <w:r w:rsidR="00646F52" w:rsidRPr="00927B6D">
        <w:rPr>
          <w:lang w:val="fr-BE"/>
        </w:rPr>
        <w:t>c</w:t>
      </w:r>
      <w:r w:rsidRPr="00927B6D">
        <w:rPr>
          <w:lang w:val="fr-BE"/>
        </w:rPr>
        <w:t>ommunication</w:t>
      </w:r>
      <w:r w:rsidR="00646F52" w:rsidRPr="00927B6D">
        <w:rPr>
          <w:lang w:val="fr-BE"/>
        </w:rPr>
        <w:t xml:space="preserve"> NBB_2021_19 du 1er septembre 2021 - Portail IMAS de la BCE : numérisation des formulaires concernant les participations qualifiées ainsi que la libre prestation de services et la liberté d’établissement.</w:t>
      </w:r>
      <w:r w:rsidRPr="00927B6D">
        <w:rPr>
          <w:lang w:val="fr-BE"/>
        </w:rPr>
        <w:t xml:space="preserve"> </w:t>
      </w:r>
    </w:p>
  </w:footnote>
  <w:footnote w:id="3">
    <w:p w14:paraId="0B065986" w14:textId="77777777" w:rsidR="00D40FD9" w:rsidRPr="00792A3F" w:rsidRDefault="00D40FD9" w:rsidP="004D368F">
      <w:pPr>
        <w:pStyle w:val="FootnoteText"/>
        <w:spacing w:line="240" w:lineRule="auto"/>
        <w:jc w:val="both"/>
        <w:rPr>
          <w:lang w:val="fr-BE"/>
        </w:rPr>
      </w:pPr>
      <w:r>
        <w:rPr>
          <w:rStyle w:val="FootnoteReference"/>
        </w:rPr>
        <w:footnoteRef/>
      </w:r>
      <w:r>
        <w:t xml:space="preserve"> </w:t>
      </w:r>
      <w:r>
        <w:rPr>
          <w:lang w:val="fr-BE"/>
        </w:rPr>
        <w:tab/>
        <w:t xml:space="preserve">Les membres du Conseil d’administration ou </w:t>
      </w:r>
      <w:r w:rsidR="00C9307D">
        <w:rPr>
          <w:lang w:val="fr-BE"/>
        </w:rPr>
        <w:t>de l’</w:t>
      </w:r>
      <w:r>
        <w:rPr>
          <w:lang w:val="fr-BE"/>
        </w:rPr>
        <w:t xml:space="preserve">organe de surveillance équivalent ne sont pas visés. </w:t>
      </w:r>
    </w:p>
  </w:footnote>
  <w:footnote w:id="4">
    <w:p w14:paraId="0DA51A68" w14:textId="77777777" w:rsidR="003C0485" w:rsidRPr="00CD4C44" w:rsidRDefault="003C0485" w:rsidP="004D368F">
      <w:pPr>
        <w:pStyle w:val="FootnoteText"/>
        <w:spacing w:line="240" w:lineRule="auto"/>
        <w:jc w:val="both"/>
        <w:rPr>
          <w:lang w:val="fr-BE"/>
        </w:rPr>
      </w:pPr>
      <w:r>
        <w:rPr>
          <w:rStyle w:val="FootnoteReference"/>
        </w:rPr>
        <w:footnoteRef/>
      </w:r>
      <w:r w:rsidR="00BE3219">
        <w:tab/>
      </w:r>
      <w:r>
        <w:t>C</w:t>
      </w:r>
      <w:r w:rsidRPr="00F008E9">
        <w:rPr>
          <w:lang w:val="fr-BE"/>
        </w:rPr>
        <w:t>irculaire NBB_2013_02 relatives aux normes en matière d’expertise et d’honorabilité professionnelle pour les membres du Comité de direction, les administr</w:t>
      </w:r>
      <w:r w:rsidRPr="003F7D68">
        <w:rPr>
          <w:lang w:val="fr-BE"/>
        </w:rPr>
        <w:t>ateurs, les responsables de fonctions de contrôle indépendantes et dirigeants effectifs d’établissements financiers</w:t>
      </w:r>
      <w:r>
        <w:rPr>
          <w:lang w:val="fr-BE"/>
        </w:rPr>
        <w:t>.</w:t>
      </w:r>
    </w:p>
  </w:footnote>
  <w:footnote w:id="5">
    <w:p w14:paraId="11F2B5F5" w14:textId="77777777" w:rsidR="00481AAF" w:rsidRPr="00481AAF" w:rsidRDefault="00481AAF" w:rsidP="004D368F">
      <w:pPr>
        <w:pStyle w:val="FootnoteText"/>
        <w:spacing w:line="240" w:lineRule="auto"/>
        <w:jc w:val="both"/>
      </w:pPr>
      <w:r>
        <w:rPr>
          <w:rStyle w:val="FootnoteReference"/>
        </w:rPr>
        <w:footnoteRef/>
      </w:r>
      <w:r>
        <w:t xml:space="preserve"> </w:t>
      </w:r>
      <w:r>
        <w:tab/>
        <w:t>Cette possibilité de déclaration commune vaut également pour les no</w:t>
      </w:r>
      <w:r w:rsidRPr="00792A3F">
        <w:t xml:space="preserve">tifications à des fins informatives </w:t>
      </w:r>
      <w:r>
        <w:t>pour les</w:t>
      </w:r>
      <w:r w:rsidRPr="00792A3F">
        <w:t xml:space="preserve"> acquisitions ou cessions de droits d’associés </w:t>
      </w:r>
      <w:r>
        <w:t>dépassant le s</w:t>
      </w:r>
      <w:r w:rsidRPr="00792A3F">
        <w:t>euil de 5 %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34C1" w14:textId="77777777" w:rsidR="009A7603" w:rsidRDefault="009A7603" w:rsidP="00E829D6">
    <w:pPr>
      <w:pStyle w:val="Header"/>
      <w:tabs>
        <w:tab w:val="clear" w:pos="4394"/>
        <w:tab w:val="center" w:pos="4395"/>
      </w:tabs>
      <w:rPr>
        <w:lang w:val="nl-BE"/>
      </w:rPr>
    </w:pPr>
  </w:p>
  <w:p w14:paraId="22A797D2" w14:textId="77777777" w:rsidR="009A7603" w:rsidRPr="00BF29ED" w:rsidRDefault="009A7603"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07EA" w14:textId="77777777" w:rsidR="009A7603" w:rsidRDefault="009A7603" w:rsidP="00D850C8">
    <w:pPr>
      <w:pStyle w:val="Header"/>
      <w:rPr>
        <w:lang w:val="nl-BE"/>
      </w:rPr>
    </w:pPr>
  </w:p>
  <w:p w14:paraId="66325C4B" w14:textId="77777777" w:rsidR="009A7603" w:rsidRPr="00D850C8" w:rsidRDefault="009A7603"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0A367227"/>
    <w:multiLevelType w:val="hybridMultilevel"/>
    <w:tmpl w:val="2C1EC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18C87048"/>
    <w:multiLevelType w:val="hybridMultilevel"/>
    <w:tmpl w:val="58E47794"/>
    <w:lvl w:ilvl="0" w:tplc="7EC852A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12763D"/>
    <w:multiLevelType w:val="hybridMultilevel"/>
    <w:tmpl w:val="4302F9FE"/>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0A7172"/>
    <w:multiLevelType w:val="hybridMultilevel"/>
    <w:tmpl w:val="EB3CF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D97AE0"/>
    <w:multiLevelType w:val="hybridMultilevel"/>
    <w:tmpl w:val="4858DD08"/>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7C1498"/>
    <w:multiLevelType w:val="hybridMultilevel"/>
    <w:tmpl w:val="64C41A52"/>
    <w:lvl w:ilvl="0" w:tplc="283E3A0C">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E7309EF"/>
    <w:multiLevelType w:val="hybridMultilevel"/>
    <w:tmpl w:val="B0AAFD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15:restartNumberingAfterBreak="0">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4"/>
  </w:num>
  <w:num w:numId="13">
    <w:abstractNumId w:val="36"/>
  </w:num>
  <w:num w:numId="14">
    <w:abstractNumId w:val="28"/>
  </w:num>
  <w:num w:numId="15">
    <w:abstractNumId w:val="22"/>
  </w:num>
  <w:num w:numId="16">
    <w:abstractNumId w:val="17"/>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0"/>
  </w:num>
  <w:num w:numId="28">
    <w:abstractNumId w:val="21"/>
  </w:num>
  <w:num w:numId="29">
    <w:abstractNumId w:val="34"/>
  </w:num>
  <w:num w:numId="30">
    <w:abstractNumId w:val="25"/>
  </w:num>
  <w:num w:numId="31">
    <w:abstractNumId w:val="35"/>
  </w:num>
  <w:num w:numId="32">
    <w:abstractNumId w:val="16"/>
  </w:num>
  <w:num w:numId="33">
    <w:abstractNumId w:val="27"/>
  </w:num>
  <w:num w:numId="34">
    <w:abstractNumId w:val="26"/>
  </w:num>
  <w:num w:numId="35">
    <w:abstractNumId w:val="15"/>
  </w:num>
  <w:num w:numId="36">
    <w:abstractNumId w:val="33"/>
  </w:num>
  <w:num w:numId="37">
    <w:abstractNumId w:val="14"/>
  </w:num>
  <w:num w:numId="38">
    <w:abstractNumId w:val="23"/>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41"/>
    <w:rsid w:val="00014687"/>
    <w:rsid w:val="00024A9E"/>
    <w:rsid w:val="000327D2"/>
    <w:rsid w:val="0003333C"/>
    <w:rsid w:val="00036E81"/>
    <w:rsid w:val="0004319E"/>
    <w:rsid w:val="0004570B"/>
    <w:rsid w:val="00051F2C"/>
    <w:rsid w:val="00053EEF"/>
    <w:rsid w:val="00062C1B"/>
    <w:rsid w:val="00064AC6"/>
    <w:rsid w:val="00082177"/>
    <w:rsid w:val="00082FA7"/>
    <w:rsid w:val="000869C2"/>
    <w:rsid w:val="00090275"/>
    <w:rsid w:val="00097598"/>
    <w:rsid w:val="000A0636"/>
    <w:rsid w:val="000A1DA9"/>
    <w:rsid w:val="000B6441"/>
    <w:rsid w:val="000C35AA"/>
    <w:rsid w:val="000C37AB"/>
    <w:rsid w:val="000D059B"/>
    <w:rsid w:val="000D10C0"/>
    <w:rsid w:val="000D405E"/>
    <w:rsid w:val="000E0090"/>
    <w:rsid w:val="000E2A68"/>
    <w:rsid w:val="000F1EB6"/>
    <w:rsid w:val="000F7268"/>
    <w:rsid w:val="000F7C34"/>
    <w:rsid w:val="00100944"/>
    <w:rsid w:val="00107C84"/>
    <w:rsid w:val="001126F5"/>
    <w:rsid w:val="00114821"/>
    <w:rsid w:val="00117F31"/>
    <w:rsid w:val="00124312"/>
    <w:rsid w:val="00124AA8"/>
    <w:rsid w:val="00133D4B"/>
    <w:rsid w:val="00145EF1"/>
    <w:rsid w:val="00146584"/>
    <w:rsid w:val="00147933"/>
    <w:rsid w:val="001516F5"/>
    <w:rsid w:val="0015337A"/>
    <w:rsid w:val="00154310"/>
    <w:rsid w:val="001548A9"/>
    <w:rsid w:val="00155349"/>
    <w:rsid w:val="00155F74"/>
    <w:rsid w:val="00156AD0"/>
    <w:rsid w:val="00160D31"/>
    <w:rsid w:val="00167ACD"/>
    <w:rsid w:val="00170C08"/>
    <w:rsid w:val="00172DAF"/>
    <w:rsid w:val="00174427"/>
    <w:rsid w:val="00175ADE"/>
    <w:rsid w:val="001763C2"/>
    <w:rsid w:val="001767CB"/>
    <w:rsid w:val="0018615D"/>
    <w:rsid w:val="00186EC7"/>
    <w:rsid w:val="0019158E"/>
    <w:rsid w:val="00197FEB"/>
    <w:rsid w:val="001A107D"/>
    <w:rsid w:val="001A12AC"/>
    <w:rsid w:val="001A1D68"/>
    <w:rsid w:val="001A7DC7"/>
    <w:rsid w:val="001B4EEE"/>
    <w:rsid w:val="001B7F21"/>
    <w:rsid w:val="001D503F"/>
    <w:rsid w:val="001E065A"/>
    <w:rsid w:val="001E49AB"/>
    <w:rsid w:val="001F1805"/>
    <w:rsid w:val="001F711D"/>
    <w:rsid w:val="00200D79"/>
    <w:rsid w:val="00202B0B"/>
    <w:rsid w:val="00204BE8"/>
    <w:rsid w:val="00210A26"/>
    <w:rsid w:val="00215E02"/>
    <w:rsid w:val="00221231"/>
    <w:rsid w:val="00223911"/>
    <w:rsid w:val="002307B0"/>
    <w:rsid w:val="00231694"/>
    <w:rsid w:val="002333AF"/>
    <w:rsid w:val="00233828"/>
    <w:rsid w:val="00237AFB"/>
    <w:rsid w:val="002406B2"/>
    <w:rsid w:val="00242C46"/>
    <w:rsid w:val="00243AE4"/>
    <w:rsid w:val="002477FA"/>
    <w:rsid w:val="002518B6"/>
    <w:rsid w:val="002554D2"/>
    <w:rsid w:val="00256F87"/>
    <w:rsid w:val="00261D63"/>
    <w:rsid w:val="002754A4"/>
    <w:rsid w:val="00275C1C"/>
    <w:rsid w:val="00276804"/>
    <w:rsid w:val="00277D86"/>
    <w:rsid w:val="00277EDB"/>
    <w:rsid w:val="002859A3"/>
    <w:rsid w:val="00287538"/>
    <w:rsid w:val="0028790D"/>
    <w:rsid w:val="002B5743"/>
    <w:rsid w:val="002C2641"/>
    <w:rsid w:val="002D5723"/>
    <w:rsid w:val="002D65F3"/>
    <w:rsid w:val="002D75B3"/>
    <w:rsid w:val="002E009D"/>
    <w:rsid w:val="002E10A2"/>
    <w:rsid w:val="002E15B9"/>
    <w:rsid w:val="002E1DF9"/>
    <w:rsid w:val="002E409B"/>
    <w:rsid w:val="002E5144"/>
    <w:rsid w:val="002F1611"/>
    <w:rsid w:val="00307878"/>
    <w:rsid w:val="003116AA"/>
    <w:rsid w:val="003135E6"/>
    <w:rsid w:val="00321C62"/>
    <w:rsid w:val="003364D4"/>
    <w:rsid w:val="00336912"/>
    <w:rsid w:val="003419C5"/>
    <w:rsid w:val="00352B22"/>
    <w:rsid w:val="00353178"/>
    <w:rsid w:val="00353A88"/>
    <w:rsid w:val="00353E3D"/>
    <w:rsid w:val="00354956"/>
    <w:rsid w:val="00362513"/>
    <w:rsid w:val="00365065"/>
    <w:rsid w:val="00365FFE"/>
    <w:rsid w:val="0036635F"/>
    <w:rsid w:val="00377371"/>
    <w:rsid w:val="003802EE"/>
    <w:rsid w:val="0038095A"/>
    <w:rsid w:val="00381F4A"/>
    <w:rsid w:val="00383392"/>
    <w:rsid w:val="00383797"/>
    <w:rsid w:val="00387716"/>
    <w:rsid w:val="00395A49"/>
    <w:rsid w:val="00397DDA"/>
    <w:rsid w:val="003A13C5"/>
    <w:rsid w:val="003A6DA4"/>
    <w:rsid w:val="003B1662"/>
    <w:rsid w:val="003B16E5"/>
    <w:rsid w:val="003B7866"/>
    <w:rsid w:val="003C0485"/>
    <w:rsid w:val="003C3482"/>
    <w:rsid w:val="003D6092"/>
    <w:rsid w:val="003D7096"/>
    <w:rsid w:val="003E36A8"/>
    <w:rsid w:val="003E4928"/>
    <w:rsid w:val="003F2836"/>
    <w:rsid w:val="003F5E55"/>
    <w:rsid w:val="003F792F"/>
    <w:rsid w:val="003F7D68"/>
    <w:rsid w:val="004003CC"/>
    <w:rsid w:val="00407822"/>
    <w:rsid w:val="00407C75"/>
    <w:rsid w:val="00412C56"/>
    <w:rsid w:val="0042555A"/>
    <w:rsid w:val="0042595A"/>
    <w:rsid w:val="004275C8"/>
    <w:rsid w:val="00435A07"/>
    <w:rsid w:val="004449B7"/>
    <w:rsid w:val="00450949"/>
    <w:rsid w:val="004540E1"/>
    <w:rsid w:val="00454C65"/>
    <w:rsid w:val="00456DEB"/>
    <w:rsid w:val="004619EE"/>
    <w:rsid w:val="00464101"/>
    <w:rsid w:val="00464BA5"/>
    <w:rsid w:val="004679FA"/>
    <w:rsid w:val="00477F18"/>
    <w:rsid w:val="00481AAF"/>
    <w:rsid w:val="00485F3C"/>
    <w:rsid w:val="004A477F"/>
    <w:rsid w:val="004A4C5C"/>
    <w:rsid w:val="004B2284"/>
    <w:rsid w:val="004B400F"/>
    <w:rsid w:val="004C14FA"/>
    <w:rsid w:val="004C2424"/>
    <w:rsid w:val="004D12DD"/>
    <w:rsid w:val="004D368F"/>
    <w:rsid w:val="004E136D"/>
    <w:rsid w:val="004E7F07"/>
    <w:rsid w:val="004F04DA"/>
    <w:rsid w:val="004F0F6B"/>
    <w:rsid w:val="004F41BA"/>
    <w:rsid w:val="004F43C8"/>
    <w:rsid w:val="004F46EE"/>
    <w:rsid w:val="005033DA"/>
    <w:rsid w:val="0050792E"/>
    <w:rsid w:val="0051142C"/>
    <w:rsid w:val="0051268A"/>
    <w:rsid w:val="00512BFD"/>
    <w:rsid w:val="00552963"/>
    <w:rsid w:val="0055492B"/>
    <w:rsid w:val="00557A3F"/>
    <w:rsid w:val="0056043D"/>
    <w:rsid w:val="005616A3"/>
    <w:rsid w:val="00561A9A"/>
    <w:rsid w:val="00567693"/>
    <w:rsid w:val="00571A24"/>
    <w:rsid w:val="00582D56"/>
    <w:rsid w:val="0058499B"/>
    <w:rsid w:val="00592469"/>
    <w:rsid w:val="00592957"/>
    <w:rsid w:val="005932C7"/>
    <w:rsid w:val="0059396D"/>
    <w:rsid w:val="005A39E1"/>
    <w:rsid w:val="005A3DA7"/>
    <w:rsid w:val="005B0BFE"/>
    <w:rsid w:val="005B4C1C"/>
    <w:rsid w:val="005C1B25"/>
    <w:rsid w:val="005C3450"/>
    <w:rsid w:val="005C3F84"/>
    <w:rsid w:val="005D1D6E"/>
    <w:rsid w:val="005E33F6"/>
    <w:rsid w:val="005E4198"/>
    <w:rsid w:val="0060681F"/>
    <w:rsid w:val="006107D5"/>
    <w:rsid w:val="00610B4E"/>
    <w:rsid w:val="00611E02"/>
    <w:rsid w:val="00627AF2"/>
    <w:rsid w:val="0063089E"/>
    <w:rsid w:val="006316A4"/>
    <w:rsid w:val="00631E3C"/>
    <w:rsid w:val="00634558"/>
    <w:rsid w:val="00635AD7"/>
    <w:rsid w:val="00635DCE"/>
    <w:rsid w:val="006372C7"/>
    <w:rsid w:val="006376E3"/>
    <w:rsid w:val="00645312"/>
    <w:rsid w:val="006458DE"/>
    <w:rsid w:val="00646F52"/>
    <w:rsid w:val="006506E6"/>
    <w:rsid w:val="00651843"/>
    <w:rsid w:val="00652AEC"/>
    <w:rsid w:val="00653A88"/>
    <w:rsid w:val="006602F1"/>
    <w:rsid w:val="006626A0"/>
    <w:rsid w:val="00667481"/>
    <w:rsid w:val="006703F5"/>
    <w:rsid w:val="0067198D"/>
    <w:rsid w:val="00674566"/>
    <w:rsid w:val="0068065A"/>
    <w:rsid w:val="00683802"/>
    <w:rsid w:val="0068679D"/>
    <w:rsid w:val="00686A75"/>
    <w:rsid w:val="0069769C"/>
    <w:rsid w:val="00697F48"/>
    <w:rsid w:val="006A3829"/>
    <w:rsid w:val="006B6BFC"/>
    <w:rsid w:val="006D3349"/>
    <w:rsid w:val="006D3B7F"/>
    <w:rsid w:val="006E7D13"/>
    <w:rsid w:val="006F2EAE"/>
    <w:rsid w:val="0070168D"/>
    <w:rsid w:val="00702DA6"/>
    <w:rsid w:val="00706B32"/>
    <w:rsid w:val="00707E23"/>
    <w:rsid w:val="0071004E"/>
    <w:rsid w:val="00714070"/>
    <w:rsid w:val="007148AA"/>
    <w:rsid w:val="00720616"/>
    <w:rsid w:val="00721CD8"/>
    <w:rsid w:val="0072762D"/>
    <w:rsid w:val="00730DDA"/>
    <w:rsid w:val="00733829"/>
    <w:rsid w:val="00733DE9"/>
    <w:rsid w:val="00741E9C"/>
    <w:rsid w:val="007459B1"/>
    <w:rsid w:val="00746966"/>
    <w:rsid w:val="00750B57"/>
    <w:rsid w:val="00752FC4"/>
    <w:rsid w:val="00760B7B"/>
    <w:rsid w:val="007654E7"/>
    <w:rsid w:val="00766F4D"/>
    <w:rsid w:val="0077019B"/>
    <w:rsid w:val="00773E81"/>
    <w:rsid w:val="00774B3A"/>
    <w:rsid w:val="0077670A"/>
    <w:rsid w:val="00785B6F"/>
    <w:rsid w:val="00787601"/>
    <w:rsid w:val="00792A3F"/>
    <w:rsid w:val="00796920"/>
    <w:rsid w:val="00797BED"/>
    <w:rsid w:val="007A1C59"/>
    <w:rsid w:val="007A1F21"/>
    <w:rsid w:val="007A24BA"/>
    <w:rsid w:val="007A3EF3"/>
    <w:rsid w:val="007A552B"/>
    <w:rsid w:val="007A6D1E"/>
    <w:rsid w:val="007B25F7"/>
    <w:rsid w:val="007B793B"/>
    <w:rsid w:val="007B7A25"/>
    <w:rsid w:val="007C07C1"/>
    <w:rsid w:val="007C6D45"/>
    <w:rsid w:val="007E0494"/>
    <w:rsid w:val="007E0667"/>
    <w:rsid w:val="007E71C9"/>
    <w:rsid w:val="007F0A8C"/>
    <w:rsid w:val="007F462A"/>
    <w:rsid w:val="007F5AF5"/>
    <w:rsid w:val="007F60DA"/>
    <w:rsid w:val="007F78DB"/>
    <w:rsid w:val="00804480"/>
    <w:rsid w:val="00805A74"/>
    <w:rsid w:val="00805AFA"/>
    <w:rsid w:val="0081015C"/>
    <w:rsid w:val="00814FBE"/>
    <w:rsid w:val="00821F74"/>
    <w:rsid w:val="00822375"/>
    <w:rsid w:val="00824A23"/>
    <w:rsid w:val="00836C05"/>
    <w:rsid w:val="008419D4"/>
    <w:rsid w:val="008437C4"/>
    <w:rsid w:val="00843F67"/>
    <w:rsid w:val="00847145"/>
    <w:rsid w:val="008503E8"/>
    <w:rsid w:val="00850941"/>
    <w:rsid w:val="008642F4"/>
    <w:rsid w:val="00864A41"/>
    <w:rsid w:val="008700C9"/>
    <w:rsid w:val="00870884"/>
    <w:rsid w:val="008837CF"/>
    <w:rsid w:val="00887655"/>
    <w:rsid w:val="00896CFE"/>
    <w:rsid w:val="008977A1"/>
    <w:rsid w:val="008A477E"/>
    <w:rsid w:val="008B210F"/>
    <w:rsid w:val="008C0E25"/>
    <w:rsid w:val="008C4032"/>
    <w:rsid w:val="008C7626"/>
    <w:rsid w:val="008E5948"/>
    <w:rsid w:val="008E6000"/>
    <w:rsid w:val="008E6931"/>
    <w:rsid w:val="008F6392"/>
    <w:rsid w:val="0090354E"/>
    <w:rsid w:val="0090398E"/>
    <w:rsid w:val="00905D03"/>
    <w:rsid w:val="00911629"/>
    <w:rsid w:val="00914031"/>
    <w:rsid w:val="00927B6D"/>
    <w:rsid w:val="00932175"/>
    <w:rsid w:val="00935B26"/>
    <w:rsid w:val="00937808"/>
    <w:rsid w:val="00940C81"/>
    <w:rsid w:val="00942B19"/>
    <w:rsid w:val="00942EE2"/>
    <w:rsid w:val="009466D6"/>
    <w:rsid w:val="00950C45"/>
    <w:rsid w:val="00953994"/>
    <w:rsid w:val="00954143"/>
    <w:rsid w:val="009600D3"/>
    <w:rsid w:val="0097315C"/>
    <w:rsid w:val="00974952"/>
    <w:rsid w:val="00975DE4"/>
    <w:rsid w:val="00983714"/>
    <w:rsid w:val="00983AE0"/>
    <w:rsid w:val="00985229"/>
    <w:rsid w:val="00987DEA"/>
    <w:rsid w:val="00991E7A"/>
    <w:rsid w:val="00993815"/>
    <w:rsid w:val="009939BE"/>
    <w:rsid w:val="009940DB"/>
    <w:rsid w:val="00994BF4"/>
    <w:rsid w:val="009A0346"/>
    <w:rsid w:val="009A140C"/>
    <w:rsid w:val="009A7603"/>
    <w:rsid w:val="009B132A"/>
    <w:rsid w:val="009B3005"/>
    <w:rsid w:val="009B6FA0"/>
    <w:rsid w:val="009C0BC7"/>
    <w:rsid w:val="009D10D0"/>
    <w:rsid w:val="009D1225"/>
    <w:rsid w:val="009D15BD"/>
    <w:rsid w:val="009D277D"/>
    <w:rsid w:val="009D3040"/>
    <w:rsid w:val="009D3082"/>
    <w:rsid w:val="009D784B"/>
    <w:rsid w:val="009E2A0A"/>
    <w:rsid w:val="009E56DB"/>
    <w:rsid w:val="009F0E2E"/>
    <w:rsid w:val="009F7A64"/>
    <w:rsid w:val="00A01013"/>
    <w:rsid w:val="00A024E2"/>
    <w:rsid w:val="00A06B19"/>
    <w:rsid w:val="00A11F91"/>
    <w:rsid w:val="00A122B7"/>
    <w:rsid w:val="00A141C9"/>
    <w:rsid w:val="00A147E1"/>
    <w:rsid w:val="00A16F91"/>
    <w:rsid w:val="00A17571"/>
    <w:rsid w:val="00A22CA1"/>
    <w:rsid w:val="00A2514A"/>
    <w:rsid w:val="00A25A33"/>
    <w:rsid w:val="00A267AD"/>
    <w:rsid w:val="00A351FF"/>
    <w:rsid w:val="00A355E9"/>
    <w:rsid w:val="00A51FAA"/>
    <w:rsid w:val="00A53F08"/>
    <w:rsid w:val="00A55A96"/>
    <w:rsid w:val="00A56340"/>
    <w:rsid w:val="00A605D0"/>
    <w:rsid w:val="00A621A5"/>
    <w:rsid w:val="00A62501"/>
    <w:rsid w:val="00A679F2"/>
    <w:rsid w:val="00A709E5"/>
    <w:rsid w:val="00A7250C"/>
    <w:rsid w:val="00A73D60"/>
    <w:rsid w:val="00A75A8E"/>
    <w:rsid w:val="00A876D8"/>
    <w:rsid w:val="00A912F7"/>
    <w:rsid w:val="00A924BB"/>
    <w:rsid w:val="00A9513C"/>
    <w:rsid w:val="00A95E73"/>
    <w:rsid w:val="00A961D2"/>
    <w:rsid w:val="00A973C8"/>
    <w:rsid w:val="00AA074E"/>
    <w:rsid w:val="00AB1226"/>
    <w:rsid w:val="00AB26A5"/>
    <w:rsid w:val="00AB4D11"/>
    <w:rsid w:val="00AB5A25"/>
    <w:rsid w:val="00AB5B67"/>
    <w:rsid w:val="00AB5F38"/>
    <w:rsid w:val="00AB6BD9"/>
    <w:rsid w:val="00AC619F"/>
    <w:rsid w:val="00AD7B1C"/>
    <w:rsid w:val="00AD7BAB"/>
    <w:rsid w:val="00AE028E"/>
    <w:rsid w:val="00AE0FA5"/>
    <w:rsid w:val="00AE224C"/>
    <w:rsid w:val="00AE71C4"/>
    <w:rsid w:val="00AF77D2"/>
    <w:rsid w:val="00B04933"/>
    <w:rsid w:val="00B11BB2"/>
    <w:rsid w:val="00B144C0"/>
    <w:rsid w:val="00B1790E"/>
    <w:rsid w:val="00B338D7"/>
    <w:rsid w:val="00B34FEF"/>
    <w:rsid w:val="00B352D4"/>
    <w:rsid w:val="00B402AF"/>
    <w:rsid w:val="00B404A0"/>
    <w:rsid w:val="00B41942"/>
    <w:rsid w:val="00B440DB"/>
    <w:rsid w:val="00B44C6F"/>
    <w:rsid w:val="00B44D45"/>
    <w:rsid w:val="00B46BAE"/>
    <w:rsid w:val="00B52F2E"/>
    <w:rsid w:val="00B614D1"/>
    <w:rsid w:val="00B63B89"/>
    <w:rsid w:val="00B661C8"/>
    <w:rsid w:val="00B6688B"/>
    <w:rsid w:val="00B77ACE"/>
    <w:rsid w:val="00B80CFD"/>
    <w:rsid w:val="00B8300A"/>
    <w:rsid w:val="00B908B1"/>
    <w:rsid w:val="00B92424"/>
    <w:rsid w:val="00B938A0"/>
    <w:rsid w:val="00B97B40"/>
    <w:rsid w:val="00BA23B1"/>
    <w:rsid w:val="00BC351F"/>
    <w:rsid w:val="00BD09DC"/>
    <w:rsid w:val="00BD7A38"/>
    <w:rsid w:val="00BE0CD8"/>
    <w:rsid w:val="00BE110B"/>
    <w:rsid w:val="00BE3219"/>
    <w:rsid w:val="00BF0AF5"/>
    <w:rsid w:val="00BF29ED"/>
    <w:rsid w:val="00BF5C8A"/>
    <w:rsid w:val="00C004A7"/>
    <w:rsid w:val="00C0402A"/>
    <w:rsid w:val="00C0490F"/>
    <w:rsid w:val="00C079B3"/>
    <w:rsid w:val="00C20554"/>
    <w:rsid w:val="00C24707"/>
    <w:rsid w:val="00C3198B"/>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307D"/>
    <w:rsid w:val="00C94338"/>
    <w:rsid w:val="00C94B35"/>
    <w:rsid w:val="00C961A9"/>
    <w:rsid w:val="00CA5A74"/>
    <w:rsid w:val="00CA7D3D"/>
    <w:rsid w:val="00CB0FC1"/>
    <w:rsid w:val="00CB2202"/>
    <w:rsid w:val="00CB30C8"/>
    <w:rsid w:val="00CB4A52"/>
    <w:rsid w:val="00CC0365"/>
    <w:rsid w:val="00CC4296"/>
    <w:rsid w:val="00CC4596"/>
    <w:rsid w:val="00CD4C44"/>
    <w:rsid w:val="00CE5D84"/>
    <w:rsid w:val="00CF44AF"/>
    <w:rsid w:val="00CF6318"/>
    <w:rsid w:val="00CF63B4"/>
    <w:rsid w:val="00D00492"/>
    <w:rsid w:val="00D05113"/>
    <w:rsid w:val="00D0540B"/>
    <w:rsid w:val="00D06A39"/>
    <w:rsid w:val="00D15EDA"/>
    <w:rsid w:val="00D23166"/>
    <w:rsid w:val="00D231CE"/>
    <w:rsid w:val="00D25CC0"/>
    <w:rsid w:val="00D2603A"/>
    <w:rsid w:val="00D26511"/>
    <w:rsid w:val="00D2703D"/>
    <w:rsid w:val="00D32B1A"/>
    <w:rsid w:val="00D346B5"/>
    <w:rsid w:val="00D36C5D"/>
    <w:rsid w:val="00D40FD9"/>
    <w:rsid w:val="00D423C7"/>
    <w:rsid w:val="00D424C4"/>
    <w:rsid w:val="00D527DE"/>
    <w:rsid w:val="00D556C0"/>
    <w:rsid w:val="00D613B4"/>
    <w:rsid w:val="00D62D9B"/>
    <w:rsid w:val="00D63DA6"/>
    <w:rsid w:val="00D650B1"/>
    <w:rsid w:val="00D718C9"/>
    <w:rsid w:val="00D75B6C"/>
    <w:rsid w:val="00D76ACF"/>
    <w:rsid w:val="00D82C98"/>
    <w:rsid w:val="00D850C8"/>
    <w:rsid w:val="00D8666E"/>
    <w:rsid w:val="00DB31C8"/>
    <w:rsid w:val="00DC0B0F"/>
    <w:rsid w:val="00DC1B28"/>
    <w:rsid w:val="00DC3BCA"/>
    <w:rsid w:val="00DC553B"/>
    <w:rsid w:val="00DC727C"/>
    <w:rsid w:val="00DD048B"/>
    <w:rsid w:val="00DD1D39"/>
    <w:rsid w:val="00DD2826"/>
    <w:rsid w:val="00DE2EA7"/>
    <w:rsid w:val="00DF3B32"/>
    <w:rsid w:val="00DF758C"/>
    <w:rsid w:val="00DF7ACD"/>
    <w:rsid w:val="00DF7D48"/>
    <w:rsid w:val="00E03696"/>
    <w:rsid w:val="00E04E63"/>
    <w:rsid w:val="00E05D6B"/>
    <w:rsid w:val="00E07CCE"/>
    <w:rsid w:val="00E13E2F"/>
    <w:rsid w:val="00E13E61"/>
    <w:rsid w:val="00E162FC"/>
    <w:rsid w:val="00E16B13"/>
    <w:rsid w:val="00E22E1D"/>
    <w:rsid w:val="00E26ABD"/>
    <w:rsid w:val="00E348BA"/>
    <w:rsid w:val="00E34A80"/>
    <w:rsid w:val="00E35F7B"/>
    <w:rsid w:val="00E36D9F"/>
    <w:rsid w:val="00E471A8"/>
    <w:rsid w:val="00E65C86"/>
    <w:rsid w:val="00E66759"/>
    <w:rsid w:val="00E66CEF"/>
    <w:rsid w:val="00E73749"/>
    <w:rsid w:val="00E759E4"/>
    <w:rsid w:val="00E77B8A"/>
    <w:rsid w:val="00E829D6"/>
    <w:rsid w:val="00E87276"/>
    <w:rsid w:val="00E87CDF"/>
    <w:rsid w:val="00E939B5"/>
    <w:rsid w:val="00E9511F"/>
    <w:rsid w:val="00E966D1"/>
    <w:rsid w:val="00EA2226"/>
    <w:rsid w:val="00EA33BE"/>
    <w:rsid w:val="00EA758B"/>
    <w:rsid w:val="00EB1116"/>
    <w:rsid w:val="00EB13F8"/>
    <w:rsid w:val="00EB28A5"/>
    <w:rsid w:val="00EB3741"/>
    <w:rsid w:val="00EB3EAE"/>
    <w:rsid w:val="00EB3F3D"/>
    <w:rsid w:val="00EB6DE0"/>
    <w:rsid w:val="00ED10C8"/>
    <w:rsid w:val="00ED1B50"/>
    <w:rsid w:val="00ED445E"/>
    <w:rsid w:val="00ED687C"/>
    <w:rsid w:val="00ED6928"/>
    <w:rsid w:val="00ED6F50"/>
    <w:rsid w:val="00EE2021"/>
    <w:rsid w:val="00EE3C1C"/>
    <w:rsid w:val="00EE5676"/>
    <w:rsid w:val="00EF4E99"/>
    <w:rsid w:val="00F008E9"/>
    <w:rsid w:val="00F01DE1"/>
    <w:rsid w:val="00F063BF"/>
    <w:rsid w:val="00F06771"/>
    <w:rsid w:val="00F120C3"/>
    <w:rsid w:val="00F1732F"/>
    <w:rsid w:val="00F21513"/>
    <w:rsid w:val="00F24DB0"/>
    <w:rsid w:val="00F310C1"/>
    <w:rsid w:val="00F31133"/>
    <w:rsid w:val="00F32E26"/>
    <w:rsid w:val="00F35F9D"/>
    <w:rsid w:val="00F55AC8"/>
    <w:rsid w:val="00F579F5"/>
    <w:rsid w:val="00F57B63"/>
    <w:rsid w:val="00F62B97"/>
    <w:rsid w:val="00F63335"/>
    <w:rsid w:val="00F64E38"/>
    <w:rsid w:val="00F65486"/>
    <w:rsid w:val="00F747FC"/>
    <w:rsid w:val="00F76523"/>
    <w:rsid w:val="00F80BF8"/>
    <w:rsid w:val="00F8549F"/>
    <w:rsid w:val="00F917ED"/>
    <w:rsid w:val="00F96CAF"/>
    <w:rsid w:val="00FA14B8"/>
    <w:rsid w:val="00FA2054"/>
    <w:rsid w:val="00FA56DE"/>
    <w:rsid w:val="00FA6968"/>
    <w:rsid w:val="00FC0DAC"/>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8454986"/>
  <w15:docId w15:val="{1CB182B2-443A-4620-842A-ADEC04E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2518B6"/>
    <w:pPr>
      <w:ind w:left="720"/>
      <w:contextualSpacing/>
    </w:pPr>
  </w:style>
  <w:style w:type="paragraph" w:customStyle="1" w:styleId="Default">
    <w:name w:val="Default"/>
    <w:rsid w:val="002518B6"/>
    <w:pPr>
      <w:autoSpaceDE w:val="0"/>
      <w:autoSpaceDN w:val="0"/>
      <w:adjustRightInd w:val="0"/>
    </w:pPr>
    <w:rPr>
      <w:rFonts w:ascii="Symbol" w:hAnsi="Symbol" w:cs="Symbol"/>
      <w:color w:val="000000"/>
      <w:sz w:val="24"/>
      <w:szCs w:val="24"/>
      <w:lang w:val="en-US"/>
    </w:rPr>
  </w:style>
  <w:style w:type="character" w:styleId="CommentReference">
    <w:name w:val="annotation reference"/>
    <w:basedOn w:val="DefaultParagraphFont"/>
    <w:rsid w:val="008B210F"/>
    <w:rPr>
      <w:sz w:val="16"/>
      <w:szCs w:val="16"/>
    </w:rPr>
  </w:style>
  <w:style w:type="paragraph" w:styleId="CommentText">
    <w:name w:val="annotation text"/>
    <w:basedOn w:val="Normal"/>
    <w:link w:val="CommentTextChar"/>
    <w:rsid w:val="008B210F"/>
    <w:pPr>
      <w:spacing w:line="240" w:lineRule="auto"/>
    </w:pPr>
  </w:style>
  <w:style w:type="character" w:customStyle="1" w:styleId="CommentTextChar">
    <w:name w:val="Comment Text Char"/>
    <w:basedOn w:val="DefaultParagraphFont"/>
    <w:link w:val="CommentText"/>
    <w:rsid w:val="008B210F"/>
    <w:rPr>
      <w:rFonts w:ascii="Arial" w:hAnsi="Arial"/>
      <w:lang w:val="en-GB" w:eastAsia="en-US"/>
    </w:rPr>
  </w:style>
  <w:style w:type="paragraph" w:styleId="CommentSubject">
    <w:name w:val="annotation subject"/>
    <w:basedOn w:val="CommentText"/>
    <w:next w:val="CommentText"/>
    <w:link w:val="CommentSubjectChar"/>
    <w:rsid w:val="008B210F"/>
    <w:rPr>
      <w:b/>
      <w:bCs/>
    </w:rPr>
  </w:style>
  <w:style w:type="character" w:customStyle="1" w:styleId="CommentSubjectChar">
    <w:name w:val="Comment Subject Char"/>
    <w:basedOn w:val="CommentTextChar"/>
    <w:link w:val="CommentSubject"/>
    <w:rsid w:val="008B210F"/>
    <w:rPr>
      <w:rFonts w:ascii="Arial" w:hAnsi="Arial"/>
      <w:b/>
      <w:bCs/>
      <w:lang w:val="en-GB" w:eastAsia="en-US"/>
    </w:rPr>
  </w:style>
  <w:style w:type="character" w:styleId="UnresolvedMention">
    <w:name w:val="Unresolved Mention"/>
    <w:basedOn w:val="DefaultParagraphFont"/>
    <w:uiPriority w:val="99"/>
    <w:semiHidden/>
    <w:unhideWhenUsed/>
    <w:rsid w:val="00D76ACF"/>
    <w:rPr>
      <w:color w:val="808080"/>
      <w:shd w:val="clear" w:color="auto" w:fill="E6E6E6"/>
    </w:rPr>
  </w:style>
  <w:style w:type="character" w:styleId="FollowedHyperlink">
    <w:name w:val="FollowedHyperlink"/>
    <w:basedOn w:val="DefaultParagraphFont"/>
    <w:semiHidden/>
    <w:unhideWhenUsed/>
    <w:rsid w:val="00D76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2277">
      <w:bodyDiv w:val="1"/>
      <w:marLeft w:val="0"/>
      <w:marRight w:val="0"/>
      <w:marTop w:val="0"/>
      <w:marBottom w:val="0"/>
      <w:divBdr>
        <w:top w:val="none" w:sz="0" w:space="0" w:color="auto"/>
        <w:left w:val="none" w:sz="0" w:space="0" w:color="auto"/>
        <w:bottom w:val="none" w:sz="0" w:space="0" w:color="auto"/>
        <w:right w:val="none" w:sz="0" w:space="0" w:color="auto"/>
      </w:divBdr>
    </w:div>
    <w:div w:id="393432308">
      <w:bodyDiv w:val="1"/>
      <w:marLeft w:val="0"/>
      <w:marRight w:val="0"/>
      <w:marTop w:val="0"/>
      <w:marBottom w:val="0"/>
      <w:divBdr>
        <w:top w:val="none" w:sz="0" w:space="0" w:color="auto"/>
        <w:left w:val="none" w:sz="0" w:space="0" w:color="auto"/>
        <w:bottom w:val="none" w:sz="0" w:space="0" w:color="auto"/>
        <w:right w:val="none" w:sz="0" w:space="0" w:color="auto"/>
      </w:divBdr>
    </w:div>
    <w:div w:id="8617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cquirers@nbb.be" TargetMode="External"/><Relationship Id="rId4" Type="http://schemas.openxmlformats.org/officeDocument/2006/relationships/settings" Target="settings.xml"/><Relationship Id="rId9" Type="http://schemas.openxmlformats.org/officeDocument/2006/relationships/hyperlink" Target="https://www.bankingsupervision.europa.eu/ecb/pub/pdf/ssm.supervisorymanual201803.en.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F1A9-2A1E-4A1B-A989-148B0ED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12</Pages>
  <Words>6270</Words>
  <Characters>36722</Characters>
  <Application>Microsoft Office Word</Application>
  <DocSecurity>4</DocSecurity>
  <Lines>306</Lines>
  <Paragraphs>85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Strypstein Nicolas</dc:creator>
  <cp:lastModifiedBy>Arys Viviane</cp:lastModifiedBy>
  <cp:revision>2</cp:revision>
  <cp:lastPrinted>2018-07-23T14:17:00Z</cp:lastPrinted>
  <dcterms:created xsi:type="dcterms:W3CDTF">2021-09-27T09:41:00Z</dcterms:created>
  <dcterms:modified xsi:type="dcterms:W3CDTF">2021-09-27T09:41:00Z</dcterms:modified>
</cp:coreProperties>
</file>