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Layout w:type="fixed"/>
        <w:tblCellMar>
          <w:left w:w="113" w:type="dxa"/>
          <w:right w:w="0" w:type="dxa"/>
        </w:tblCellMar>
        <w:tblLook w:val="01E0" w:firstRow="1" w:lastRow="1" w:firstColumn="1" w:lastColumn="1" w:noHBand="0" w:noVBand="0"/>
      </w:tblPr>
      <w:tblGrid>
        <w:gridCol w:w="6067"/>
        <w:gridCol w:w="3856"/>
      </w:tblGrid>
      <w:tr w:rsidR="00D13BDC" w:rsidRPr="00562A44" w14:paraId="2273B43F" w14:textId="77777777" w:rsidTr="62ED3063">
        <w:trPr>
          <w:cantSplit/>
          <w:trHeight w:hRule="exact" w:val="1077"/>
        </w:trPr>
        <w:tc>
          <w:tcPr>
            <w:tcW w:w="6067" w:type="dxa"/>
            <w:vAlign w:val="center"/>
          </w:tcPr>
          <w:p w14:paraId="1E1945EC" w14:textId="77777777" w:rsidR="00D13BDC" w:rsidRPr="00FE24A6" w:rsidRDefault="00D13BDC" w:rsidP="007B7965">
            <w:pPr>
              <w:pStyle w:val="AdresseAdres"/>
              <w:spacing w:before="300"/>
            </w:pPr>
            <w:r w:rsidRPr="00FE24A6">
              <w:t>boulevard de Berlaimont 14 – BE-1000 Bruxelles</w:t>
            </w:r>
          </w:p>
          <w:p w14:paraId="4A9C2D39" w14:textId="51B2A462" w:rsidR="00D13BDC" w:rsidRPr="00FE24A6" w:rsidRDefault="00D13BDC" w:rsidP="00F07FD0">
            <w:pPr>
              <w:pStyle w:val="AdresseAdres"/>
            </w:pPr>
            <w:r>
              <w:t xml:space="preserve">tél. +32 2 221 </w:t>
            </w:r>
            <w:r w:rsidR="00BE6375">
              <w:t>44 74</w:t>
            </w:r>
            <w:r>
              <w:t xml:space="preserve"> – f</w:t>
            </w:r>
            <w:r w:rsidRPr="00FE24A6">
              <w:t xml:space="preserve">ax + 32 2 221 </w:t>
            </w:r>
            <w:r w:rsidR="00306F7F">
              <w:t xml:space="preserve">31 </w:t>
            </w:r>
            <w:r w:rsidR="00BE6375">
              <w:t>36</w:t>
            </w:r>
          </w:p>
          <w:p w14:paraId="647FD047" w14:textId="77777777" w:rsidR="00D13BDC" w:rsidRPr="00FE24A6" w:rsidRDefault="00D13BDC" w:rsidP="00F07FD0">
            <w:pPr>
              <w:pStyle w:val="AdresseAdres"/>
            </w:pPr>
            <w:r w:rsidRPr="00FE24A6">
              <w:t>numéro d’entreprise: 0203.201.340</w:t>
            </w:r>
          </w:p>
          <w:p w14:paraId="16661534" w14:textId="77777777" w:rsidR="00D13BDC" w:rsidRPr="00FE24A6" w:rsidRDefault="00D13BDC" w:rsidP="00F07FD0">
            <w:pPr>
              <w:pStyle w:val="AdresseAdres"/>
            </w:pPr>
            <w:r w:rsidRPr="00FE24A6">
              <w:t>RPM Bruxelles</w:t>
            </w:r>
          </w:p>
          <w:p w14:paraId="65482476" w14:textId="77777777" w:rsidR="00D13BDC" w:rsidRPr="00562A44" w:rsidRDefault="00D13BDC" w:rsidP="00D13BDC">
            <w:pPr>
              <w:pStyle w:val="AdresseAdres"/>
              <w:rPr>
                <w:lang w:val="fr-BE"/>
              </w:rPr>
            </w:pPr>
            <w:r w:rsidRPr="00FE24A6">
              <w:t>www.bnb.be</w:t>
            </w:r>
          </w:p>
        </w:tc>
        <w:tc>
          <w:tcPr>
            <w:tcW w:w="3856" w:type="dxa"/>
            <w:shd w:val="clear" w:color="auto" w:fill="auto"/>
            <w:vAlign w:val="center"/>
          </w:tcPr>
          <w:p w14:paraId="1BABA207" w14:textId="77777777" w:rsidR="00D13BDC" w:rsidRPr="00562A44" w:rsidRDefault="00D13BDC" w:rsidP="00682F2F">
            <w:pPr>
              <w:spacing w:line="260" w:lineRule="atLeast"/>
              <w:rPr>
                <w:sz w:val="16"/>
                <w:szCs w:val="16"/>
                <w:lang w:val="fr-BE"/>
              </w:rPr>
            </w:pPr>
            <w:r w:rsidRPr="00DD0AAC">
              <w:rPr>
                <w:noProof/>
                <w:sz w:val="16"/>
                <w:szCs w:val="16"/>
                <w:lang w:val="en-US"/>
              </w:rPr>
              <w:drawing>
                <wp:inline distT="0" distB="0" distL="0" distR="0" wp14:anchorId="7F122CEE" wp14:editId="7752AC6E">
                  <wp:extent cx="2343150" cy="581025"/>
                  <wp:effectExtent l="19050" t="0" r="0" b="0"/>
                  <wp:docPr id="15"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11"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p>
        </w:tc>
      </w:tr>
      <w:tr w:rsidR="00D13BDC" w:rsidRPr="00562A44" w14:paraId="0337CCAC" w14:textId="77777777" w:rsidTr="62ED3063">
        <w:trPr>
          <w:cantSplit/>
          <w:trHeight w:hRule="exact" w:val="1044"/>
        </w:trPr>
        <w:tc>
          <w:tcPr>
            <w:tcW w:w="6067" w:type="dxa"/>
            <w:shd w:val="clear" w:color="auto" w:fill="auto"/>
          </w:tcPr>
          <w:p w14:paraId="4BD69639" w14:textId="77777777" w:rsidR="00D13BDC" w:rsidRPr="000A56E5" w:rsidRDefault="00D13BDC" w:rsidP="00682F2F">
            <w:pPr>
              <w:pStyle w:val="AdresseAdres"/>
              <w:tabs>
                <w:tab w:val="center" w:pos="4678"/>
                <w:tab w:val="right" w:pos="9356"/>
              </w:tabs>
              <w:spacing w:line="260" w:lineRule="atLeast"/>
              <w:rPr>
                <w:sz w:val="16"/>
              </w:rPr>
            </w:pPr>
          </w:p>
        </w:tc>
        <w:tc>
          <w:tcPr>
            <w:tcW w:w="3856" w:type="dxa"/>
            <w:shd w:val="clear" w:color="auto" w:fill="auto"/>
            <w:vAlign w:val="bottom"/>
          </w:tcPr>
          <w:p w14:paraId="024DF189" w14:textId="77777777" w:rsidR="00D13BDC" w:rsidRPr="004911A8" w:rsidRDefault="00D13BDC" w:rsidP="004E6FD5">
            <w:pPr>
              <w:pStyle w:val="TitreTitel"/>
              <w:keepLines/>
              <w:tabs>
                <w:tab w:val="left" w:pos="284"/>
                <w:tab w:val="right" w:leader="dot" w:pos="9639"/>
              </w:tabs>
              <w:spacing w:after="170"/>
              <w:ind w:left="397" w:right="567" w:hanging="397"/>
            </w:pPr>
          </w:p>
        </w:tc>
      </w:tr>
      <w:tr w:rsidR="00D13BDC" w:rsidRPr="00812A3E" w14:paraId="40AB231B" w14:textId="77777777" w:rsidTr="62ED3063">
        <w:trPr>
          <w:cantSplit/>
          <w:trHeight w:hRule="exact" w:val="794"/>
        </w:trPr>
        <w:tc>
          <w:tcPr>
            <w:tcW w:w="6067" w:type="dxa"/>
            <w:shd w:val="clear" w:color="auto" w:fill="auto"/>
          </w:tcPr>
          <w:p w14:paraId="0EB382EF" w14:textId="77777777" w:rsidR="00D13BDC" w:rsidRPr="00562A44" w:rsidRDefault="00D13BDC" w:rsidP="00C67902">
            <w:pPr>
              <w:pStyle w:val="AdresseAdres"/>
              <w:rPr>
                <w:lang w:val="fr-BE"/>
              </w:rPr>
            </w:pPr>
          </w:p>
        </w:tc>
        <w:tc>
          <w:tcPr>
            <w:tcW w:w="3856" w:type="dxa"/>
          </w:tcPr>
          <w:p w14:paraId="17B2C7E4" w14:textId="02E1C6AF" w:rsidR="00D13BDC" w:rsidRPr="00562A44" w:rsidRDefault="00D13BDC" w:rsidP="00D26562">
            <w:pPr>
              <w:spacing w:line="260" w:lineRule="atLeast"/>
              <w:rPr>
                <w:lang w:val="fr-BE"/>
              </w:rPr>
            </w:pPr>
            <w:r w:rsidRPr="00562A44">
              <w:rPr>
                <w:lang w:val="fr-BE"/>
              </w:rPr>
              <w:t>Bru</w:t>
            </w:r>
            <w:r>
              <w:rPr>
                <w:lang w:val="fr-BE"/>
              </w:rPr>
              <w:t>x</w:t>
            </w:r>
            <w:r w:rsidRPr="00562A44">
              <w:rPr>
                <w:lang w:val="fr-BE"/>
              </w:rPr>
              <w:t>el</w:t>
            </w:r>
            <w:r>
              <w:rPr>
                <w:lang w:val="fr-BE"/>
              </w:rPr>
              <w:t>les</w:t>
            </w:r>
            <w:r w:rsidRPr="00562A44">
              <w:rPr>
                <w:lang w:val="fr-BE"/>
              </w:rPr>
              <w:t>,</w:t>
            </w:r>
            <w:r>
              <w:rPr>
                <w:lang w:val="fr-BE"/>
              </w:rPr>
              <w:t xml:space="preserve"> le</w:t>
            </w:r>
            <w:r w:rsidRPr="00562A44">
              <w:rPr>
                <w:lang w:val="fr-BE"/>
              </w:rPr>
              <w:t xml:space="preserve"> </w:t>
            </w:r>
            <w:r w:rsidR="00BE6375">
              <w:rPr>
                <w:lang w:val="fr-BE"/>
              </w:rPr>
              <w:t>17 mars 2021</w:t>
            </w:r>
          </w:p>
        </w:tc>
      </w:tr>
      <w:tr w:rsidR="00D13BDC" w:rsidRPr="00B01D0B" w14:paraId="2BA5D6A5" w14:textId="77777777" w:rsidTr="62ED3063">
        <w:trPr>
          <w:cantSplit/>
          <w:trHeight w:hRule="exact" w:val="340"/>
        </w:trPr>
        <w:tc>
          <w:tcPr>
            <w:tcW w:w="9923" w:type="dxa"/>
            <w:gridSpan w:val="2"/>
            <w:shd w:val="clear" w:color="auto" w:fill="auto"/>
            <w:vAlign w:val="center"/>
          </w:tcPr>
          <w:p w14:paraId="006E89B7" w14:textId="56AF4747" w:rsidR="00D13BDC" w:rsidRPr="00562A44" w:rsidRDefault="00D13BDC" w:rsidP="009C4323">
            <w:pPr>
              <w:pStyle w:val="AnnexeBijlage"/>
            </w:pPr>
            <w:r>
              <w:t xml:space="preserve">Annexe </w:t>
            </w:r>
            <w:r w:rsidR="009C4323">
              <w:t>2</w:t>
            </w:r>
            <w:r w:rsidR="00D26562">
              <w:t xml:space="preserve"> à la circulaire NBB_20</w:t>
            </w:r>
            <w:r w:rsidR="00482C61">
              <w:t>2</w:t>
            </w:r>
            <w:r w:rsidR="00BE6375">
              <w:t>1</w:t>
            </w:r>
            <w:r w:rsidR="00476584">
              <w:t>_</w:t>
            </w:r>
            <w:r w:rsidR="00BE6375">
              <w:t>0</w:t>
            </w:r>
            <w:r w:rsidR="00C60F53">
              <w:t>0</w:t>
            </w:r>
            <w:r w:rsidR="00BE6375">
              <w:t>6</w:t>
            </w:r>
          </w:p>
        </w:tc>
      </w:tr>
      <w:tr w:rsidR="00D13BDC" w:rsidRPr="00B01D0B" w14:paraId="6A603C9F" w14:textId="77777777" w:rsidTr="62ED3063">
        <w:trPr>
          <w:cantSplit/>
          <w:trHeight w:hRule="exact" w:val="1304"/>
        </w:trPr>
        <w:tc>
          <w:tcPr>
            <w:tcW w:w="9923" w:type="dxa"/>
            <w:gridSpan w:val="2"/>
            <w:tcMar>
              <w:top w:w="240" w:type="dxa"/>
            </w:tcMar>
            <w:vAlign w:val="bottom"/>
          </w:tcPr>
          <w:p w14:paraId="14285562" w14:textId="4D39A392" w:rsidR="00D13BDC" w:rsidRPr="009C4323" w:rsidRDefault="009C4323" w:rsidP="009C4323">
            <w:pPr>
              <w:pStyle w:val="SujetOnderwerp"/>
              <w:rPr>
                <w:szCs w:val="20"/>
              </w:rPr>
            </w:pPr>
            <w:r w:rsidRPr="009C4323">
              <w:rPr>
                <w:szCs w:val="20"/>
                <w:lang w:val="fr-BE"/>
              </w:rPr>
              <w:t>Transfert de portefeuille de contrats d’assurance ou de réassurance</w:t>
            </w:r>
            <w:r w:rsidR="00DD5960">
              <w:rPr>
                <w:szCs w:val="20"/>
                <w:lang w:val="fr-BE"/>
              </w:rPr>
              <w:t>, fusion ou scission</w:t>
            </w:r>
            <w:r w:rsidR="00DD5960" w:rsidDel="00DD5960">
              <w:rPr>
                <w:szCs w:val="20"/>
                <w:lang w:val="fr-BE"/>
              </w:rPr>
              <w:t xml:space="preserve"> </w:t>
            </w:r>
            <w:r w:rsidRPr="009C4323">
              <w:rPr>
                <w:szCs w:val="20"/>
                <w:lang w:val="fr-BE"/>
              </w:rPr>
              <w:br/>
              <w:t>Informations relatives à l'entreprise cessionnaire</w:t>
            </w:r>
            <w:r w:rsidR="0071627E">
              <w:rPr>
                <w:szCs w:val="20"/>
                <w:lang w:val="fr-BE"/>
              </w:rPr>
              <w:t xml:space="preserve"> </w:t>
            </w:r>
            <w:r w:rsidR="00DD5960">
              <w:rPr>
                <w:szCs w:val="20"/>
                <w:lang w:val="fr-BE"/>
              </w:rPr>
              <w:t>/ absorbante / bénéficiaire de l’apport</w:t>
            </w:r>
          </w:p>
        </w:tc>
      </w:tr>
      <w:tr w:rsidR="00D13BDC" w:rsidRPr="00B01D0B" w14:paraId="403A9C7E" w14:textId="77777777" w:rsidTr="62ED3063">
        <w:trPr>
          <w:cantSplit/>
          <w:trHeight w:hRule="exact" w:val="397"/>
        </w:trPr>
        <w:tc>
          <w:tcPr>
            <w:tcW w:w="9923" w:type="dxa"/>
            <w:gridSpan w:val="2"/>
          </w:tcPr>
          <w:p w14:paraId="090281CF" w14:textId="77777777" w:rsidR="00D13BDC" w:rsidRPr="00562A44" w:rsidRDefault="00D13BDC" w:rsidP="00682F2F">
            <w:pPr>
              <w:spacing w:line="260" w:lineRule="atLeast"/>
              <w:rPr>
                <w:lang w:val="fr-BE"/>
              </w:rPr>
            </w:pPr>
          </w:p>
        </w:tc>
      </w:tr>
    </w:tbl>
    <w:p w14:paraId="239273C1" w14:textId="77777777" w:rsidR="00D13BDC" w:rsidRPr="000C33C9" w:rsidRDefault="00D13BDC" w:rsidP="00412DC4">
      <w:pPr>
        <w:pStyle w:val="Sous-titreOndertitel"/>
        <w:spacing w:before="240" w:after="120"/>
        <w:rPr>
          <w:lang w:val="fr-BE"/>
        </w:rPr>
      </w:pPr>
      <w:r w:rsidRPr="000C33C9">
        <w:rPr>
          <w:lang w:val="fr-BE"/>
        </w:rPr>
        <w:t>Champ d'application</w:t>
      </w:r>
    </w:p>
    <w:p w14:paraId="446F6EC2" w14:textId="718CDD8F" w:rsidR="001275FD" w:rsidRPr="00DD5960" w:rsidRDefault="001275FD" w:rsidP="00412DC4">
      <w:pPr>
        <w:pStyle w:val="ListParagraph"/>
        <w:numPr>
          <w:ilvl w:val="0"/>
          <w:numId w:val="31"/>
        </w:numPr>
        <w:spacing w:after="120" w:line="260" w:lineRule="atLeast"/>
        <w:contextualSpacing w:val="0"/>
        <w:jc w:val="both"/>
        <w:rPr>
          <w:i/>
          <w:sz w:val="22"/>
          <w:lang w:val="fr-BE" w:eastAsia="nl-NL" w:bidi="nl-NL"/>
        </w:rPr>
      </w:pPr>
      <w:r w:rsidRPr="00DD5960">
        <w:rPr>
          <w:i/>
          <w:sz w:val="22"/>
          <w:lang w:val="fr-BE" w:eastAsia="nl-NL" w:bidi="nl-NL"/>
        </w:rPr>
        <w:t>Les entreprises d’assurance et de réassurance de droit belge soumises à la loi du 13 mars 2016 relative au statut et au contrôle des entreprises d'assurance ou de réassurance (y compris les entreprises d'assurance visées aux articles 275, 276 ou 294 de la loi du 13 mars 2016 précitée) </w:t>
      </w:r>
    </w:p>
    <w:p w14:paraId="01F8D26F" w14:textId="129F4D68" w:rsidR="001275FD" w:rsidRPr="00DD5960" w:rsidRDefault="001275FD" w:rsidP="00412DC4">
      <w:pPr>
        <w:pStyle w:val="ListParagraph"/>
        <w:numPr>
          <w:ilvl w:val="0"/>
          <w:numId w:val="31"/>
        </w:numPr>
        <w:spacing w:after="120" w:line="260" w:lineRule="atLeast"/>
        <w:contextualSpacing w:val="0"/>
        <w:jc w:val="both"/>
        <w:rPr>
          <w:i/>
          <w:sz w:val="22"/>
          <w:lang w:val="fr-BE" w:eastAsia="nl-NL" w:bidi="nl-NL"/>
        </w:rPr>
      </w:pPr>
      <w:r w:rsidRPr="00DD5960">
        <w:rPr>
          <w:i/>
          <w:sz w:val="22"/>
          <w:lang w:val="fr-BE" w:eastAsia="nl-NL" w:bidi="nl-NL"/>
        </w:rPr>
        <w:t>Les succursales agréées en Belgique d’entreprises d’assurance ayant leur siège social dans un pays tiers (pays qui n’est pas partie à l'accord sur l'Espace économique européen (EEE)</w:t>
      </w:r>
      <w:proofErr w:type="gramStart"/>
      <w:r w:rsidRPr="00DD5960">
        <w:rPr>
          <w:i/>
          <w:sz w:val="22"/>
          <w:lang w:val="fr-BE" w:eastAsia="nl-NL" w:bidi="nl-NL"/>
        </w:rPr>
        <w:t>)</w:t>
      </w:r>
      <w:r w:rsidR="00FA3F42" w:rsidRPr="00DD5960">
        <w:rPr>
          <w:i/>
          <w:sz w:val="22"/>
          <w:lang w:val="fr-BE" w:eastAsia="nl-NL" w:bidi="nl-NL"/>
        </w:rPr>
        <w:t xml:space="preserve"> </w:t>
      </w:r>
      <w:r w:rsidRPr="00DD5960">
        <w:rPr>
          <w:i/>
          <w:sz w:val="22"/>
          <w:lang w:val="fr-BE" w:eastAsia="nl-NL" w:bidi="nl-NL"/>
        </w:rPr>
        <w:t>.</w:t>
      </w:r>
      <w:proofErr w:type="gramEnd"/>
    </w:p>
    <w:p w14:paraId="41ADAA84" w14:textId="77777777" w:rsidR="00476584" w:rsidRDefault="00476584">
      <w:pPr>
        <w:tabs>
          <w:tab w:val="clear" w:pos="284"/>
        </w:tabs>
        <w:spacing w:line="240" w:lineRule="auto"/>
        <w:rPr>
          <w:lang w:val="fr-BE"/>
        </w:rPr>
      </w:pPr>
      <w:r>
        <w:rPr>
          <w:lang w:val="fr-BE"/>
        </w:rPr>
        <w:br w:type="page"/>
      </w:r>
    </w:p>
    <w:p w14:paraId="3E735AA7" w14:textId="60083159" w:rsidR="009C4323" w:rsidRDefault="009C4323" w:rsidP="009C4323">
      <w:pPr>
        <w:pBdr>
          <w:top w:val="single" w:sz="4" w:space="1" w:color="auto"/>
          <w:left w:val="single" w:sz="4" w:space="4" w:color="auto"/>
          <w:bottom w:val="single" w:sz="4" w:space="1" w:color="auto"/>
          <w:right w:val="single" w:sz="4" w:space="4" w:color="auto"/>
        </w:pBdr>
        <w:rPr>
          <w:i/>
          <w:lang w:val="fr-BE"/>
        </w:rPr>
      </w:pPr>
      <w:r w:rsidRPr="009C4323">
        <w:rPr>
          <w:i/>
          <w:lang w:val="fr-BE"/>
        </w:rPr>
        <w:lastRenderedPageBreak/>
        <w:t>Ce formulaire concerne les informations relatives à l'entreprise cessionnaire</w:t>
      </w:r>
      <w:r w:rsidR="00DD5960">
        <w:rPr>
          <w:i/>
          <w:lang w:val="fr-BE"/>
        </w:rPr>
        <w:t xml:space="preserve"> / absorbante / bénéficiaire de l’apport</w:t>
      </w:r>
      <w:r w:rsidRPr="009C4323">
        <w:rPr>
          <w:i/>
          <w:lang w:val="fr-BE"/>
        </w:rPr>
        <w:t xml:space="preserve">, que celle-ci soit une </w:t>
      </w:r>
      <w:bookmarkStart w:id="0" w:name="_Hlk41990822"/>
      <w:r w:rsidRPr="009C4323">
        <w:rPr>
          <w:i/>
          <w:lang w:val="fr-BE"/>
        </w:rPr>
        <w:t>entreprise d'assurance ou de réassurance de droit belge ou la succursale belge d'une entreprise d'assurance relevant du droit d'un pays tiers</w:t>
      </w:r>
      <w:bookmarkEnd w:id="0"/>
      <w:r w:rsidRPr="009C4323">
        <w:rPr>
          <w:i/>
          <w:lang w:val="fr-BE"/>
        </w:rPr>
        <w:t>. Il doit être transmis par l'entreprise cessionnaire</w:t>
      </w:r>
      <w:r w:rsidR="00DD5960">
        <w:rPr>
          <w:i/>
          <w:lang w:val="fr-BE"/>
        </w:rPr>
        <w:t xml:space="preserve"> / absorbante / bénéficiaire de l’apport</w:t>
      </w:r>
      <w:r w:rsidRPr="009C4323">
        <w:rPr>
          <w:i/>
          <w:lang w:val="fr-BE"/>
        </w:rPr>
        <w:t xml:space="preserve"> à moins que l'entreprise cédante </w:t>
      </w:r>
      <w:r w:rsidR="00DD5960">
        <w:rPr>
          <w:i/>
          <w:lang w:val="fr-BE"/>
        </w:rPr>
        <w:t xml:space="preserve">/ absorbée / scindée </w:t>
      </w:r>
      <w:r w:rsidRPr="009C4323">
        <w:rPr>
          <w:i/>
          <w:lang w:val="fr-BE"/>
        </w:rPr>
        <w:t>ne prenne en charge cette tâche.</w:t>
      </w:r>
    </w:p>
    <w:p w14:paraId="6A699B32" w14:textId="17A1410A" w:rsidR="009C4323" w:rsidRPr="009C4323" w:rsidRDefault="000C33C9" w:rsidP="009C4323">
      <w:pPr>
        <w:keepNext/>
        <w:keepLines/>
        <w:tabs>
          <w:tab w:val="clear" w:pos="284"/>
        </w:tabs>
        <w:spacing w:before="360" w:after="240" w:line="260" w:lineRule="atLeast"/>
        <w:jc w:val="both"/>
        <w:rPr>
          <w:b/>
          <w:u w:val="single"/>
          <w:lang w:val="fr-BE"/>
        </w:rPr>
      </w:pPr>
      <w:r>
        <w:rPr>
          <w:b/>
          <w:lang w:val="fr-BE"/>
        </w:rPr>
        <w:t>1.</w:t>
      </w:r>
      <w:r>
        <w:rPr>
          <w:b/>
          <w:lang w:val="fr-BE"/>
        </w:rPr>
        <w:tab/>
      </w:r>
      <w:r w:rsidR="009C4323" w:rsidRPr="009C4323">
        <w:rPr>
          <w:b/>
          <w:u w:val="single"/>
          <w:lang w:val="fr-BE"/>
        </w:rPr>
        <w:t>Coordonnées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7"/>
        <w:gridCol w:w="4497"/>
      </w:tblGrid>
      <w:tr w:rsidR="009C4323" w:rsidRPr="009C4323" w14:paraId="3C6CFFBC" w14:textId="77777777" w:rsidTr="00A16D2D">
        <w:tc>
          <w:tcPr>
            <w:tcW w:w="4507" w:type="dxa"/>
          </w:tcPr>
          <w:p w14:paraId="7073C7E5" w14:textId="086F8FCC" w:rsidR="009C4323" w:rsidRPr="009C4323" w:rsidRDefault="009C4323" w:rsidP="009C4323">
            <w:pPr>
              <w:spacing w:after="120" w:line="260" w:lineRule="atLeast"/>
              <w:jc w:val="both"/>
              <w:rPr>
                <w:lang w:val="fr-BE"/>
              </w:rPr>
            </w:pPr>
            <w:r w:rsidRPr="009C4323">
              <w:rPr>
                <w:lang w:val="fr-BE"/>
              </w:rPr>
              <w:t xml:space="preserve">Nom, Legal </w:t>
            </w:r>
            <w:proofErr w:type="spellStart"/>
            <w:r w:rsidRPr="009C4323">
              <w:rPr>
                <w:lang w:val="fr-BE"/>
              </w:rPr>
              <w:t>Entity</w:t>
            </w:r>
            <w:proofErr w:type="spellEnd"/>
            <w:r w:rsidRPr="009C4323">
              <w:rPr>
                <w:lang w:val="fr-BE"/>
              </w:rPr>
              <w:t xml:space="preserve"> Identifier (LEI), code administratif et adresse du siège social de l’entreprise cédante</w:t>
            </w:r>
            <w:r w:rsidR="0047398F">
              <w:rPr>
                <w:lang w:val="fr-BE"/>
              </w:rPr>
              <w:t xml:space="preserve"> / absorbée / scindée</w:t>
            </w:r>
          </w:p>
        </w:tc>
        <w:tc>
          <w:tcPr>
            <w:tcW w:w="4497" w:type="dxa"/>
          </w:tcPr>
          <w:p w14:paraId="24C88A43" w14:textId="77777777" w:rsidR="009C4323" w:rsidRPr="009C4323" w:rsidRDefault="009C4323" w:rsidP="009C4323">
            <w:pPr>
              <w:spacing w:after="120" w:line="260" w:lineRule="atLeast"/>
              <w:jc w:val="both"/>
              <w:rPr>
                <w:lang w:val="fr-BE"/>
              </w:rPr>
            </w:pPr>
            <w:r w:rsidRPr="009C4323">
              <w:rPr>
                <w:lang w:val="fr-BE"/>
              </w:rPr>
              <w:t>[</w:t>
            </w:r>
            <w:proofErr w:type="gramStart"/>
            <w:r w:rsidRPr="009C4323">
              <w:rPr>
                <w:lang w:val="fr-BE"/>
              </w:rPr>
              <w:t>à</w:t>
            </w:r>
            <w:proofErr w:type="gramEnd"/>
            <w:r w:rsidRPr="009C4323">
              <w:rPr>
                <w:lang w:val="fr-BE"/>
              </w:rPr>
              <w:t xml:space="preserve"> remplir par l’entreprise]</w:t>
            </w:r>
          </w:p>
        </w:tc>
      </w:tr>
      <w:tr w:rsidR="009C4323" w:rsidRPr="009C4323" w14:paraId="5569590F" w14:textId="77777777" w:rsidTr="00A16D2D">
        <w:tc>
          <w:tcPr>
            <w:tcW w:w="4507" w:type="dxa"/>
          </w:tcPr>
          <w:p w14:paraId="3C9BAF81" w14:textId="66099AAE" w:rsidR="009C4323" w:rsidRPr="009C4323" w:rsidRDefault="009C4323" w:rsidP="009C4323">
            <w:pPr>
              <w:spacing w:after="120" w:line="260" w:lineRule="atLeast"/>
              <w:jc w:val="both"/>
              <w:rPr>
                <w:lang w:val="fr-BE"/>
              </w:rPr>
            </w:pPr>
            <w:r w:rsidRPr="009C4323">
              <w:rPr>
                <w:lang w:val="fr-BE"/>
              </w:rPr>
              <w:t xml:space="preserve">Nom, Legal </w:t>
            </w:r>
            <w:proofErr w:type="spellStart"/>
            <w:r w:rsidRPr="009C4323">
              <w:rPr>
                <w:lang w:val="fr-BE"/>
              </w:rPr>
              <w:t>Entity</w:t>
            </w:r>
            <w:proofErr w:type="spellEnd"/>
            <w:r w:rsidRPr="009C4323">
              <w:rPr>
                <w:lang w:val="fr-BE"/>
              </w:rPr>
              <w:t xml:space="preserve"> Identifier (LEI), code administratif et adresse du siège social de l’entreprise d’assurance ou de réassurance cessionnaire</w:t>
            </w:r>
            <w:r w:rsidR="00DB48B3">
              <w:rPr>
                <w:lang w:val="fr-BE"/>
              </w:rPr>
              <w:t xml:space="preserve"> / absorbante / bénéficiaire de l’apport</w:t>
            </w:r>
          </w:p>
        </w:tc>
        <w:tc>
          <w:tcPr>
            <w:tcW w:w="4497" w:type="dxa"/>
          </w:tcPr>
          <w:p w14:paraId="3BA8CA65" w14:textId="77777777" w:rsidR="009C4323" w:rsidRPr="009C4323" w:rsidRDefault="009C4323" w:rsidP="009C4323">
            <w:pPr>
              <w:spacing w:after="120" w:line="260" w:lineRule="atLeast"/>
              <w:jc w:val="both"/>
              <w:rPr>
                <w:lang w:val="fr-BE"/>
              </w:rPr>
            </w:pPr>
            <w:r w:rsidRPr="009C4323">
              <w:rPr>
                <w:lang w:val="fr-BE"/>
              </w:rPr>
              <w:t>[</w:t>
            </w:r>
            <w:proofErr w:type="gramStart"/>
            <w:r w:rsidRPr="009C4323">
              <w:rPr>
                <w:lang w:val="fr-BE"/>
              </w:rPr>
              <w:t>à</w:t>
            </w:r>
            <w:proofErr w:type="gramEnd"/>
            <w:r w:rsidRPr="009C4323">
              <w:rPr>
                <w:lang w:val="fr-BE"/>
              </w:rPr>
              <w:t xml:space="preserve"> remplir par l’entreprise]</w:t>
            </w:r>
          </w:p>
        </w:tc>
      </w:tr>
      <w:tr w:rsidR="009C4323" w:rsidRPr="009C4323" w14:paraId="2C6B7575" w14:textId="77777777" w:rsidTr="00A16D2D">
        <w:tc>
          <w:tcPr>
            <w:tcW w:w="4507" w:type="dxa"/>
          </w:tcPr>
          <w:p w14:paraId="458A8285" w14:textId="77777777" w:rsidR="009C4323" w:rsidRPr="009C4323" w:rsidRDefault="009C4323" w:rsidP="009C4323">
            <w:pPr>
              <w:spacing w:after="120" w:line="260" w:lineRule="atLeast"/>
              <w:jc w:val="both"/>
              <w:rPr>
                <w:lang w:val="fr-BE"/>
              </w:rPr>
            </w:pPr>
            <w:r w:rsidRPr="009C4323">
              <w:rPr>
                <w:lang w:val="fr-BE"/>
              </w:rPr>
              <w:t>Date d’effet du transfert (en distinguant le cas échéant entre la date d’effet comptable et la date d’effet juridique)</w:t>
            </w:r>
          </w:p>
        </w:tc>
        <w:tc>
          <w:tcPr>
            <w:tcW w:w="4497" w:type="dxa"/>
          </w:tcPr>
          <w:p w14:paraId="6DBDFBA2" w14:textId="77777777" w:rsidR="009C4323" w:rsidRPr="009C4323" w:rsidRDefault="009C4323" w:rsidP="009C4323">
            <w:pPr>
              <w:spacing w:after="120" w:line="260" w:lineRule="atLeast"/>
              <w:jc w:val="both"/>
              <w:rPr>
                <w:lang w:val="fr-BE"/>
              </w:rPr>
            </w:pPr>
            <w:r w:rsidRPr="009C4323">
              <w:rPr>
                <w:lang w:val="fr-BE"/>
              </w:rPr>
              <w:t>[</w:t>
            </w:r>
            <w:proofErr w:type="gramStart"/>
            <w:r w:rsidRPr="009C4323">
              <w:rPr>
                <w:lang w:val="fr-BE"/>
              </w:rPr>
              <w:t>à</w:t>
            </w:r>
            <w:proofErr w:type="gramEnd"/>
            <w:r w:rsidRPr="009C4323">
              <w:rPr>
                <w:lang w:val="fr-BE"/>
              </w:rPr>
              <w:t xml:space="preserve"> remplir par l’entreprise]</w:t>
            </w:r>
          </w:p>
        </w:tc>
      </w:tr>
      <w:tr w:rsidR="009C4323" w:rsidRPr="009C4323" w14:paraId="71EF6224" w14:textId="77777777" w:rsidTr="00A16D2D">
        <w:tc>
          <w:tcPr>
            <w:tcW w:w="4507" w:type="dxa"/>
          </w:tcPr>
          <w:p w14:paraId="3185C9DE" w14:textId="0C3C2630" w:rsidR="009C4323" w:rsidRPr="009C4323" w:rsidRDefault="009C4323" w:rsidP="009C4323">
            <w:pPr>
              <w:spacing w:after="120" w:line="260" w:lineRule="atLeast"/>
              <w:jc w:val="both"/>
              <w:rPr>
                <w:lang w:val="fr-BE"/>
              </w:rPr>
            </w:pPr>
            <w:r w:rsidRPr="009C4323">
              <w:rPr>
                <w:lang w:val="fr-BE"/>
              </w:rPr>
              <w:t>Nom, numéro de téléphone et courriel de la personne de contact dans l’entreprise cessionnaire</w:t>
            </w:r>
            <w:r w:rsidR="00DB48B3">
              <w:rPr>
                <w:lang w:val="fr-BE"/>
              </w:rPr>
              <w:t xml:space="preserve"> / absorbante / bénéficiaire de l’apport</w:t>
            </w:r>
          </w:p>
        </w:tc>
        <w:tc>
          <w:tcPr>
            <w:tcW w:w="4497" w:type="dxa"/>
          </w:tcPr>
          <w:p w14:paraId="749E249C" w14:textId="77777777" w:rsidR="009C4323" w:rsidRPr="009C4323" w:rsidRDefault="009C4323" w:rsidP="009C4323">
            <w:pPr>
              <w:spacing w:after="120" w:line="260" w:lineRule="atLeast"/>
              <w:jc w:val="both"/>
              <w:rPr>
                <w:lang w:val="fr-BE"/>
              </w:rPr>
            </w:pPr>
            <w:r w:rsidRPr="009C4323">
              <w:rPr>
                <w:lang w:val="fr-BE"/>
              </w:rPr>
              <w:t>[</w:t>
            </w:r>
            <w:proofErr w:type="gramStart"/>
            <w:r w:rsidRPr="009C4323">
              <w:rPr>
                <w:lang w:val="fr-BE"/>
              </w:rPr>
              <w:t>à</w:t>
            </w:r>
            <w:proofErr w:type="gramEnd"/>
            <w:r w:rsidRPr="009C4323">
              <w:rPr>
                <w:lang w:val="fr-BE"/>
              </w:rPr>
              <w:t xml:space="preserve"> remplir par l’entreprise]</w:t>
            </w:r>
          </w:p>
        </w:tc>
      </w:tr>
    </w:tbl>
    <w:p w14:paraId="0794E775" w14:textId="77777777" w:rsidR="009C4323" w:rsidRPr="009C4323" w:rsidRDefault="000C33C9" w:rsidP="009C4323">
      <w:pPr>
        <w:keepNext/>
        <w:keepLines/>
        <w:tabs>
          <w:tab w:val="clear" w:pos="284"/>
        </w:tabs>
        <w:spacing w:before="480" w:after="120" w:line="260" w:lineRule="atLeast"/>
        <w:jc w:val="both"/>
        <w:rPr>
          <w:b/>
          <w:u w:val="single"/>
          <w:lang w:val="fr-BE"/>
        </w:rPr>
      </w:pPr>
      <w:r>
        <w:rPr>
          <w:b/>
          <w:lang w:val="fr-BE"/>
        </w:rPr>
        <w:t>2.</w:t>
      </w:r>
      <w:r>
        <w:rPr>
          <w:b/>
          <w:lang w:val="fr-BE"/>
        </w:rPr>
        <w:tab/>
      </w:r>
      <w:r w:rsidR="009C4323" w:rsidRPr="009C4323">
        <w:rPr>
          <w:b/>
          <w:u w:val="single"/>
          <w:lang w:val="fr-BE"/>
        </w:rPr>
        <w:t>Informations générales concernant le transfert</w:t>
      </w:r>
    </w:p>
    <w:p w14:paraId="76802807" w14:textId="1298E141" w:rsidR="009C4323" w:rsidRPr="009C4323" w:rsidRDefault="009C4323" w:rsidP="00482C61">
      <w:pPr>
        <w:spacing w:after="120" w:line="260" w:lineRule="atLeast"/>
        <w:ind w:left="567" w:hanging="567"/>
        <w:jc w:val="both"/>
        <w:rPr>
          <w:lang w:val="fr-BE"/>
        </w:rPr>
      </w:pPr>
      <w:r w:rsidRPr="009C4323">
        <w:rPr>
          <w:lang w:val="fr-BE"/>
        </w:rPr>
        <w:t xml:space="preserve">2.1. </w:t>
      </w:r>
      <w:r w:rsidRPr="009C4323">
        <w:rPr>
          <w:lang w:val="fr-BE"/>
        </w:rPr>
        <w:tab/>
        <w:t>Description des motivations de l’opération pour l'entreprise cessionnaire (stratégie, business plan envisagé en rapport avec le portefeuille à recevoir, etc.)</w:t>
      </w:r>
      <w:r w:rsidR="00BC79B8">
        <w:rPr>
          <w:lang w:val="fr-BE"/>
        </w:rPr>
        <w:t>, y compris en cas de fusion ou scission.</w:t>
      </w:r>
    </w:p>
    <w:p w14:paraId="2D8C7B0C" w14:textId="36DD31FB" w:rsidR="009C4323" w:rsidRPr="00DB48B3" w:rsidRDefault="009C4323" w:rsidP="009C4323">
      <w:pPr>
        <w:spacing w:after="120" w:line="260" w:lineRule="atLeast"/>
        <w:ind w:left="567" w:hanging="567"/>
        <w:jc w:val="both"/>
        <w:rPr>
          <w:szCs w:val="24"/>
          <w:lang w:val="fr-BE"/>
        </w:rPr>
      </w:pPr>
      <w:r w:rsidRPr="009C4323">
        <w:rPr>
          <w:lang w:val="fr-BE"/>
        </w:rPr>
        <w:t>2.2.</w:t>
      </w:r>
      <w:r w:rsidRPr="009C4323">
        <w:rPr>
          <w:lang w:val="fr-BE"/>
        </w:rPr>
        <w:tab/>
        <w:t>Lorsque l'entreprise cédante</w:t>
      </w:r>
      <w:r w:rsidR="00482C61">
        <w:rPr>
          <w:lang w:val="fr-BE"/>
        </w:rPr>
        <w:t>, absorbée ou scindée</w:t>
      </w:r>
      <w:r w:rsidRPr="009C4323">
        <w:rPr>
          <w:lang w:val="fr-BE"/>
        </w:rPr>
        <w:t xml:space="preserve"> relève du droit d'un pays tiers, description du portefeuille à transférer (branches d’assurances ou activités de réassurance concernées, nature des contrats à transférer, </w:t>
      </w:r>
      <w:r w:rsidRPr="009C4323">
        <w:rPr>
          <w:szCs w:val="24"/>
          <w:lang w:val="fr-BE"/>
        </w:rPr>
        <w:t xml:space="preserve">prix de la transaction, modalités techniques du transfert, </w:t>
      </w:r>
      <w:r w:rsidRPr="00DB48B3">
        <w:rPr>
          <w:szCs w:val="24"/>
          <w:lang w:val="fr-BE"/>
        </w:rPr>
        <w:t>etc.)</w:t>
      </w:r>
      <w:r w:rsidR="00D3230B" w:rsidRPr="00DB48B3">
        <w:rPr>
          <w:szCs w:val="24"/>
          <w:lang w:val="fr-BE"/>
        </w:rPr>
        <w:t xml:space="preserve"> ou, en cas de fusion ou de scission, lorsque l'activité cédée concerne d’autres éléments qu’un portefeuille d'assurance ou de réassurance ou lorsque l'entreprise absorbée ou l'entreprise scindée n'est pas une entreprise d'assurance ou de réassurance, description de l'activité à transférer (type d'activité, clients, chiffres clés financiers, </w:t>
      </w:r>
      <w:r w:rsidR="00D3230B" w:rsidRPr="00BE6375">
        <w:rPr>
          <w:szCs w:val="24"/>
          <w:lang w:val="fr-BE"/>
        </w:rPr>
        <w:t>aperçu des</w:t>
      </w:r>
      <w:r w:rsidR="00D3230B" w:rsidRPr="00DB48B3">
        <w:rPr>
          <w:szCs w:val="24"/>
          <w:lang w:val="fr-BE"/>
        </w:rPr>
        <w:t xml:space="preserve"> éléments d'actif et de passif à transférer)</w:t>
      </w:r>
      <w:r w:rsidRPr="00DB48B3">
        <w:rPr>
          <w:szCs w:val="24"/>
          <w:lang w:val="fr-BE"/>
        </w:rPr>
        <w:t>.</w:t>
      </w:r>
    </w:p>
    <w:p w14:paraId="0159416C" w14:textId="4CBC0FDC" w:rsidR="009C4323" w:rsidRDefault="009C4323" w:rsidP="62ED3063">
      <w:pPr>
        <w:spacing w:after="120" w:line="260" w:lineRule="atLeast"/>
        <w:ind w:left="567" w:hanging="567"/>
        <w:jc w:val="both"/>
        <w:rPr>
          <w:lang w:val="fr-BE"/>
        </w:rPr>
      </w:pPr>
      <w:r w:rsidRPr="62ED3063">
        <w:rPr>
          <w:lang w:val="fr-BE"/>
        </w:rPr>
        <w:t>2.3.</w:t>
      </w:r>
      <w:r w:rsidRPr="00B01D0B">
        <w:rPr>
          <w:lang w:val="fr-BE"/>
        </w:rPr>
        <w:tab/>
      </w:r>
      <w:r w:rsidRPr="62ED3063">
        <w:rPr>
          <w:lang w:val="fr-BE"/>
        </w:rPr>
        <w:t>Lorsque l'entreprise cédante</w:t>
      </w:r>
      <w:r w:rsidR="00482C61" w:rsidRPr="62ED3063">
        <w:rPr>
          <w:lang w:val="fr-BE"/>
        </w:rPr>
        <w:t>, absorbée ou scindée</w:t>
      </w:r>
      <w:r w:rsidRPr="62ED3063">
        <w:rPr>
          <w:lang w:val="fr-BE"/>
        </w:rPr>
        <w:t xml:space="preserve"> relève du droit d'un pays tiers, copie d</w:t>
      </w:r>
      <w:r w:rsidR="008B23BD" w:rsidRPr="62ED3063">
        <w:rPr>
          <w:lang w:val="fr-BE"/>
        </w:rPr>
        <w:t>e la convention ou d</w:t>
      </w:r>
      <w:r w:rsidRPr="62ED3063">
        <w:rPr>
          <w:lang w:val="fr-BE"/>
        </w:rPr>
        <w:t>u projet de convention de transfert</w:t>
      </w:r>
      <w:r w:rsidR="00D36ADA" w:rsidRPr="62ED3063">
        <w:rPr>
          <w:lang w:val="fr-BE"/>
        </w:rPr>
        <w:t xml:space="preserve"> ou de la proposition de</w:t>
      </w:r>
      <w:r w:rsidR="00482C61" w:rsidRPr="62ED3063">
        <w:rPr>
          <w:lang w:val="fr-BE"/>
        </w:rPr>
        <w:t xml:space="preserve"> fusion ou</w:t>
      </w:r>
      <w:r w:rsidR="008B23BD" w:rsidRPr="62ED3063">
        <w:rPr>
          <w:lang w:val="fr-BE"/>
        </w:rPr>
        <w:t xml:space="preserve"> de</w:t>
      </w:r>
      <w:r w:rsidR="00482C61" w:rsidRPr="62ED3063">
        <w:rPr>
          <w:lang w:val="fr-BE"/>
        </w:rPr>
        <w:t xml:space="preserve"> scission</w:t>
      </w:r>
      <w:r w:rsidRPr="62ED3063">
        <w:rPr>
          <w:lang w:val="fr-BE"/>
        </w:rPr>
        <w:t xml:space="preserve"> et, </w:t>
      </w:r>
      <w:proofErr w:type="gramStart"/>
      <w:r w:rsidRPr="62ED3063">
        <w:rPr>
          <w:lang w:val="fr-BE"/>
        </w:rPr>
        <w:t>le</w:t>
      </w:r>
      <w:proofErr w:type="gramEnd"/>
      <w:r w:rsidRPr="62ED3063">
        <w:rPr>
          <w:lang w:val="fr-BE"/>
        </w:rPr>
        <w:t xml:space="preserve"> cas échéant, des résultats </w:t>
      </w:r>
      <w:r w:rsidR="00721D55" w:rsidRPr="62ED3063">
        <w:rPr>
          <w:lang w:val="fr-BE"/>
        </w:rPr>
        <w:t>du</w:t>
      </w:r>
      <w:r w:rsidRPr="62ED3063">
        <w:rPr>
          <w:lang w:val="fr-BE"/>
        </w:rPr>
        <w:t xml:space="preserve"> “</w:t>
      </w:r>
      <w:r w:rsidRPr="62ED3063">
        <w:rPr>
          <w:i/>
          <w:iCs/>
          <w:lang w:val="fr-BE"/>
        </w:rPr>
        <w:t>due diligence</w:t>
      </w:r>
      <w:r w:rsidRPr="62ED3063">
        <w:rPr>
          <w:lang w:val="fr-BE"/>
        </w:rPr>
        <w:t xml:space="preserve">” </w:t>
      </w:r>
      <w:r w:rsidR="00BC79B8" w:rsidRPr="62ED3063">
        <w:rPr>
          <w:lang w:val="fr-BE"/>
        </w:rPr>
        <w:t>et</w:t>
      </w:r>
      <w:r w:rsidR="00096599" w:rsidRPr="62ED3063">
        <w:rPr>
          <w:lang w:val="fr-BE"/>
        </w:rPr>
        <w:t>/</w:t>
      </w:r>
      <w:r w:rsidRPr="62ED3063">
        <w:rPr>
          <w:lang w:val="fr-BE"/>
        </w:rPr>
        <w:t>ou des audits réalisé</w:t>
      </w:r>
      <w:r w:rsidR="00096599" w:rsidRPr="62ED3063">
        <w:rPr>
          <w:lang w:val="fr-BE"/>
        </w:rPr>
        <w:t>s</w:t>
      </w:r>
      <w:r w:rsidRPr="62ED3063">
        <w:rPr>
          <w:lang w:val="fr-BE"/>
        </w:rPr>
        <w:t xml:space="preserve"> sur le portefeuille à céd</w:t>
      </w:r>
      <w:r w:rsidR="000C33C9" w:rsidRPr="62ED3063">
        <w:rPr>
          <w:lang w:val="fr-BE"/>
        </w:rPr>
        <w:t>er ou</w:t>
      </w:r>
      <w:r w:rsidR="00BC79B8" w:rsidRPr="62ED3063">
        <w:rPr>
          <w:lang w:val="fr-BE"/>
        </w:rPr>
        <w:t xml:space="preserve"> sur</w:t>
      </w:r>
      <w:r w:rsidR="000C33C9" w:rsidRPr="62ED3063">
        <w:rPr>
          <w:lang w:val="fr-BE"/>
        </w:rPr>
        <w:t xml:space="preserve"> certains de ses éléments.</w:t>
      </w:r>
    </w:p>
    <w:p w14:paraId="582F7957" w14:textId="77777777" w:rsidR="009C4323" w:rsidRPr="009C4323" w:rsidRDefault="000C33C9" w:rsidP="009C4323">
      <w:pPr>
        <w:keepNext/>
        <w:keepLines/>
        <w:tabs>
          <w:tab w:val="clear" w:pos="284"/>
        </w:tabs>
        <w:spacing w:before="480" w:after="120" w:line="260" w:lineRule="atLeast"/>
        <w:jc w:val="both"/>
        <w:rPr>
          <w:b/>
          <w:u w:val="single"/>
          <w:lang w:val="fr-BE"/>
        </w:rPr>
      </w:pPr>
      <w:r>
        <w:rPr>
          <w:b/>
          <w:lang w:val="fr-BE"/>
        </w:rPr>
        <w:t>3.</w:t>
      </w:r>
      <w:r>
        <w:rPr>
          <w:b/>
          <w:lang w:val="fr-BE"/>
        </w:rPr>
        <w:tab/>
      </w:r>
      <w:r w:rsidR="009C4323" w:rsidRPr="009C4323">
        <w:rPr>
          <w:b/>
          <w:u w:val="single"/>
          <w:lang w:val="fr-BE"/>
        </w:rPr>
        <w:t>Aspects financiers</w:t>
      </w:r>
    </w:p>
    <w:p w14:paraId="304EE5C9" w14:textId="77777777" w:rsidR="009C4323" w:rsidRPr="009C4323" w:rsidRDefault="009C4323" w:rsidP="009C4323">
      <w:pPr>
        <w:spacing w:before="240" w:after="120" w:line="260" w:lineRule="atLeast"/>
        <w:ind w:left="567" w:hanging="567"/>
        <w:jc w:val="both"/>
        <w:rPr>
          <w:szCs w:val="24"/>
          <w:lang w:val="fr-BE"/>
        </w:rPr>
      </w:pPr>
      <w:r w:rsidRPr="009C4323">
        <w:rPr>
          <w:szCs w:val="24"/>
          <w:lang w:val="fr-BE"/>
        </w:rPr>
        <w:t>3.1.</w:t>
      </w:r>
      <w:r w:rsidRPr="009C4323">
        <w:rPr>
          <w:szCs w:val="24"/>
          <w:lang w:val="fr-BE"/>
        </w:rPr>
        <w:tab/>
        <w:t>Informations concernant la réas</w:t>
      </w:r>
      <w:r w:rsidR="00476584">
        <w:rPr>
          <w:szCs w:val="24"/>
          <w:lang w:val="fr-BE"/>
        </w:rPr>
        <w:t>surance des risques à recevoir.</w:t>
      </w:r>
    </w:p>
    <w:p w14:paraId="5DD21387" w14:textId="77777777" w:rsidR="009C4323" w:rsidRPr="009C4323" w:rsidRDefault="009C4323" w:rsidP="009C4323">
      <w:pPr>
        <w:spacing w:after="120" w:line="260" w:lineRule="atLeast"/>
        <w:ind w:left="568" w:hanging="568"/>
        <w:jc w:val="both"/>
        <w:rPr>
          <w:szCs w:val="24"/>
          <w:lang w:val="fr-BE"/>
        </w:rPr>
      </w:pPr>
      <w:r w:rsidRPr="009C4323">
        <w:rPr>
          <w:szCs w:val="24"/>
          <w:lang w:val="fr-BE"/>
        </w:rPr>
        <w:t>3.2.</w:t>
      </w:r>
      <w:r w:rsidRPr="009C4323">
        <w:rPr>
          <w:szCs w:val="24"/>
          <w:lang w:val="fr-BE"/>
        </w:rPr>
        <w:tab/>
        <w:t>Rapport de la fonction actuarielle de l’entreprise sur le niveau des provisions techniques, la rentabilité et les modalités de réassurance du portefeuille à recevoir.</w:t>
      </w:r>
    </w:p>
    <w:p w14:paraId="5F441522" w14:textId="0CD751DF" w:rsidR="009C4323" w:rsidRDefault="009C4323" w:rsidP="009C4323">
      <w:pPr>
        <w:spacing w:after="120" w:line="260" w:lineRule="atLeast"/>
        <w:ind w:left="568" w:hanging="568"/>
        <w:jc w:val="both"/>
        <w:rPr>
          <w:szCs w:val="24"/>
          <w:lang w:val="fr-BE"/>
        </w:rPr>
      </w:pPr>
      <w:r w:rsidRPr="009C4323">
        <w:rPr>
          <w:szCs w:val="24"/>
          <w:lang w:val="fr-BE"/>
        </w:rPr>
        <w:t>3.3.</w:t>
      </w:r>
      <w:r w:rsidRPr="009C4323">
        <w:rPr>
          <w:szCs w:val="24"/>
          <w:lang w:val="fr-BE"/>
        </w:rPr>
        <w:tab/>
        <w:t>Impact de la transaction sur la situation financière et la solvabilité (SCR).</w:t>
      </w:r>
    </w:p>
    <w:p w14:paraId="3B6C9B73" w14:textId="69AC43CC" w:rsidR="00A52E4A" w:rsidRPr="009C4323" w:rsidRDefault="00A52E4A" w:rsidP="009C4323">
      <w:pPr>
        <w:spacing w:after="120" w:line="260" w:lineRule="atLeast"/>
        <w:ind w:left="568" w:hanging="568"/>
        <w:jc w:val="both"/>
        <w:rPr>
          <w:szCs w:val="24"/>
          <w:lang w:val="fr-BE"/>
        </w:rPr>
      </w:pPr>
    </w:p>
    <w:p w14:paraId="51EB9331" w14:textId="77777777" w:rsidR="009C4323" w:rsidRPr="009C4323" w:rsidRDefault="009C4323" w:rsidP="009C4323">
      <w:pPr>
        <w:keepNext/>
        <w:keepLines/>
        <w:tabs>
          <w:tab w:val="clear" w:pos="284"/>
        </w:tabs>
        <w:spacing w:before="480" w:after="120" w:line="260" w:lineRule="atLeast"/>
        <w:jc w:val="both"/>
        <w:rPr>
          <w:b/>
          <w:u w:val="single"/>
          <w:lang w:val="fr-BE"/>
        </w:rPr>
      </w:pPr>
      <w:r w:rsidRPr="000C33C9">
        <w:rPr>
          <w:b/>
          <w:lang w:val="fr-BE"/>
        </w:rPr>
        <w:lastRenderedPageBreak/>
        <w:t>4.</w:t>
      </w:r>
      <w:r w:rsidRPr="000C33C9">
        <w:rPr>
          <w:b/>
          <w:lang w:val="fr-BE"/>
        </w:rPr>
        <w:tab/>
      </w:r>
      <w:r w:rsidRPr="009C4323">
        <w:rPr>
          <w:b/>
          <w:u w:val="single"/>
          <w:lang w:val="fr-BE"/>
        </w:rPr>
        <w:t>Aspects de gouvernance et organisationnels</w:t>
      </w:r>
    </w:p>
    <w:p w14:paraId="557A9079" w14:textId="0F0B8477" w:rsidR="009C4323" w:rsidRPr="009C4323" w:rsidRDefault="009C4323" w:rsidP="009C4323">
      <w:pPr>
        <w:spacing w:before="240" w:after="120" w:line="260" w:lineRule="atLeast"/>
        <w:ind w:left="567" w:hanging="567"/>
        <w:jc w:val="both"/>
        <w:rPr>
          <w:szCs w:val="24"/>
          <w:lang w:val="fr-BE"/>
        </w:rPr>
      </w:pPr>
      <w:r w:rsidRPr="009C4323">
        <w:rPr>
          <w:szCs w:val="24"/>
          <w:lang w:val="fr-BE"/>
        </w:rPr>
        <w:t>4.1.</w:t>
      </w:r>
      <w:r w:rsidRPr="009C4323">
        <w:rPr>
          <w:szCs w:val="24"/>
          <w:lang w:val="fr-BE"/>
        </w:rPr>
        <w:tab/>
        <w:t>Décisions des organes de gestion compétents et confirmation du respect des statuts de l’entreprise.</w:t>
      </w:r>
    </w:p>
    <w:p w14:paraId="5A054B58" w14:textId="49868215" w:rsidR="009C4323" w:rsidRPr="009C4323" w:rsidRDefault="009C4323" w:rsidP="62ED3063">
      <w:pPr>
        <w:spacing w:after="120" w:line="260" w:lineRule="atLeast"/>
        <w:ind w:left="568" w:hanging="568"/>
        <w:jc w:val="both"/>
        <w:rPr>
          <w:lang w:val="fr-BE"/>
        </w:rPr>
      </w:pPr>
      <w:r w:rsidRPr="62ED3063">
        <w:rPr>
          <w:lang w:val="fr-BE"/>
        </w:rPr>
        <w:t>4.2.</w:t>
      </w:r>
      <w:r w:rsidRPr="00B01D0B">
        <w:rPr>
          <w:lang w:val="fr-BE"/>
        </w:rPr>
        <w:tab/>
      </w:r>
      <w:r w:rsidRPr="62ED3063">
        <w:rPr>
          <w:lang w:val="fr-BE"/>
        </w:rPr>
        <w:t>Description de l’impact de l’opération sur le profil de risque de l'entreprise (nouvel</w:t>
      </w:r>
      <w:r w:rsidR="008B23BD" w:rsidRPr="62ED3063">
        <w:rPr>
          <w:lang w:val="fr-BE"/>
        </w:rPr>
        <w:t xml:space="preserve">le évaluation interne des risques et de la solvabilité – </w:t>
      </w:r>
      <w:proofErr w:type="spellStart"/>
      <w:r w:rsidR="008B23BD" w:rsidRPr="62ED3063">
        <w:rPr>
          <w:lang w:val="fr-BE"/>
        </w:rPr>
        <w:t>Own</w:t>
      </w:r>
      <w:proofErr w:type="spellEnd"/>
      <w:r w:rsidR="008B23BD" w:rsidRPr="62ED3063">
        <w:rPr>
          <w:lang w:val="fr-BE"/>
        </w:rPr>
        <w:t xml:space="preserve"> Risk and Solvency </w:t>
      </w:r>
      <w:proofErr w:type="spellStart"/>
      <w:r w:rsidR="008B23BD" w:rsidRPr="62ED3063">
        <w:rPr>
          <w:lang w:val="fr-BE"/>
        </w:rPr>
        <w:t>Assessment</w:t>
      </w:r>
      <w:proofErr w:type="spellEnd"/>
      <w:r w:rsidR="008B23BD" w:rsidRPr="62ED3063">
        <w:rPr>
          <w:lang w:val="fr-BE"/>
        </w:rPr>
        <w:t xml:space="preserve"> - </w:t>
      </w:r>
      <w:r w:rsidRPr="62ED3063">
        <w:rPr>
          <w:lang w:val="fr-BE"/>
        </w:rPr>
        <w:t>en cas d'évolution notable de celui-ci).</w:t>
      </w:r>
    </w:p>
    <w:p w14:paraId="1828638F" w14:textId="0A984856" w:rsidR="009C4323" w:rsidRPr="009C4323" w:rsidRDefault="009C4323" w:rsidP="009C4323">
      <w:pPr>
        <w:spacing w:after="120" w:line="260" w:lineRule="atLeast"/>
        <w:ind w:left="568" w:hanging="568"/>
        <w:jc w:val="both"/>
        <w:rPr>
          <w:szCs w:val="24"/>
          <w:lang w:val="fr-BE"/>
        </w:rPr>
      </w:pPr>
      <w:r w:rsidRPr="009C4323">
        <w:rPr>
          <w:szCs w:val="24"/>
          <w:lang w:val="fr-BE"/>
        </w:rPr>
        <w:t>4.3.</w:t>
      </w:r>
      <w:r w:rsidRPr="009C4323">
        <w:rPr>
          <w:szCs w:val="24"/>
          <w:lang w:val="fr-BE"/>
        </w:rPr>
        <w:tab/>
        <w:t>Description de l’impact de l’opération sur la structure de gestion</w:t>
      </w:r>
      <w:r w:rsidR="00482C61">
        <w:rPr>
          <w:szCs w:val="24"/>
          <w:lang w:val="fr-BE"/>
        </w:rPr>
        <w:t xml:space="preserve"> (</w:t>
      </w:r>
      <w:r w:rsidR="00482C61">
        <w:rPr>
          <w:lang w:val="fr-BE"/>
        </w:rPr>
        <w:t xml:space="preserve">le cas échéant, les dossiers « Fit &amp; </w:t>
      </w:r>
      <w:proofErr w:type="spellStart"/>
      <w:r w:rsidR="00482C61">
        <w:rPr>
          <w:lang w:val="fr-BE"/>
        </w:rPr>
        <w:t>Proper</w:t>
      </w:r>
      <w:proofErr w:type="spellEnd"/>
      <w:r w:rsidR="00482C61">
        <w:rPr>
          <w:lang w:val="fr-BE"/>
        </w:rPr>
        <w:t xml:space="preserve"> » pour les </w:t>
      </w:r>
      <w:r w:rsidR="00BC79B8">
        <w:rPr>
          <w:lang w:val="fr-BE"/>
        </w:rPr>
        <w:t>personnes concernées</w:t>
      </w:r>
      <w:r w:rsidR="00482C61">
        <w:rPr>
          <w:lang w:val="fr-BE"/>
        </w:rPr>
        <w:t>)</w:t>
      </w:r>
      <w:r w:rsidRPr="009C4323">
        <w:rPr>
          <w:szCs w:val="24"/>
          <w:lang w:val="fr-BE"/>
        </w:rPr>
        <w:t>, l’organisation (nouvel organigramme, impact sur le personnel, réseau de distribution, ...) et les dispositifs de contrôle interne de l'entreprise.</w:t>
      </w:r>
    </w:p>
    <w:p w14:paraId="608030B3" w14:textId="77777777" w:rsidR="009C4323" w:rsidRPr="009C4323" w:rsidRDefault="009C4323" w:rsidP="009C4323">
      <w:pPr>
        <w:spacing w:after="120" w:line="260" w:lineRule="atLeast"/>
        <w:ind w:left="568" w:hanging="568"/>
        <w:jc w:val="both"/>
        <w:rPr>
          <w:szCs w:val="24"/>
          <w:lang w:val="fr-BE"/>
        </w:rPr>
      </w:pPr>
      <w:r w:rsidRPr="009C4323">
        <w:rPr>
          <w:szCs w:val="24"/>
          <w:lang w:val="fr-BE"/>
        </w:rPr>
        <w:t>4.4.</w:t>
      </w:r>
      <w:r w:rsidRPr="009C4323">
        <w:rPr>
          <w:szCs w:val="24"/>
          <w:lang w:val="fr-BE"/>
        </w:rPr>
        <w:tab/>
        <w:t>Description de l’impact de l’opération sur les fonctions de contrôle (gestion des risques, fonction actuarielle, compliance et audit interne).</w:t>
      </w:r>
    </w:p>
    <w:p w14:paraId="30D9355F" w14:textId="29D846CE" w:rsidR="009C4323" w:rsidRDefault="009C4323" w:rsidP="009C4323">
      <w:pPr>
        <w:spacing w:after="120" w:line="260" w:lineRule="atLeast"/>
        <w:ind w:left="568" w:hanging="568"/>
        <w:jc w:val="both"/>
        <w:rPr>
          <w:szCs w:val="24"/>
          <w:lang w:val="fr-BE"/>
        </w:rPr>
      </w:pPr>
      <w:r w:rsidRPr="009C4323">
        <w:rPr>
          <w:szCs w:val="24"/>
          <w:lang w:val="fr-BE"/>
        </w:rPr>
        <w:t>4.5.</w:t>
      </w:r>
      <w:r w:rsidRPr="009C4323">
        <w:rPr>
          <w:szCs w:val="24"/>
          <w:lang w:val="fr-BE"/>
        </w:rPr>
        <w:tab/>
        <w:t>Description des conséquences de l’opération quant aux autorisations accordées par la Banque (modèle interne, paramètres propres à l'entreprise ou USP, etc.).</w:t>
      </w:r>
    </w:p>
    <w:p w14:paraId="778D0E41" w14:textId="167D6F23" w:rsidR="00BC79B8" w:rsidRDefault="00482C61" w:rsidP="00BC79B8">
      <w:pPr>
        <w:spacing w:after="120" w:line="260" w:lineRule="atLeast"/>
        <w:ind w:left="568" w:hanging="568"/>
        <w:jc w:val="both"/>
        <w:rPr>
          <w:szCs w:val="24"/>
          <w:lang w:val="fr-BE"/>
        </w:rPr>
      </w:pPr>
      <w:r>
        <w:rPr>
          <w:szCs w:val="24"/>
          <w:lang w:val="fr-BE"/>
        </w:rPr>
        <w:t>4.6.</w:t>
      </w:r>
      <w:r>
        <w:rPr>
          <w:szCs w:val="24"/>
          <w:lang w:val="fr-BE"/>
        </w:rPr>
        <w:tab/>
      </w:r>
      <w:r w:rsidR="00BC79B8">
        <w:rPr>
          <w:szCs w:val="24"/>
          <w:lang w:val="fr-BE"/>
        </w:rPr>
        <w:t>Le cas échéant, projet de modification des statuts.</w:t>
      </w:r>
    </w:p>
    <w:p w14:paraId="46576675" w14:textId="13B4E250" w:rsidR="00482C61" w:rsidRDefault="00BC79B8" w:rsidP="00482C61">
      <w:pPr>
        <w:spacing w:after="120" w:line="260" w:lineRule="atLeast"/>
        <w:ind w:left="568" w:hanging="568"/>
        <w:jc w:val="both"/>
        <w:rPr>
          <w:szCs w:val="24"/>
          <w:lang w:val="fr-BE"/>
        </w:rPr>
      </w:pPr>
      <w:r>
        <w:rPr>
          <w:szCs w:val="24"/>
          <w:lang w:val="fr-BE"/>
        </w:rPr>
        <w:t>4.7.</w:t>
      </w:r>
      <w:r>
        <w:rPr>
          <w:szCs w:val="24"/>
          <w:lang w:val="fr-BE"/>
        </w:rPr>
        <w:tab/>
      </w:r>
      <w:r w:rsidR="00482C61" w:rsidRPr="00A52E4A">
        <w:rPr>
          <w:szCs w:val="24"/>
          <w:lang w:val="fr-BE"/>
        </w:rPr>
        <w:t>Le cas échéant</w:t>
      </w:r>
      <w:r>
        <w:rPr>
          <w:szCs w:val="24"/>
          <w:lang w:val="fr-BE"/>
        </w:rPr>
        <w:t>, en cas de fusion ou scission</w:t>
      </w:r>
      <w:r w:rsidR="00096599">
        <w:rPr>
          <w:szCs w:val="24"/>
          <w:lang w:val="fr-BE"/>
        </w:rPr>
        <w:t xml:space="preserve"> avec changement d’actionnariat</w:t>
      </w:r>
      <w:r w:rsidR="00482C61" w:rsidRPr="00A52E4A">
        <w:rPr>
          <w:szCs w:val="24"/>
          <w:lang w:val="fr-BE"/>
        </w:rPr>
        <w:t xml:space="preserve">, </w:t>
      </w:r>
      <w:r>
        <w:rPr>
          <w:szCs w:val="24"/>
          <w:lang w:val="fr-BE"/>
        </w:rPr>
        <w:t>dossier</w:t>
      </w:r>
      <w:r w:rsidR="00692A72">
        <w:rPr>
          <w:szCs w:val="24"/>
          <w:lang w:val="fr-BE"/>
        </w:rPr>
        <w:t>(</w:t>
      </w:r>
      <w:r>
        <w:rPr>
          <w:szCs w:val="24"/>
          <w:lang w:val="fr-BE"/>
        </w:rPr>
        <w:t>s</w:t>
      </w:r>
      <w:r w:rsidR="00692A72">
        <w:rPr>
          <w:szCs w:val="24"/>
          <w:lang w:val="fr-BE"/>
        </w:rPr>
        <w:t>)</w:t>
      </w:r>
      <w:r>
        <w:rPr>
          <w:szCs w:val="24"/>
          <w:lang w:val="fr-BE"/>
        </w:rPr>
        <w:t xml:space="preserve"> concernant une participation qualifiée ou un changement </w:t>
      </w:r>
      <w:r w:rsidR="00482C61" w:rsidRPr="00A52E4A">
        <w:rPr>
          <w:szCs w:val="24"/>
          <w:lang w:val="fr-BE"/>
        </w:rPr>
        <w:t>d’actionnariat</w:t>
      </w:r>
      <w:r w:rsidR="00096599">
        <w:rPr>
          <w:rStyle w:val="FootnoteReference"/>
          <w:lang w:val="fr-BE"/>
        </w:rPr>
        <w:footnoteReference w:id="2"/>
      </w:r>
    </w:p>
    <w:p w14:paraId="53322AEA" w14:textId="6B80CE14" w:rsidR="00482C61" w:rsidRDefault="00482C61" w:rsidP="00482C61">
      <w:pPr>
        <w:spacing w:after="120" w:line="260" w:lineRule="atLeast"/>
        <w:ind w:left="568" w:hanging="568"/>
        <w:jc w:val="both"/>
        <w:rPr>
          <w:szCs w:val="24"/>
          <w:lang w:val="fr-BE"/>
        </w:rPr>
      </w:pPr>
      <w:r w:rsidRPr="00BC79B8">
        <w:rPr>
          <w:szCs w:val="24"/>
          <w:lang w:val="fr-BE"/>
        </w:rPr>
        <w:t>4.8.</w:t>
      </w:r>
      <w:r w:rsidRPr="00BC79B8">
        <w:rPr>
          <w:szCs w:val="24"/>
          <w:lang w:val="fr-BE"/>
        </w:rPr>
        <w:tab/>
      </w:r>
      <w:r w:rsidR="00371331">
        <w:rPr>
          <w:szCs w:val="24"/>
          <w:lang w:val="fr-BE"/>
        </w:rPr>
        <w:t>Le cas échéant, demandes d'agrément nécessaires à l'exercice des activités transférées.</w:t>
      </w:r>
    </w:p>
    <w:p w14:paraId="46A53C48" w14:textId="6E1377BC" w:rsidR="00482C61" w:rsidRDefault="00482C61" w:rsidP="00482C61">
      <w:pPr>
        <w:spacing w:after="120" w:line="260" w:lineRule="atLeast"/>
        <w:ind w:left="568" w:hanging="568"/>
        <w:jc w:val="both"/>
        <w:rPr>
          <w:szCs w:val="24"/>
          <w:lang w:val="fr-BE"/>
        </w:rPr>
      </w:pPr>
      <w:r>
        <w:rPr>
          <w:szCs w:val="24"/>
          <w:lang w:val="fr-BE"/>
        </w:rPr>
        <w:t>4.9.</w:t>
      </w:r>
      <w:r>
        <w:rPr>
          <w:szCs w:val="24"/>
          <w:lang w:val="fr-BE"/>
        </w:rPr>
        <w:tab/>
      </w:r>
      <w:r w:rsidR="00371331" w:rsidRPr="00BC79B8">
        <w:rPr>
          <w:szCs w:val="24"/>
          <w:lang w:val="fr-BE"/>
        </w:rPr>
        <w:t>Le cas échéa</w:t>
      </w:r>
      <w:r w:rsidR="00371331" w:rsidRPr="00493AD6">
        <w:rPr>
          <w:szCs w:val="24"/>
          <w:lang w:val="fr-BE"/>
        </w:rPr>
        <w:t>n</w:t>
      </w:r>
      <w:r w:rsidR="00371331" w:rsidRPr="00BC79B8">
        <w:rPr>
          <w:szCs w:val="24"/>
          <w:lang w:val="fr-BE"/>
        </w:rPr>
        <w:t>t, en</w:t>
      </w:r>
      <w:r w:rsidR="00371331">
        <w:rPr>
          <w:szCs w:val="24"/>
          <w:lang w:val="fr-BE"/>
        </w:rPr>
        <w:t xml:space="preserve"> cas de fusion ou scission, rapport du commissaire réviseur</w:t>
      </w:r>
      <w:r w:rsidR="0063130F">
        <w:rPr>
          <w:szCs w:val="24"/>
          <w:lang w:val="fr-BE"/>
        </w:rPr>
        <w:t xml:space="preserve"> agréé</w:t>
      </w:r>
      <w:r w:rsidR="00C719FB">
        <w:rPr>
          <w:szCs w:val="24"/>
          <w:lang w:val="fr-BE"/>
        </w:rPr>
        <w:t xml:space="preserve"> sur le projet de fusion / scission</w:t>
      </w:r>
      <w:r w:rsidR="00371331">
        <w:rPr>
          <w:szCs w:val="24"/>
          <w:lang w:val="fr-BE"/>
        </w:rPr>
        <w:t xml:space="preserve">. </w:t>
      </w:r>
    </w:p>
    <w:p w14:paraId="67754189" w14:textId="0FFCE331" w:rsidR="002D6838" w:rsidRPr="009C4323" w:rsidRDefault="002D6838" w:rsidP="00482C61">
      <w:pPr>
        <w:spacing w:after="120" w:line="260" w:lineRule="atLeast"/>
        <w:ind w:left="568" w:hanging="568"/>
        <w:jc w:val="both"/>
        <w:rPr>
          <w:szCs w:val="24"/>
          <w:lang w:val="fr-BE"/>
        </w:rPr>
      </w:pPr>
      <w:r w:rsidRPr="00946456">
        <w:rPr>
          <w:szCs w:val="24"/>
          <w:lang w:val="fr-BE"/>
        </w:rPr>
        <w:t xml:space="preserve">4.10. </w:t>
      </w:r>
      <w:r w:rsidRPr="00946456">
        <w:rPr>
          <w:szCs w:val="24"/>
          <w:lang w:val="fr-BE"/>
        </w:rPr>
        <w:tab/>
        <w:t xml:space="preserve">Le cas échéant, </w:t>
      </w:r>
      <w:r w:rsidR="00371331" w:rsidRPr="00096599">
        <w:rPr>
          <w:szCs w:val="24"/>
          <w:lang w:val="fr-BE"/>
        </w:rPr>
        <w:t xml:space="preserve">en cas de fusion, </w:t>
      </w:r>
      <w:r w:rsidRPr="00946456">
        <w:rPr>
          <w:szCs w:val="24"/>
          <w:lang w:val="fr-BE"/>
        </w:rPr>
        <w:t>l’autorisation des autorités belge ou européenne de la concurrence</w:t>
      </w:r>
      <w:r w:rsidR="00371331" w:rsidRPr="00946456">
        <w:rPr>
          <w:szCs w:val="24"/>
          <w:lang w:val="fr-BE"/>
        </w:rPr>
        <w:t>.</w:t>
      </w:r>
    </w:p>
    <w:p w14:paraId="17E13809" w14:textId="77777777" w:rsidR="009C4323" w:rsidRPr="009C4323" w:rsidRDefault="000C33C9" w:rsidP="009C4323">
      <w:pPr>
        <w:keepNext/>
        <w:keepLines/>
        <w:tabs>
          <w:tab w:val="clear" w:pos="284"/>
        </w:tabs>
        <w:spacing w:before="480" w:after="120" w:line="260" w:lineRule="atLeast"/>
        <w:jc w:val="both"/>
        <w:rPr>
          <w:b/>
          <w:u w:val="single"/>
          <w:lang w:val="fr-BE"/>
        </w:rPr>
      </w:pPr>
      <w:r w:rsidRPr="000C33C9">
        <w:rPr>
          <w:b/>
          <w:lang w:val="fr-BE"/>
        </w:rPr>
        <w:t>5.</w:t>
      </w:r>
      <w:r w:rsidRPr="000C33C9">
        <w:rPr>
          <w:b/>
          <w:lang w:val="fr-BE"/>
        </w:rPr>
        <w:tab/>
      </w:r>
      <w:r w:rsidR="009C4323" w:rsidRPr="009C4323">
        <w:rPr>
          <w:b/>
          <w:u w:val="single"/>
          <w:lang w:val="fr-BE"/>
        </w:rPr>
        <w:t>Divers</w:t>
      </w:r>
    </w:p>
    <w:p w14:paraId="362F5F6D" w14:textId="77777777" w:rsidR="009C4323" w:rsidRPr="00D80E52" w:rsidRDefault="009C4323" w:rsidP="009C4323">
      <w:pPr>
        <w:spacing w:before="240" w:after="120" w:line="260" w:lineRule="atLeast"/>
        <w:ind w:left="567" w:hanging="567"/>
        <w:jc w:val="both"/>
        <w:rPr>
          <w:szCs w:val="24"/>
          <w:lang w:val="fr-BE"/>
        </w:rPr>
      </w:pPr>
      <w:r w:rsidRPr="009C4323">
        <w:rPr>
          <w:szCs w:val="24"/>
          <w:lang w:val="fr-BE"/>
        </w:rPr>
        <w:t>5.1.</w:t>
      </w:r>
      <w:r w:rsidRPr="009C4323">
        <w:rPr>
          <w:szCs w:val="24"/>
          <w:lang w:val="fr-BE"/>
        </w:rPr>
        <w:tab/>
        <w:t xml:space="preserve">Dans le cas où le </w:t>
      </w:r>
      <w:r w:rsidRPr="00D80E52">
        <w:rPr>
          <w:szCs w:val="24"/>
          <w:lang w:val="fr-BE"/>
        </w:rPr>
        <w:t>portefeuille concerne des risques d'accidents du travail, confirmation quant au respect des dispositions spécifiques prévues pour ce type de risques.</w:t>
      </w:r>
    </w:p>
    <w:p w14:paraId="526CAE3D" w14:textId="77777777" w:rsidR="009C4323" w:rsidRPr="009C4323" w:rsidRDefault="009C4323" w:rsidP="009C4323">
      <w:pPr>
        <w:spacing w:after="120" w:line="260" w:lineRule="atLeast"/>
        <w:ind w:left="568" w:hanging="568"/>
        <w:jc w:val="both"/>
        <w:rPr>
          <w:szCs w:val="24"/>
          <w:lang w:val="fr-BE"/>
        </w:rPr>
      </w:pPr>
      <w:r w:rsidRPr="00D80E52">
        <w:rPr>
          <w:szCs w:val="24"/>
          <w:lang w:val="fr-BE"/>
        </w:rPr>
        <w:t>5.2.</w:t>
      </w:r>
      <w:r w:rsidRPr="00D80E52">
        <w:rPr>
          <w:szCs w:val="24"/>
          <w:lang w:val="fr-BE"/>
        </w:rPr>
        <w:tab/>
        <w:t>Dans le cas où le portefeuille concerne des prêts hypothécaires, confirmation quant au respect des dispositions légales en la matière</w:t>
      </w:r>
      <w:r w:rsidRPr="009C4323">
        <w:rPr>
          <w:szCs w:val="24"/>
          <w:lang w:val="fr-BE"/>
        </w:rPr>
        <w:t>.</w:t>
      </w:r>
    </w:p>
    <w:p w14:paraId="2E654B9A" w14:textId="77777777" w:rsidR="00D13BDC" w:rsidRPr="000C33C9" w:rsidRDefault="00D13BDC">
      <w:pPr>
        <w:tabs>
          <w:tab w:val="clear" w:pos="284"/>
        </w:tabs>
        <w:spacing w:line="240" w:lineRule="auto"/>
        <w:rPr>
          <w:i/>
          <w:sz w:val="22"/>
          <w:lang w:val="fr-BE"/>
        </w:rPr>
      </w:pPr>
    </w:p>
    <w:sectPr w:rsidR="00D13BDC" w:rsidRPr="000C33C9" w:rsidSect="00D850C8">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510" w:right="1134" w:bottom="1361" w:left="1418" w:header="397" w:footer="1191"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1250B" w14:textId="77777777" w:rsidR="00E50F72" w:rsidRDefault="00E50F72">
      <w:r>
        <w:separator/>
      </w:r>
    </w:p>
  </w:endnote>
  <w:endnote w:type="continuationSeparator" w:id="0">
    <w:p w14:paraId="42EBB643" w14:textId="77777777" w:rsidR="00E50F72" w:rsidRDefault="00E50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A8A04" w14:textId="6102CC7A" w:rsidR="00E87276" w:rsidRPr="000C33C9" w:rsidRDefault="00D13BDC" w:rsidP="00E87276">
    <w:pPr>
      <w:pStyle w:val="Footer"/>
      <w:pBdr>
        <w:top w:val="single" w:sz="4" w:space="1" w:color="auto"/>
      </w:pBdr>
      <w:rPr>
        <w:b/>
        <w:sz w:val="16"/>
        <w:szCs w:val="16"/>
        <w:lang w:val="fr-BE"/>
      </w:rPr>
    </w:pPr>
    <w:r w:rsidRPr="000C33C9">
      <w:rPr>
        <w:b/>
        <w:sz w:val="16"/>
        <w:szCs w:val="16"/>
        <w:lang w:val="fr-BE"/>
      </w:rPr>
      <w:t xml:space="preserve">Annexe </w:t>
    </w:r>
    <w:r w:rsidR="009C4323" w:rsidRPr="000C33C9">
      <w:rPr>
        <w:b/>
        <w:sz w:val="16"/>
        <w:szCs w:val="16"/>
        <w:lang w:val="fr-BE"/>
      </w:rPr>
      <w:t>2</w:t>
    </w:r>
    <w:r>
      <w:rPr>
        <w:rFonts w:cs="Arial"/>
        <w:b/>
        <w:sz w:val="16"/>
        <w:szCs w:val="16"/>
        <w:lang w:val="nl-BE"/>
      </w:rPr>
      <w:t> </w:t>
    </w:r>
    <w:r w:rsidRPr="000C33C9">
      <w:rPr>
        <w:rFonts w:cs="Arial"/>
        <w:b/>
        <w:sz w:val="16"/>
        <w:szCs w:val="16"/>
        <w:lang w:val="fr-BE"/>
      </w:rPr>
      <w:t>–</w:t>
    </w:r>
    <w:r>
      <w:rPr>
        <w:rFonts w:cs="Arial"/>
        <w:b/>
        <w:sz w:val="16"/>
        <w:szCs w:val="16"/>
        <w:lang w:val="nl-BE"/>
      </w:rPr>
      <w:t> </w:t>
    </w:r>
    <w:r w:rsidRPr="000C33C9">
      <w:rPr>
        <w:b/>
        <w:sz w:val="16"/>
        <w:szCs w:val="16"/>
        <w:lang w:val="fr-BE"/>
      </w:rPr>
      <w:t xml:space="preserve">Page </w:t>
    </w:r>
    <w:r>
      <w:rPr>
        <w:b/>
        <w:sz w:val="16"/>
        <w:szCs w:val="16"/>
        <w:lang w:val="nl-BE"/>
      </w:rPr>
      <w:fldChar w:fldCharType="begin"/>
    </w:r>
    <w:r w:rsidRPr="000C33C9">
      <w:rPr>
        <w:b/>
        <w:sz w:val="16"/>
        <w:szCs w:val="16"/>
        <w:lang w:val="fr-BE"/>
      </w:rPr>
      <w:instrText xml:space="preserve"> PAGE   </w:instrText>
    </w:r>
    <w:r>
      <w:rPr>
        <w:b/>
        <w:sz w:val="16"/>
        <w:szCs w:val="16"/>
        <w:lang w:val="nl-BE"/>
      </w:rPr>
      <w:fldChar w:fldCharType="separate"/>
    </w:r>
    <w:r w:rsidR="002A6567">
      <w:rPr>
        <w:b/>
        <w:noProof/>
        <w:sz w:val="16"/>
        <w:szCs w:val="16"/>
        <w:lang w:val="fr-BE"/>
      </w:rPr>
      <w:t>2</w:t>
    </w:r>
    <w:r>
      <w:rPr>
        <w:b/>
        <w:sz w:val="16"/>
        <w:szCs w:val="16"/>
        <w:lang w:val="nl-BE"/>
      </w:rPr>
      <w:fldChar w:fldCharType="end"/>
    </w:r>
    <w:r w:rsidRPr="000C33C9">
      <w:rPr>
        <w:b/>
        <w:sz w:val="16"/>
        <w:szCs w:val="16"/>
        <w:lang w:val="fr-BE"/>
      </w:rPr>
      <w:t>/</w:t>
    </w:r>
    <w:r>
      <w:rPr>
        <w:b/>
        <w:sz w:val="16"/>
        <w:szCs w:val="16"/>
        <w:lang w:val="nl-BE"/>
      </w:rPr>
      <w:fldChar w:fldCharType="begin"/>
    </w:r>
    <w:r w:rsidRPr="000C33C9">
      <w:rPr>
        <w:b/>
        <w:sz w:val="16"/>
        <w:szCs w:val="16"/>
        <w:lang w:val="fr-BE"/>
      </w:rPr>
      <w:instrText xml:space="preserve"> NUMPAGES   </w:instrText>
    </w:r>
    <w:r>
      <w:rPr>
        <w:b/>
        <w:sz w:val="16"/>
        <w:szCs w:val="16"/>
        <w:lang w:val="nl-BE"/>
      </w:rPr>
      <w:fldChar w:fldCharType="separate"/>
    </w:r>
    <w:r w:rsidR="002A6567">
      <w:rPr>
        <w:b/>
        <w:noProof/>
        <w:sz w:val="16"/>
        <w:szCs w:val="16"/>
        <w:lang w:val="fr-BE"/>
      </w:rPr>
      <w:t>3</w:t>
    </w:r>
    <w:r>
      <w:rPr>
        <w:b/>
        <w:sz w:val="16"/>
        <w:szCs w:val="16"/>
        <w:lang w:val="nl-BE"/>
      </w:rPr>
      <w:fldChar w:fldCharType="end"/>
    </w:r>
    <w:r w:rsidRPr="000C33C9">
      <w:rPr>
        <w:b/>
        <w:sz w:val="16"/>
        <w:szCs w:val="16"/>
        <w:lang w:val="fr-BE"/>
      </w:rPr>
      <w:tab/>
    </w:r>
    <w:r w:rsidR="00476584">
      <w:rPr>
        <w:sz w:val="14"/>
        <w:szCs w:val="16"/>
        <w:lang w:val="fr-BE"/>
      </w:rPr>
      <w:t>NBB_20</w:t>
    </w:r>
    <w:r w:rsidR="00482C61">
      <w:rPr>
        <w:sz w:val="14"/>
        <w:szCs w:val="16"/>
        <w:lang w:val="fr-BE"/>
      </w:rPr>
      <w:t>2</w:t>
    </w:r>
    <w:r w:rsidR="00BE6375">
      <w:rPr>
        <w:sz w:val="14"/>
        <w:szCs w:val="16"/>
        <w:lang w:val="fr-BE"/>
      </w:rPr>
      <w:t>1</w:t>
    </w:r>
    <w:r w:rsidR="00476584">
      <w:rPr>
        <w:sz w:val="14"/>
        <w:szCs w:val="16"/>
        <w:lang w:val="fr-BE"/>
      </w:rPr>
      <w:t>_</w:t>
    </w:r>
    <w:r w:rsidR="00C60F53">
      <w:rPr>
        <w:sz w:val="14"/>
        <w:szCs w:val="16"/>
        <w:lang w:val="fr-BE"/>
      </w:rPr>
      <w:t>0</w:t>
    </w:r>
    <w:r w:rsidR="00BE6375">
      <w:rPr>
        <w:sz w:val="14"/>
        <w:szCs w:val="16"/>
        <w:lang w:val="fr-BE"/>
      </w:rPr>
      <w:t>06</w:t>
    </w:r>
    <w:r w:rsidR="00476584">
      <w:rPr>
        <w:rFonts w:cs="Arial"/>
        <w:sz w:val="14"/>
        <w:szCs w:val="16"/>
        <w:lang w:val="nl-BE"/>
      </w:rPr>
      <w:t> </w:t>
    </w:r>
    <w:r w:rsidR="00476584" w:rsidRPr="000C33C9">
      <w:rPr>
        <w:rFonts w:cs="Arial"/>
        <w:sz w:val="14"/>
        <w:szCs w:val="16"/>
        <w:lang w:val="fr-BE"/>
      </w:rPr>
      <w:t>–</w:t>
    </w:r>
    <w:r w:rsidR="00BE6375">
      <w:rPr>
        <w:rFonts w:cs="Arial"/>
        <w:sz w:val="14"/>
        <w:szCs w:val="16"/>
        <w:lang w:val="nl-BE"/>
      </w:rPr>
      <w:t> 17 mars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57223" w14:textId="436B4B1F" w:rsidR="00450949" w:rsidRPr="000C33C9" w:rsidRDefault="00D13BDC" w:rsidP="00F64E38">
    <w:pPr>
      <w:pStyle w:val="Footer"/>
      <w:pBdr>
        <w:top w:val="single" w:sz="4" w:space="1" w:color="auto"/>
      </w:pBdr>
      <w:rPr>
        <w:b/>
        <w:sz w:val="16"/>
        <w:szCs w:val="14"/>
        <w:lang w:val="fr-BE"/>
      </w:rPr>
    </w:pPr>
    <w:r>
      <w:rPr>
        <w:b/>
        <w:sz w:val="16"/>
        <w:szCs w:val="14"/>
        <w:lang w:val="nl-BE"/>
      </w:rPr>
      <w:tab/>
    </w:r>
    <w:r w:rsidR="00476584">
      <w:rPr>
        <w:sz w:val="14"/>
        <w:szCs w:val="16"/>
        <w:lang w:val="fr-BE"/>
      </w:rPr>
      <w:t>NBB_20</w:t>
    </w:r>
    <w:r w:rsidR="00482C61">
      <w:rPr>
        <w:sz w:val="14"/>
        <w:szCs w:val="16"/>
        <w:lang w:val="fr-BE"/>
      </w:rPr>
      <w:t>2</w:t>
    </w:r>
    <w:r w:rsidR="00BE6375">
      <w:rPr>
        <w:sz w:val="14"/>
        <w:szCs w:val="16"/>
        <w:lang w:val="fr-BE"/>
      </w:rPr>
      <w:t>1</w:t>
    </w:r>
    <w:r w:rsidR="00476584">
      <w:rPr>
        <w:sz w:val="14"/>
        <w:szCs w:val="16"/>
        <w:lang w:val="fr-BE"/>
      </w:rPr>
      <w:t>_</w:t>
    </w:r>
    <w:r w:rsidR="00BE6375">
      <w:rPr>
        <w:sz w:val="14"/>
        <w:szCs w:val="16"/>
        <w:lang w:val="fr-BE"/>
      </w:rPr>
      <w:t>0</w:t>
    </w:r>
    <w:r w:rsidR="00C60F53">
      <w:rPr>
        <w:sz w:val="14"/>
        <w:szCs w:val="16"/>
        <w:lang w:val="fr-BE"/>
      </w:rPr>
      <w:t>0</w:t>
    </w:r>
    <w:r w:rsidR="00BE6375">
      <w:rPr>
        <w:sz w:val="14"/>
        <w:szCs w:val="16"/>
        <w:lang w:val="fr-BE"/>
      </w:rPr>
      <w:t>6</w:t>
    </w:r>
    <w:r w:rsidR="00476584">
      <w:rPr>
        <w:rFonts w:cs="Arial"/>
        <w:sz w:val="14"/>
        <w:szCs w:val="16"/>
        <w:lang w:val="nl-BE"/>
      </w:rPr>
      <w:t> </w:t>
    </w:r>
    <w:r w:rsidR="00476584" w:rsidRPr="000C33C9">
      <w:rPr>
        <w:rFonts w:cs="Arial"/>
        <w:sz w:val="14"/>
        <w:szCs w:val="16"/>
        <w:lang w:val="fr-BE"/>
      </w:rPr>
      <w:t>–</w:t>
    </w:r>
    <w:r w:rsidR="00476584">
      <w:rPr>
        <w:rFonts w:cs="Arial"/>
        <w:sz w:val="14"/>
        <w:szCs w:val="16"/>
        <w:lang w:val="nl-BE"/>
      </w:rPr>
      <w:t> </w:t>
    </w:r>
    <w:r w:rsidR="00BE6375">
      <w:rPr>
        <w:rFonts w:cs="Arial"/>
        <w:sz w:val="14"/>
        <w:szCs w:val="16"/>
        <w:lang w:val="nl-BE"/>
      </w:rPr>
      <w:t>17 mars 2021</w:t>
    </w:r>
    <w:r w:rsidRPr="000C33C9">
      <w:rPr>
        <w:b/>
        <w:sz w:val="16"/>
        <w:szCs w:val="14"/>
        <w:lang w:val="fr-BE"/>
      </w:rPr>
      <w:tab/>
      <w:t xml:space="preserve">Annexe </w:t>
    </w:r>
    <w:r w:rsidR="009C4323" w:rsidRPr="000C33C9">
      <w:rPr>
        <w:b/>
        <w:sz w:val="16"/>
        <w:szCs w:val="14"/>
        <w:lang w:val="fr-BE"/>
      </w:rPr>
      <w:t>2</w:t>
    </w:r>
    <w:r>
      <w:rPr>
        <w:rFonts w:cs="Arial"/>
        <w:b/>
        <w:sz w:val="16"/>
        <w:szCs w:val="14"/>
        <w:lang w:val="nl-BE"/>
      </w:rPr>
      <w:t> </w:t>
    </w:r>
    <w:r w:rsidRPr="000C33C9">
      <w:rPr>
        <w:rFonts w:cs="Arial"/>
        <w:b/>
        <w:sz w:val="16"/>
        <w:szCs w:val="14"/>
        <w:lang w:val="fr-BE"/>
      </w:rPr>
      <w:t>–</w:t>
    </w:r>
    <w:r>
      <w:rPr>
        <w:rFonts w:cs="Arial"/>
        <w:b/>
        <w:sz w:val="16"/>
        <w:szCs w:val="14"/>
        <w:lang w:val="nl-BE"/>
      </w:rPr>
      <w:t> </w:t>
    </w:r>
    <w:r w:rsidRPr="000C33C9">
      <w:rPr>
        <w:b/>
        <w:sz w:val="16"/>
        <w:szCs w:val="14"/>
        <w:lang w:val="fr-BE"/>
      </w:rPr>
      <w:t xml:space="preserve">Page </w:t>
    </w:r>
    <w:r>
      <w:rPr>
        <w:b/>
        <w:sz w:val="16"/>
        <w:szCs w:val="14"/>
        <w:lang w:val="nl-BE"/>
      </w:rPr>
      <w:fldChar w:fldCharType="begin"/>
    </w:r>
    <w:r w:rsidRPr="000C33C9">
      <w:rPr>
        <w:b/>
        <w:sz w:val="16"/>
        <w:szCs w:val="14"/>
        <w:lang w:val="fr-BE"/>
      </w:rPr>
      <w:instrText xml:space="preserve"> PAGE   </w:instrText>
    </w:r>
    <w:r>
      <w:rPr>
        <w:b/>
        <w:sz w:val="16"/>
        <w:szCs w:val="14"/>
        <w:lang w:val="nl-BE"/>
      </w:rPr>
      <w:fldChar w:fldCharType="separate"/>
    </w:r>
    <w:r w:rsidR="002A6567">
      <w:rPr>
        <w:b/>
        <w:noProof/>
        <w:sz w:val="16"/>
        <w:szCs w:val="14"/>
        <w:lang w:val="fr-BE"/>
      </w:rPr>
      <w:t>3</w:t>
    </w:r>
    <w:r>
      <w:rPr>
        <w:b/>
        <w:sz w:val="16"/>
        <w:szCs w:val="14"/>
        <w:lang w:val="nl-BE"/>
      </w:rPr>
      <w:fldChar w:fldCharType="end"/>
    </w:r>
    <w:r w:rsidRPr="000C33C9">
      <w:rPr>
        <w:b/>
        <w:sz w:val="16"/>
        <w:szCs w:val="14"/>
        <w:lang w:val="fr-BE"/>
      </w:rPr>
      <w:t>/</w:t>
    </w:r>
    <w:r>
      <w:rPr>
        <w:b/>
        <w:sz w:val="16"/>
        <w:szCs w:val="14"/>
        <w:lang w:val="nl-BE"/>
      </w:rPr>
      <w:fldChar w:fldCharType="begin"/>
    </w:r>
    <w:r w:rsidRPr="000C33C9">
      <w:rPr>
        <w:b/>
        <w:sz w:val="16"/>
        <w:szCs w:val="14"/>
        <w:lang w:val="fr-BE"/>
      </w:rPr>
      <w:instrText xml:space="preserve"> NUMPAGES   </w:instrText>
    </w:r>
    <w:r>
      <w:rPr>
        <w:b/>
        <w:sz w:val="16"/>
        <w:szCs w:val="14"/>
        <w:lang w:val="nl-BE"/>
      </w:rPr>
      <w:fldChar w:fldCharType="separate"/>
    </w:r>
    <w:r w:rsidR="002A6567">
      <w:rPr>
        <w:b/>
        <w:noProof/>
        <w:sz w:val="16"/>
        <w:szCs w:val="14"/>
        <w:lang w:val="fr-BE"/>
      </w:rPr>
      <w:t>3</w:t>
    </w:r>
    <w:r>
      <w:rPr>
        <w:b/>
        <w:sz w:val="16"/>
        <w:szCs w:val="14"/>
        <w:lang w:val="nl-B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45640" w14:textId="1D4E5440" w:rsidR="00450949" w:rsidRPr="000C33C9" w:rsidRDefault="00D13BDC" w:rsidP="00C0230F">
    <w:pPr>
      <w:pStyle w:val="Footer"/>
      <w:pBdr>
        <w:top w:val="single" w:sz="4" w:space="0" w:color="auto"/>
      </w:pBdr>
      <w:rPr>
        <w:b/>
        <w:sz w:val="16"/>
        <w:szCs w:val="16"/>
        <w:lang w:val="fr-BE"/>
      </w:rPr>
    </w:pPr>
    <w:r>
      <w:rPr>
        <w:b/>
        <w:sz w:val="16"/>
        <w:szCs w:val="16"/>
        <w:lang w:val="nl-BE"/>
      </w:rPr>
      <w:tab/>
    </w:r>
    <w:r w:rsidR="00C0230F">
      <w:rPr>
        <w:sz w:val="14"/>
        <w:szCs w:val="16"/>
        <w:lang w:val="fr-BE"/>
      </w:rPr>
      <w:t>NBB_2021_0</w:t>
    </w:r>
    <w:r w:rsidR="00C60F53">
      <w:rPr>
        <w:sz w:val="14"/>
        <w:szCs w:val="16"/>
        <w:lang w:val="fr-BE"/>
      </w:rPr>
      <w:t>0</w:t>
    </w:r>
    <w:r w:rsidR="00C0230F">
      <w:rPr>
        <w:sz w:val="14"/>
        <w:szCs w:val="16"/>
        <w:lang w:val="fr-BE"/>
      </w:rPr>
      <w:t>6</w:t>
    </w:r>
    <w:r w:rsidR="00C0230F">
      <w:rPr>
        <w:rFonts w:cs="Arial"/>
        <w:sz w:val="14"/>
        <w:szCs w:val="16"/>
        <w:lang w:val="nl-BE"/>
      </w:rPr>
      <w:t> </w:t>
    </w:r>
    <w:r w:rsidR="00C0230F" w:rsidRPr="000C33C9">
      <w:rPr>
        <w:rFonts w:cs="Arial"/>
        <w:sz w:val="14"/>
        <w:szCs w:val="16"/>
        <w:lang w:val="fr-BE"/>
      </w:rPr>
      <w:t>–</w:t>
    </w:r>
    <w:r w:rsidR="00C0230F">
      <w:rPr>
        <w:rFonts w:cs="Arial"/>
        <w:sz w:val="14"/>
        <w:szCs w:val="16"/>
        <w:lang w:val="nl-BE"/>
      </w:rPr>
      <w:t> 17 mars 2021</w:t>
    </w:r>
    <w:r w:rsidR="009C4323" w:rsidRPr="000C33C9">
      <w:rPr>
        <w:b/>
        <w:sz w:val="16"/>
        <w:szCs w:val="16"/>
        <w:lang w:val="fr-BE"/>
      </w:rPr>
      <w:tab/>
      <w:t>Annexe 2</w:t>
    </w:r>
    <w:r>
      <w:rPr>
        <w:rFonts w:cs="Arial"/>
        <w:b/>
        <w:sz w:val="16"/>
        <w:szCs w:val="16"/>
        <w:lang w:val="nl-BE"/>
      </w:rPr>
      <w:t> </w:t>
    </w:r>
    <w:r w:rsidRPr="000C33C9">
      <w:rPr>
        <w:rFonts w:cs="Arial"/>
        <w:b/>
        <w:sz w:val="16"/>
        <w:szCs w:val="16"/>
        <w:lang w:val="fr-BE"/>
      </w:rPr>
      <w:t>–</w:t>
    </w:r>
    <w:r>
      <w:rPr>
        <w:rFonts w:cs="Arial"/>
        <w:b/>
        <w:sz w:val="16"/>
        <w:szCs w:val="16"/>
        <w:lang w:val="nl-BE"/>
      </w:rPr>
      <w:t> </w:t>
    </w:r>
    <w:r w:rsidRPr="000C33C9">
      <w:rPr>
        <w:b/>
        <w:sz w:val="16"/>
        <w:szCs w:val="16"/>
        <w:lang w:val="fr-BE"/>
      </w:rPr>
      <w:t xml:space="preserve">Page </w:t>
    </w:r>
    <w:r>
      <w:rPr>
        <w:b/>
        <w:sz w:val="16"/>
        <w:szCs w:val="16"/>
        <w:lang w:val="nl-BE"/>
      </w:rPr>
      <w:fldChar w:fldCharType="begin"/>
    </w:r>
    <w:r w:rsidRPr="000C33C9">
      <w:rPr>
        <w:b/>
        <w:sz w:val="16"/>
        <w:szCs w:val="16"/>
        <w:lang w:val="fr-BE"/>
      </w:rPr>
      <w:instrText xml:space="preserve"> PAGE   </w:instrText>
    </w:r>
    <w:r>
      <w:rPr>
        <w:b/>
        <w:sz w:val="16"/>
        <w:szCs w:val="16"/>
        <w:lang w:val="nl-BE"/>
      </w:rPr>
      <w:fldChar w:fldCharType="separate"/>
    </w:r>
    <w:r w:rsidR="002A6567">
      <w:rPr>
        <w:b/>
        <w:noProof/>
        <w:sz w:val="16"/>
        <w:szCs w:val="16"/>
        <w:lang w:val="fr-BE"/>
      </w:rPr>
      <w:t>1</w:t>
    </w:r>
    <w:r>
      <w:rPr>
        <w:b/>
        <w:sz w:val="16"/>
        <w:szCs w:val="16"/>
        <w:lang w:val="nl-BE"/>
      </w:rPr>
      <w:fldChar w:fldCharType="end"/>
    </w:r>
    <w:r w:rsidRPr="000C33C9">
      <w:rPr>
        <w:b/>
        <w:sz w:val="16"/>
        <w:szCs w:val="16"/>
        <w:lang w:val="fr-BE"/>
      </w:rPr>
      <w:t>/</w:t>
    </w:r>
    <w:r>
      <w:rPr>
        <w:b/>
        <w:sz w:val="16"/>
        <w:szCs w:val="16"/>
        <w:lang w:val="nl-BE"/>
      </w:rPr>
      <w:fldChar w:fldCharType="begin"/>
    </w:r>
    <w:r w:rsidRPr="000C33C9">
      <w:rPr>
        <w:b/>
        <w:sz w:val="16"/>
        <w:szCs w:val="16"/>
        <w:lang w:val="fr-BE"/>
      </w:rPr>
      <w:instrText xml:space="preserve"> NUMPAGES   </w:instrText>
    </w:r>
    <w:r>
      <w:rPr>
        <w:b/>
        <w:sz w:val="16"/>
        <w:szCs w:val="16"/>
        <w:lang w:val="nl-BE"/>
      </w:rPr>
      <w:fldChar w:fldCharType="separate"/>
    </w:r>
    <w:r w:rsidR="002A6567">
      <w:rPr>
        <w:b/>
        <w:noProof/>
        <w:sz w:val="16"/>
        <w:szCs w:val="16"/>
        <w:lang w:val="fr-BE"/>
      </w:rPr>
      <w:t>3</w:t>
    </w:r>
    <w:r>
      <w:rPr>
        <w:b/>
        <w:sz w:val="16"/>
        <w:szCs w:val="16"/>
        <w:lang w:val="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9430F" w14:textId="77777777" w:rsidR="00E50F72" w:rsidRPr="00117F31" w:rsidRDefault="00E50F72" w:rsidP="00117F31">
      <w:pPr>
        <w:pStyle w:val="Footer"/>
      </w:pPr>
    </w:p>
  </w:footnote>
  <w:footnote w:type="continuationSeparator" w:id="0">
    <w:p w14:paraId="023BE213" w14:textId="77777777" w:rsidR="00E50F72" w:rsidRPr="00117F31" w:rsidRDefault="00E50F72" w:rsidP="00117F31">
      <w:pPr>
        <w:pStyle w:val="Footer"/>
      </w:pPr>
    </w:p>
  </w:footnote>
  <w:footnote w:type="continuationNotice" w:id="1">
    <w:p w14:paraId="505F8BD4" w14:textId="77777777" w:rsidR="00E50F72" w:rsidRDefault="00E50F72"/>
  </w:footnote>
  <w:footnote w:id="2">
    <w:p w14:paraId="5D0E6A3B" w14:textId="77777777" w:rsidR="00096599" w:rsidRPr="00B64052" w:rsidRDefault="00096599" w:rsidP="00B64052">
      <w:pPr>
        <w:pStyle w:val="FootnoteText"/>
        <w:spacing w:line="240" w:lineRule="auto"/>
        <w:jc w:val="both"/>
        <w:rPr>
          <w:sz w:val="16"/>
          <w:szCs w:val="16"/>
          <w:lang w:val="fr-BE"/>
        </w:rPr>
      </w:pPr>
      <w:r w:rsidRPr="00B64052">
        <w:rPr>
          <w:rStyle w:val="FootnoteReference"/>
        </w:rPr>
        <w:footnoteRef/>
      </w:r>
      <w:r w:rsidRPr="00B64052">
        <w:rPr>
          <w:sz w:val="16"/>
          <w:szCs w:val="16"/>
          <w:lang w:val="fr-BE"/>
        </w:rPr>
        <w:t xml:space="preserve">   Cf. la communication 2017_22 aux candidats actionnaires et aux actionnaires cédants et la circulaire 2017_23 aux organismes financiers concernant les acquisitions, accroissements, réductions et cessions de participations qualifiées.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569D3" w14:textId="77777777" w:rsidR="00450949" w:rsidRDefault="00450949" w:rsidP="00E829D6">
    <w:pPr>
      <w:pStyle w:val="Header"/>
      <w:tabs>
        <w:tab w:val="clear" w:pos="4394"/>
        <w:tab w:val="center" w:pos="4395"/>
      </w:tabs>
      <w:rPr>
        <w:lang w:val="nl-BE"/>
      </w:rPr>
    </w:pPr>
  </w:p>
  <w:p w14:paraId="3B89AFA0" w14:textId="77777777" w:rsidR="00450949" w:rsidRPr="00BF29ED" w:rsidRDefault="00450949" w:rsidP="00E829D6">
    <w:pPr>
      <w:pStyle w:val="Header"/>
      <w:tabs>
        <w:tab w:val="clear" w:pos="4394"/>
        <w:tab w:val="center" w:pos="4395"/>
      </w:tabs>
      <w:rPr>
        <w:lang w:val="nl-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95458" w14:textId="77777777" w:rsidR="00450949" w:rsidRDefault="00450949" w:rsidP="00D850C8">
    <w:pPr>
      <w:pStyle w:val="Header"/>
      <w:rPr>
        <w:lang w:val="nl-BE"/>
      </w:rPr>
    </w:pPr>
  </w:p>
  <w:p w14:paraId="57E59021" w14:textId="77777777" w:rsidR="00450949" w:rsidRPr="00D850C8" w:rsidRDefault="00450949" w:rsidP="00D850C8">
    <w:pPr>
      <w:pStyle w:val="Header"/>
      <w:rPr>
        <w:lang w:val="nl-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8A819" w14:textId="77777777" w:rsidR="00BE6375" w:rsidRDefault="00BE63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0C4C5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56B8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CC4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54D7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FE7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624D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3863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F8DE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C288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DC3A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6E42DC"/>
    <w:multiLevelType w:val="multilevel"/>
    <w:tmpl w:val="6D967668"/>
    <w:lvl w:ilvl="0">
      <w:start w:val="1"/>
      <w:numFmt w:val="none"/>
      <w:lvlText w:val="%1"/>
      <w:lvlJc w:val="left"/>
      <w:pPr>
        <w:tabs>
          <w:tab w:val="num" w:pos="0"/>
        </w:tabs>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1" w15:restartNumberingAfterBreak="0">
    <w:nsid w:val="15F22421"/>
    <w:multiLevelType w:val="multilevel"/>
    <w:tmpl w:val="083AFA2E"/>
    <w:lvl w:ilvl="0">
      <w:start w:val="1"/>
      <w:numFmt w:val="none"/>
      <w:lvlText w:val="%1"/>
      <w:lvlJc w:val="left"/>
      <w:pPr>
        <w:tabs>
          <w:tab w:val="num" w:pos="0"/>
        </w:tabs>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2" w15:restartNumberingAfterBreak="0">
    <w:nsid w:val="162C51DB"/>
    <w:multiLevelType w:val="multilevel"/>
    <w:tmpl w:val="DDE64F1C"/>
    <w:lvl w:ilvl="0">
      <w:start w:val="1"/>
      <w:numFmt w:val="none"/>
      <w:suff w:val="nothing"/>
      <w:lvlText w:val="%1"/>
      <w:lvlJc w:val="left"/>
      <w:pPr>
        <w:ind w:left="0" w:firstLine="0"/>
      </w:pPr>
      <w:rPr>
        <w:rFonts w:hint="default"/>
        <w:u w:val="none"/>
      </w:rPr>
    </w:lvl>
    <w:lvl w:ilvl="1">
      <w:start w:val="1"/>
      <w:numFmt w:val="decimal"/>
      <w:lvlText w:val="%1%2."/>
      <w:lvlJc w:val="left"/>
      <w:pPr>
        <w:tabs>
          <w:tab w:val="num" w:pos="284"/>
        </w:tabs>
        <w:ind w:left="284" w:hanging="284"/>
      </w:pPr>
      <w:rPr>
        <w:rFonts w:hint="default"/>
        <w:u w:val="none"/>
      </w:rPr>
    </w:lvl>
    <w:lvl w:ilvl="2">
      <w:start w:val="1"/>
      <w:numFmt w:val="decimal"/>
      <w:lvlText w:val="%1%2.%3"/>
      <w:lvlJc w:val="left"/>
      <w:pPr>
        <w:tabs>
          <w:tab w:val="num" w:pos="397"/>
        </w:tabs>
        <w:ind w:left="397" w:hanging="397"/>
      </w:pPr>
      <w:rPr>
        <w:rFonts w:hint="default"/>
        <w:u w:val="none"/>
      </w:rPr>
    </w:lvl>
    <w:lvl w:ilvl="3">
      <w:start w:val="1"/>
      <w:numFmt w:val="decimal"/>
      <w:lvlText w:val="%1%2.%3.%4"/>
      <w:lvlJc w:val="left"/>
      <w:pPr>
        <w:tabs>
          <w:tab w:val="num" w:pos="510"/>
        </w:tabs>
        <w:ind w:left="510" w:hanging="510"/>
      </w:pPr>
      <w:rPr>
        <w:rFonts w:hint="default"/>
        <w:u w:val="none"/>
      </w:rPr>
    </w:lvl>
    <w:lvl w:ilvl="4">
      <w:start w:val="1"/>
      <w:numFmt w:val="none"/>
      <w:suff w:val="nothing"/>
      <w:lvlText w:val="%1"/>
      <w:lvlJc w:val="left"/>
      <w:pPr>
        <w:ind w:left="0" w:firstLine="0"/>
      </w:pPr>
      <w:rPr>
        <w:rFonts w:hint="default"/>
        <w:u w:val="none"/>
      </w:rPr>
    </w:lvl>
    <w:lvl w:ilvl="5">
      <w:start w:val="1"/>
      <w:numFmt w:val="none"/>
      <w:suff w:val="nothing"/>
      <w:lvlText w:val="%1"/>
      <w:lvlJc w:val="left"/>
      <w:pPr>
        <w:ind w:left="0" w:firstLine="0"/>
      </w:pPr>
      <w:rPr>
        <w:rFonts w:hint="default"/>
        <w:u w:val="none"/>
      </w:rPr>
    </w:lvl>
    <w:lvl w:ilvl="6">
      <w:start w:val="1"/>
      <w:numFmt w:val="none"/>
      <w:suff w:val="nothing"/>
      <w:lvlText w:val="%1"/>
      <w:lvlJc w:val="left"/>
      <w:pPr>
        <w:ind w:left="0" w:firstLine="0"/>
      </w:pPr>
      <w:rPr>
        <w:rFonts w:hint="default"/>
        <w:u w:val="none"/>
      </w:rPr>
    </w:lvl>
    <w:lvl w:ilvl="7">
      <w:start w:val="1"/>
      <w:numFmt w:val="none"/>
      <w:suff w:val="nothing"/>
      <w:lvlText w:val=""/>
      <w:lvlJc w:val="left"/>
      <w:pPr>
        <w:ind w:left="0" w:firstLine="0"/>
      </w:pPr>
      <w:rPr>
        <w:rFonts w:hint="default"/>
        <w:u w:val="none"/>
      </w:rPr>
    </w:lvl>
    <w:lvl w:ilvl="8">
      <w:start w:val="1"/>
      <w:numFmt w:val="none"/>
      <w:suff w:val="nothing"/>
      <w:lvlText w:val="%1"/>
      <w:lvlJc w:val="left"/>
      <w:pPr>
        <w:ind w:left="0" w:firstLine="0"/>
      </w:pPr>
      <w:rPr>
        <w:rFonts w:hint="default"/>
        <w:u w:val="none"/>
      </w:rPr>
    </w:lvl>
  </w:abstractNum>
  <w:abstractNum w:abstractNumId="13" w15:restartNumberingAfterBreak="0">
    <w:nsid w:val="215D1D43"/>
    <w:multiLevelType w:val="multilevel"/>
    <w:tmpl w:val="20303294"/>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56D4BB1"/>
    <w:multiLevelType w:val="multilevel"/>
    <w:tmpl w:val="42A63D7C"/>
    <w:lvl w:ilvl="0">
      <w:start w:val="1"/>
      <w:numFmt w:val="none"/>
      <w:suff w:val="space"/>
      <w:lvlText w:val="%1."/>
      <w:lvlJc w:val="left"/>
      <w:pPr>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5" w15:restartNumberingAfterBreak="0">
    <w:nsid w:val="361B5BC9"/>
    <w:multiLevelType w:val="multilevel"/>
    <w:tmpl w:val="4CBC15FC"/>
    <w:lvl w:ilvl="0">
      <w:start w:val="1"/>
      <w:numFmt w:val="none"/>
      <w:lvlText w:val=""/>
      <w:lvlJc w:val="left"/>
      <w:pPr>
        <w:tabs>
          <w:tab w:val="num" w:pos="0"/>
        </w:tabs>
        <w:ind w:left="0" w:firstLine="0"/>
      </w:pPr>
      <w:rPr>
        <w:rFonts w:hint="default"/>
      </w:rPr>
    </w:lvl>
    <w:lvl w:ilvl="1">
      <w:start w:val="1"/>
      <w:numFmt w:val="decimal"/>
      <w:lvlText w:val="%2."/>
      <w:lvlJc w:val="left"/>
      <w:pPr>
        <w:tabs>
          <w:tab w:val="num" w:pos="227"/>
        </w:tabs>
        <w:ind w:left="227" w:hanging="22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454"/>
        </w:tabs>
        <w:ind w:left="454" w:hanging="454"/>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16" w15:restartNumberingAfterBreak="0">
    <w:nsid w:val="361F0C47"/>
    <w:multiLevelType w:val="multilevel"/>
    <w:tmpl w:val="9F8C365E"/>
    <w:lvl w:ilvl="0">
      <w:start w:val="1"/>
      <w:numFmt w:val="none"/>
      <w:lvlText w:val=""/>
      <w:lvlJc w:val="left"/>
      <w:pPr>
        <w:tabs>
          <w:tab w:val="num" w:pos="0"/>
        </w:tabs>
        <w:ind w:left="0" w:firstLine="0"/>
      </w:pPr>
      <w:rPr>
        <w:rFonts w:hint="default"/>
      </w:rPr>
    </w:lvl>
    <w:lvl w:ilvl="1">
      <w:start w:val="1"/>
      <w:numFmt w:val="decimal"/>
      <w:lvlText w:val="%2."/>
      <w:lvlJc w:val="left"/>
      <w:pPr>
        <w:tabs>
          <w:tab w:val="num" w:pos="227"/>
        </w:tabs>
        <w:ind w:left="227" w:hanging="22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454"/>
        </w:tabs>
        <w:ind w:left="454" w:hanging="454"/>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17" w15:restartNumberingAfterBreak="0">
    <w:nsid w:val="373F18B8"/>
    <w:multiLevelType w:val="multilevel"/>
    <w:tmpl w:val="462A3074"/>
    <w:lvl w:ilvl="0">
      <w:start w:val="1"/>
      <w:numFmt w:val="none"/>
      <w:lvlText w:val="%1"/>
      <w:lvlJc w:val="left"/>
      <w:pPr>
        <w:tabs>
          <w:tab w:val="num" w:pos="0"/>
        </w:tabs>
        <w:ind w:left="0" w:firstLine="0"/>
      </w:pPr>
      <w:rPr>
        <w:rFonts w:hint="default"/>
        <w:u w:val="none"/>
      </w:rPr>
    </w:lvl>
    <w:lvl w:ilvl="1">
      <w:start w:val="1"/>
      <w:numFmt w:val="decimal"/>
      <w:lvlText w:val="%1%2."/>
      <w:lvlJc w:val="left"/>
      <w:pPr>
        <w:tabs>
          <w:tab w:val="num" w:pos="284"/>
        </w:tabs>
        <w:ind w:left="284" w:hanging="284"/>
      </w:pPr>
      <w:rPr>
        <w:rFonts w:hint="default"/>
        <w:u w:val="none"/>
      </w:rPr>
    </w:lvl>
    <w:lvl w:ilvl="2">
      <w:start w:val="1"/>
      <w:numFmt w:val="decimal"/>
      <w:lvlText w:val="%1%2.%3"/>
      <w:lvlJc w:val="left"/>
      <w:pPr>
        <w:tabs>
          <w:tab w:val="num" w:pos="397"/>
        </w:tabs>
        <w:ind w:left="397" w:hanging="397"/>
      </w:pPr>
      <w:rPr>
        <w:rFonts w:hint="default"/>
        <w:u w:val="none"/>
      </w:rPr>
    </w:lvl>
    <w:lvl w:ilvl="3">
      <w:start w:val="1"/>
      <w:numFmt w:val="decimal"/>
      <w:lvlText w:val="%1%2.%3.%4"/>
      <w:lvlJc w:val="left"/>
      <w:pPr>
        <w:tabs>
          <w:tab w:val="num" w:pos="510"/>
        </w:tabs>
        <w:ind w:left="510" w:hanging="510"/>
      </w:pPr>
      <w:rPr>
        <w:rFonts w:hint="default"/>
        <w:u w:val="none"/>
      </w:rPr>
    </w:lvl>
    <w:lvl w:ilvl="4">
      <w:start w:val="1"/>
      <w:numFmt w:val="none"/>
      <w:suff w:val="nothing"/>
      <w:lvlText w:val="%1"/>
      <w:lvlJc w:val="left"/>
      <w:pPr>
        <w:ind w:left="0" w:firstLine="0"/>
      </w:pPr>
      <w:rPr>
        <w:rFonts w:hint="default"/>
        <w:u w:val="none"/>
      </w:rPr>
    </w:lvl>
    <w:lvl w:ilvl="5">
      <w:start w:val="1"/>
      <w:numFmt w:val="none"/>
      <w:suff w:val="nothing"/>
      <w:lvlText w:val="%1"/>
      <w:lvlJc w:val="left"/>
      <w:pPr>
        <w:ind w:left="0" w:firstLine="0"/>
      </w:pPr>
      <w:rPr>
        <w:rFonts w:hint="default"/>
        <w:u w:val="none"/>
      </w:rPr>
    </w:lvl>
    <w:lvl w:ilvl="6">
      <w:start w:val="1"/>
      <w:numFmt w:val="none"/>
      <w:suff w:val="nothing"/>
      <w:lvlText w:val="%1"/>
      <w:lvlJc w:val="left"/>
      <w:pPr>
        <w:ind w:left="0" w:firstLine="0"/>
      </w:pPr>
      <w:rPr>
        <w:rFonts w:hint="default"/>
        <w:u w:val="none"/>
      </w:rPr>
    </w:lvl>
    <w:lvl w:ilvl="7">
      <w:start w:val="1"/>
      <w:numFmt w:val="none"/>
      <w:suff w:val="nothing"/>
      <w:lvlText w:val=""/>
      <w:lvlJc w:val="left"/>
      <w:pPr>
        <w:ind w:left="0" w:firstLine="0"/>
      </w:pPr>
      <w:rPr>
        <w:rFonts w:hint="default"/>
        <w:u w:val="none"/>
      </w:rPr>
    </w:lvl>
    <w:lvl w:ilvl="8">
      <w:start w:val="1"/>
      <w:numFmt w:val="none"/>
      <w:suff w:val="nothing"/>
      <w:lvlText w:val="%1"/>
      <w:lvlJc w:val="left"/>
      <w:pPr>
        <w:ind w:left="0" w:firstLine="0"/>
      </w:pPr>
      <w:rPr>
        <w:rFonts w:hint="default"/>
        <w:u w:val="none"/>
      </w:rPr>
    </w:lvl>
  </w:abstractNum>
  <w:abstractNum w:abstractNumId="18" w15:restartNumberingAfterBreak="0">
    <w:nsid w:val="3D3A0A8E"/>
    <w:multiLevelType w:val="multilevel"/>
    <w:tmpl w:val="46C2EAE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1575B30"/>
    <w:multiLevelType w:val="multilevel"/>
    <w:tmpl w:val="1E3660A2"/>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23F3443"/>
    <w:multiLevelType w:val="multilevel"/>
    <w:tmpl w:val="A6687038"/>
    <w:lvl w:ilvl="0">
      <w:start w:val="1"/>
      <w:numFmt w:val="decimal"/>
      <w:pStyle w:val="Heading1"/>
      <w:lvlText w:val="%1."/>
      <w:lvlJc w:val="left"/>
      <w:pPr>
        <w:ind w:left="357" w:hanging="357"/>
      </w:pPr>
      <w:rPr>
        <w:rFonts w:hint="default"/>
      </w:rPr>
    </w:lvl>
    <w:lvl w:ilvl="1">
      <w:start w:val="1"/>
      <w:numFmt w:val="upperLetter"/>
      <w:pStyle w:val="Heading2"/>
      <w:lvlText w:val="%1.%2."/>
      <w:lvlJc w:val="left"/>
      <w:pPr>
        <w:ind w:left="567" w:hanging="567"/>
      </w:pPr>
      <w:rPr>
        <w:rFonts w:hint="default"/>
      </w:rPr>
    </w:lvl>
    <w:lvl w:ilvl="2">
      <w:numFmt w:val="decimal"/>
      <w:pStyle w:val="Heading3"/>
      <w:lvlText w:val="%1.%2.%3."/>
      <w:lvlJc w:val="left"/>
      <w:pPr>
        <w:ind w:left="709" w:hanging="709"/>
      </w:pPr>
      <w:rPr>
        <w:rFonts w:hint="default"/>
      </w:rPr>
    </w:lvl>
    <w:lvl w:ilvl="3">
      <w:start w:val="1"/>
      <w:numFmt w:val="lowerLetter"/>
      <w:pStyle w:val="Heading4"/>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5847C49"/>
    <w:multiLevelType w:val="multilevel"/>
    <w:tmpl w:val="44F4C87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A9E3A8C"/>
    <w:multiLevelType w:val="multilevel"/>
    <w:tmpl w:val="8200A2C0"/>
    <w:lvl w:ilvl="0">
      <w:start w:val="1"/>
      <w:numFmt w:val="decimal"/>
      <w:lvlText w:val="%1."/>
      <w:lvlJc w:val="left"/>
      <w:pPr>
        <w:tabs>
          <w:tab w:val="num" w:pos="255"/>
        </w:tabs>
        <w:ind w:left="255" w:hanging="255"/>
      </w:pPr>
      <w:rPr>
        <w:rFonts w:hint="default"/>
      </w:rPr>
    </w:lvl>
    <w:lvl w:ilvl="1">
      <w:start w:val="1"/>
      <w:numFmt w:val="decimal"/>
      <w:lvlText w:val="%2"/>
      <w:lvlJc w:val="left"/>
      <w:pPr>
        <w:tabs>
          <w:tab w:val="num" w:pos="0"/>
        </w:tabs>
        <w:ind w:left="0" w:firstLine="0"/>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CCA7F7E"/>
    <w:multiLevelType w:val="multilevel"/>
    <w:tmpl w:val="0936A182"/>
    <w:lvl w:ilvl="0">
      <w:start w:val="1"/>
      <w:numFmt w:val="none"/>
      <w:lvlText w:val=""/>
      <w:lvlJc w:val="left"/>
      <w:pPr>
        <w:tabs>
          <w:tab w:val="num" w:pos="0"/>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510"/>
        </w:tabs>
        <w:ind w:left="510" w:hanging="51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24" w15:restartNumberingAfterBreak="0">
    <w:nsid w:val="60B95EA5"/>
    <w:multiLevelType w:val="multilevel"/>
    <w:tmpl w:val="A86CA668"/>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49B50E4"/>
    <w:multiLevelType w:val="hybridMultilevel"/>
    <w:tmpl w:val="60FAD5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95A7236"/>
    <w:multiLevelType w:val="multilevel"/>
    <w:tmpl w:val="84DEC9D6"/>
    <w:lvl w:ilvl="0">
      <w:start w:val="1"/>
      <w:numFmt w:val="none"/>
      <w:lvlText w:val=""/>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5%1"/>
      <w:lvlJc w:val="left"/>
      <w:pPr>
        <w:tabs>
          <w:tab w:val="num" w:pos="0"/>
        </w:tabs>
        <w:ind w:left="0" w:firstLine="0"/>
      </w:pPr>
      <w:rPr>
        <w:rFonts w:hint="default"/>
      </w:rPr>
    </w:lvl>
    <w:lvl w:ilvl="5">
      <w:start w:val="1"/>
      <w:numFmt w:val="decimal"/>
      <w:lvlText w:val="%6%1"/>
      <w:lvlJc w:val="left"/>
      <w:pPr>
        <w:tabs>
          <w:tab w:val="num" w:pos="0"/>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D911FC9"/>
    <w:multiLevelType w:val="multilevel"/>
    <w:tmpl w:val="12D85406"/>
    <w:lvl w:ilvl="0">
      <w:start w:val="1"/>
      <w:numFmt w:val="none"/>
      <w:lvlText w:val="%1"/>
      <w:lvlJc w:val="left"/>
      <w:pPr>
        <w:tabs>
          <w:tab w:val="num" w:pos="284"/>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2.%3"/>
      <w:lvlJc w:val="left"/>
      <w:pPr>
        <w:tabs>
          <w:tab w:val="num" w:pos="284"/>
        </w:tabs>
        <w:ind w:left="284" w:hanging="284"/>
      </w:pPr>
      <w:rPr>
        <w:rFonts w:hint="default"/>
      </w:rPr>
    </w:lvl>
    <w:lvl w:ilvl="3">
      <w:start w:val="1"/>
      <w:numFmt w:val="decimal"/>
      <w:lvlText w:val="%2.%3.%4"/>
      <w:lvlJc w:val="left"/>
      <w:pPr>
        <w:tabs>
          <w:tab w:val="num" w:pos="397"/>
        </w:tabs>
        <w:ind w:left="397" w:hanging="397"/>
      </w:pPr>
      <w:rPr>
        <w:rFonts w:hint="default"/>
      </w:rPr>
    </w:lvl>
    <w:lvl w:ilvl="4">
      <w:start w:val="1"/>
      <w:numFmt w:val="none"/>
      <w:lvlText w:val=""/>
      <w:lvlJc w:val="left"/>
      <w:pPr>
        <w:tabs>
          <w:tab w:val="num" w:pos="510"/>
        </w:tabs>
        <w:ind w:left="510" w:hanging="510"/>
      </w:pPr>
      <w:rPr>
        <w:rFonts w:hint="default"/>
      </w:rPr>
    </w:lvl>
    <w:lvl w:ilvl="5">
      <w:start w:val="1"/>
      <w:numFmt w:val="none"/>
      <w:lvlText w:val=""/>
      <w:lvlJc w:val="left"/>
      <w:pPr>
        <w:tabs>
          <w:tab w:val="num" w:pos="0"/>
        </w:tabs>
        <w:ind w:left="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8" w15:restartNumberingAfterBreak="0">
    <w:nsid w:val="70FE10F4"/>
    <w:multiLevelType w:val="multilevel"/>
    <w:tmpl w:val="192C0D2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756E43D2"/>
    <w:multiLevelType w:val="multilevel"/>
    <w:tmpl w:val="64685F3A"/>
    <w:lvl w:ilvl="0">
      <w:start w:val="1"/>
      <w:numFmt w:val="none"/>
      <w:lvlText w:val=""/>
      <w:lvlJc w:val="left"/>
      <w:pPr>
        <w:tabs>
          <w:tab w:val="num" w:pos="0"/>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510"/>
        </w:tabs>
        <w:ind w:left="510" w:hanging="51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30" w15:restartNumberingAfterBreak="0">
    <w:nsid w:val="77D45783"/>
    <w:multiLevelType w:val="multilevel"/>
    <w:tmpl w:val="0BDE938A"/>
    <w:lvl w:ilvl="0">
      <w:start w:val="1"/>
      <w:numFmt w:val="none"/>
      <w:suff w:val="space"/>
      <w:lvlText w:val="%1"/>
      <w:lvlJc w:val="left"/>
      <w:pPr>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24"/>
  </w:num>
  <w:num w:numId="12">
    <w:abstractNumId w:val="19"/>
  </w:num>
  <w:num w:numId="13">
    <w:abstractNumId w:val="28"/>
  </w:num>
  <w:num w:numId="14">
    <w:abstractNumId w:val="21"/>
  </w:num>
  <w:num w:numId="15">
    <w:abstractNumId w:val="18"/>
  </w:num>
  <w:num w:numId="16">
    <w:abstractNumId w:val="13"/>
  </w:num>
  <w:num w:numId="17">
    <w:abstractNumId w:val="29"/>
  </w:num>
  <w:num w:numId="18">
    <w:abstractNumId w:val="12"/>
  </w:num>
  <w:num w:numId="19">
    <w:abstractNumId w:val="14"/>
  </w:num>
  <w:num w:numId="20">
    <w:abstractNumId w:val="30"/>
  </w:num>
  <w:num w:numId="21">
    <w:abstractNumId w:val="11"/>
  </w:num>
  <w:num w:numId="22">
    <w:abstractNumId w:val="22"/>
  </w:num>
  <w:num w:numId="23">
    <w:abstractNumId w:val="26"/>
  </w:num>
  <w:num w:numId="24">
    <w:abstractNumId w:val="16"/>
  </w:num>
  <w:num w:numId="25">
    <w:abstractNumId w:val="15"/>
  </w:num>
  <w:num w:numId="26">
    <w:abstractNumId w:val="23"/>
  </w:num>
  <w:num w:numId="27">
    <w:abstractNumId w:val="10"/>
  </w:num>
  <w:num w:numId="28">
    <w:abstractNumId w:val="17"/>
  </w:num>
  <w:num w:numId="29">
    <w:abstractNumId w:val="27"/>
  </w:num>
  <w:num w:numId="30">
    <w:abstractNumId w:val="20"/>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hideGrammaticalErrors/>
  <w:activeWritingStyle w:appName="MSWord" w:lang="nl-BE" w:vendorID="1" w:dllVersion="512"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oNotHyphenateCaps/>
  <w:evenAndOddHeader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41"/>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BDC"/>
    <w:rsid w:val="00024A9E"/>
    <w:rsid w:val="000327D2"/>
    <w:rsid w:val="0003333C"/>
    <w:rsid w:val="00036E81"/>
    <w:rsid w:val="0004319E"/>
    <w:rsid w:val="0004570B"/>
    <w:rsid w:val="00045F8C"/>
    <w:rsid w:val="00051F2C"/>
    <w:rsid w:val="00053EEF"/>
    <w:rsid w:val="00062C1B"/>
    <w:rsid w:val="00064AC6"/>
    <w:rsid w:val="00082FA7"/>
    <w:rsid w:val="000869C2"/>
    <w:rsid w:val="00090275"/>
    <w:rsid w:val="00096599"/>
    <w:rsid w:val="00097598"/>
    <w:rsid w:val="000A1DA9"/>
    <w:rsid w:val="000B6441"/>
    <w:rsid w:val="000C33C9"/>
    <w:rsid w:val="000C35AA"/>
    <w:rsid w:val="000C37AB"/>
    <w:rsid w:val="000D10C0"/>
    <w:rsid w:val="000D405E"/>
    <w:rsid w:val="000E0090"/>
    <w:rsid w:val="000E2A68"/>
    <w:rsid w:val="000F1EB6"/>
    <w:rsid w:val="000F7268"/>
    <w:rsid w:val="000F7C34"/>
    <w:rsid w:val="001001BA"/>
    <w:rsid w:val="001126F5"/>
    <w:rsid w:val="00114821"/>
    <w:rsid w:val="00117F31"/>
    <w:rsid w:val="00121BD1"/>
    <w:rsid w:val="00124312"/>
    <w:rsid w:val="00124AA8"/>
    <w:rsid w:val="001275FD"/>
    <w:rsid w:val="00133D4B"/>
    <w:rsid w:val="00145EF1"/>
    <w:rsid w:val="00147933"/>
    <w:rsid w:val="001516F5"/>
    <w:rsid w:val="0015337A"/>
    <w:rsid w:val="00154310"/>
    <w:rsid w:val="001548A9"/>
    <w:rsid w:val="00155349"/>
    <w:rsid w:val="00160D31"/>
    <w:rsid w:val="00167ACD"/>
    <w:rsid w:val="00172DAF"/>
    <w:rsid w:val="00175ADE"/>
    <w:rsid w:val="001763C2"/>
    <w:rsid w:val="001767CB"/>
    <w:rsid w:val="0018615D"/>
    <w:rsid w:val="00186EC7"/>
    <w:rsid w:val="0019158E"/>
    <w:rsid w:val="00197FEB"/>
    <w:rsid w:val="001A1D68"/>
    <w:rsid w:val="001A7DC7"/>
    <w:rsid w:val="001B4EEE"/>
    <w:rsid w:val="001B7F21"/>
    <w:rsid w:val="001C31C4"/>
    <w:rsid w:val="001D503F"/>
    <w:rsid w:val="001E7FE6"/>
    <w:rsid w:val="001F1805"/>
    <w:rsid w:val="001F711D"/>
    <w:rsid w:val="00200D79"/>
    <w:rsid w:val="00202B0B"/>
    <w:rsid w:val="00204BE8"/>
    <w:rsid w:val="00215E02"/>
    <w:rsid w:val="00221231"/>
    <w:rsid w:val="00223911"/>
    <w:rsid w:val="002307B0"/>
    <w:rsid w:val="00231694"/>
    <w:rsid w:val="002333AF"/>
    <w:rsid w:val="00233828"/>
    <w:rsid w:val="002406B2"/>
    <w:rsid w:val="002477FA"/>
    <w:rsid w:val="002554D2"/>
    <w:rsid w:val="00261D63"/>
    <w:rsid w:val="002754A4"/>
    <w:rsid w:val="00275C1C"/>
    <w:rsid w:val="00276804"/>
    <w:rsid w:val="00277EDB"/>
    <w:rsid w:val="002859A3"/>
    <w:rsid w:val="00287538"/>
    <w:rsid w:val="0028790D"/>
    <w:rsid w:val="002A6567"/>
    <w:rsid w:val="002B5743"/>
    <w:rsid w:val="002D5723"/>
    <w:rsid w:val="002D6838"/>
    <w:rsid w:val="002D75B3"/>
    <w:rsid w:val="002E10A2"/>
    <w:rsid w:val="002E15B9"/>
    <w:rsid w:val="002E409B"/>
    <w:rsid w:val="002E5144"/>
    <w:rsid w:val="002F1611"/>
    <w:rsid w:val="00306F7F"/>
    <w:rsid w:val="003116AA"/>
    <w:rsid w:val="003135E6"/>
    <w:rsid w:val="003257C1"/>
    <w:rsid w:val="003364D4"/>
    <w:rsid w:val="00336912"/>
    <w:rsid w:val="003419C5"/>
    <w:rsid w:val="00352B22"/>
    <w:rsid w:val="00353178"/>
    <w:rsid w:val="00353E3D"/>
    <w:rsid w:val="00354956"/>
    <w:rsid w:val="00362513"/>
    <w:rsid w:val="00365065"/>
    <w:rsid w:val="00365FFE"/>
    <w:rsid w:val="00371331"/>
    <w:rsid w:val="00377371"/>
    <w:rsid w:val="003802EE"/>
    <w:rsid w:val="0038095A"/>
    <w:rsid w:val="00381F4A"/>
    <w:rsid w:val="00383392"/>
    <w:rsid w:val="00387716"/>
    <w:rsid w:val="00395A49"/>
    <w:rsid w:val="00397DDA"/>
    <w:rsid w:val="003B1662"/>
    <w:rsid w:val="003B7866"/>
    <w:rsid w:val="003C6508"/>
    <w:rsid w:val="003D7096"/>
    <w:rsid w:val="003E4928"/>
    <w:rsid w:val="003F2836"/>
    <w:rsid w:val="003F792F"/>
    <w:rsid w:val="004003CC"/>
    <w:rsid w:val="00407822"/>
    <w:rsid w:val="00412C56"/>
    <w:rsid w:val="00412DC4"/>
    <w:rsid w:val="0042119A"/>
    <w:rsid w:val="0042595A"/>
    <w:rsid w:val="004275C8"/>
    <w:rsid w:val="00432E16"/>
    <w:rsid w:val="0044211C"/>
    <w:rsid w:val="004449B7"/>
    <w:rsid w:val="00450949"/>
    <w:rsid w:val="004540E1"/>
    <w:rsid w:val="00454C65"/>
    <w:rsid w:val="00456DEB"/>
    <w:rsid w:val="004619EE"/>
    <w:rsid w:val="00464101"/>
    <w:rsid w:val="004679FA"/>
    <w:rsid w:val="0047398F"/>
    <w:rsid w:val="00476584"/>
    <w:rsid w:val="00477F18"/>
    <w:rsid w:val="00482C61"/>
    <w:rsid w:val="00485F3C"/>
    <w:rsid w:val="004A477F"/>
    <w:rsid w:val="004A4C5C"/>
    <w:rsid w:val="004B400F"/>
    <w:rsid w:val="004B564D"/>
    <w:rsid w:val="004C14FA"/>
    <w:rsid w:val="004C2424"/>
    <w:rsid w:val="004D12DD"/>
    <w:rsid w:val="004E136D"/>
    <w:rsid w:val="004F04DA"/>
    <w:rsid w:val="004F0F6B"/>
    <w:rsid w:val="004F41BA"/>
    <w:rsid w:val="005033DA"/>
    <w:rsid w:val="0050792E"/>
    <w:rsid w:val="0051268A"/>
    <w:rsid w:val="00552963"/>
    <w:rsid w:val="0055492B"/>
    <w:rsid w:val="00557A3F"/>
    <w:rsid w:val="0056043D"/>
    <w:rsid w:val="005616A3"/>
    <w:rsid w:val="00561A9A"/>
    <w:rsid w:val="00564874"/>
    <w:rsid w:val="00567693"/>
    <w:rsid w:val="00571A24"/>
    <w:rsid w:val="00582D56"/>
    <w:rsid w:val="00592469"/>
    <w:rsid w:val="00592957"/>
    <w:rsid w:val="005932C7"/>
    <w:rsid w:val="0059396D"/>
    <w:rsid w:val="005A3DA7"/>
    <w:rsid w:val="005A63D8"/>
    <w:rsid w:val="005B4C1C"/>
    <w:rsid w:val="005C1B25"/>
    <w:rsid w:val="005C3450"/>
    <w:rsid w:val="005C3F84"/>
    <w:rsid w:val="005E33F6"/>
    <w:rsid w:val="006107D5"/>
    <w:rsid w:val="00610B4E"/>
    <w:rsid w:val="00611E02"/>
    <w:rsid w:val="00627AF2"/>
    <w:rsid w:val="0063089E"/>
    <w:rsid w:val="0063130F"/>
    <w:rsid w:val="006316A4"/>
    <w:rsid w:val="00631E3C"/>
    <w:rsid w:val="00634558"/>
    <w:rsid w:val="00635AD7"/>
    <w:rsid w:val="00635DCE"/>
    <w:rsid w:val="006372C7"/>
    <w:rsid w:val="006376E3"/>
    <w:rsid w:val="006506E6"/>
    <w:rsid w:val="00651843"/>
    <w:rsid w:val="00653A88"/>
    <w:rsid w:val="006602F1"/>
    <w:rsid w:val="006626A0"/>
    <w:rsid w:val="00667481"/>
    <w:rsid w:val="006703F5"/>
    <w:rsid w:val="0067198D"/>
    <w:rsid w:val="0068065A"/>
    <w:rsid w:val="00683802"/>
    <w:rsid w:val="0068679D"/>
    <w:rsid w:val="00692A72"/>
    <w:rsid w:val="0069769C"/>
    <w:rsid w:val="00697F48"/>
    <w:rsid w:val="006A2CDD"/>
    <w:rsid w:val="006A3829"/>
    <w:rsid w:val="006B6BFC"/>
    <w:rsid w:val="006D3B38"/>
    <w:rsid w:val="006E7D13"/>
    <w:rsid w:val="00702DA6"/>
    <w:rsid w:val="00706B32"/>
    <w:rsid w:val="0071004E"/>
    <w:rsid w:val="00710A80"/>
    <w:rsid w:val="00714070"/>
    <w:rsid w:val="007148AA"/>
    <w:rsid w:val="0071627E"/>
    <w:rsid w:val="00721D55"/>
    <w:rsid w:val="00730DDA"/>
    <w:rsid w:val="00733829"/>
    <w:rsid w:val="00733DE9"/>
    <w:rsid w:val="00741E9C"/>
    <w:rsid w:val="007429AB"/>
    <w:rsid w:val="007459B1"/>
    <w:rsid w:val="00750B57"/>
    <w:rsid w:val="00752FC4"/>
    <w:rsid w:val="007547B5"/>
    <w:rsid w:val="007654E7"/>
    <w:rsid w:val="00766F4D"/>
    <w:rsid w:val="0077019B"/>
    <w:rsid w:val="007709BA"/>
    <w:rsid w:val="00773E81"/>
    <w:rsid w:val="00785B6F"/>
    <w:rsid w:val="00787601"/>
    <w:rsid w:val="00796920"/>
    <w:rsid w:val="00797BED"/>
    <w:rsid w:val="007A1C59"/>
    <w:rsid w:val="007A1F21"/>
    <w:rsid w:val="007A3EF3"/>
    <w:rsid w:val="007A552B"/>
    <w:rsid w:val="007A6D1E"/>
    <w:rsid w:val="007B13BD"/>
    <w:rsid w:val="007B25F7"/>
    <w:rsid w:val="007B793B"/>
    <w:rsid w:val="007C6D45"/>
    <w:rsid w:val="007E0494"/>
    <w:rsid w:val="007E0667"/>
    <w:rsid w:val="007E71C9"/>
    <w:rsid w:val="007F0A8C"/>
    <w:rsid w:val="007F4120"/>
    <w:rsid w:val="007F462A"/>
    <w:rsid w:val="007F5AF5"/>
    <w:rsid w:val="007F78DB"/>
    <w:rsid w:val="00804480"/>
    <w:rsid w:val="00805AFA"/>
    <w:rsid w:val="0081015C"/>
    <w:rsid w:val="00814FBE"/>
    <w:rsid w:val="00821F74"/>
    <w:rsid w:val="00822375"/>
    <w:rsid w:val="00824A23"/>
    <w:rsid w:val="008277DB"/>
    <w:rsid w:val="00831F31"/>
    <w:rsid w:val="00836C05"/>
    <w:rsid w:val="008437C4"/>
    <w:rsid w:val="00843F67"/>
    <w:rsid w:val="00847145"/>
    <w:rsid w:val="008503E8"/>
    <w:rsid w:val="008837CF"/>
    <w:rsid w:val="00896CFE"/>
    <w:rsid w:val="008977A1"/>
    <w:rsid w:val="008B23BD"/>
    <w:rsid w:val="008C4032"/>
    <w:rsid w:val="008E5948"/>
    <w:rsid w:val="008E6931"/>
    <w:rsid w:val="0090354E"/>
    <w:rsid w:val="0090398E"/>
    <w:rsid w:val="00905D03"/>
    <w:rsid w:val="00914031"/>
    <w:rsid w:val="00932175"/>
    <w:rsid w:val="00935B26"/>
    <w:rsid w:val="00937808"/>
    <w:rsid w:val="00940C81"/>
    <w:rsid w:val="00942B19"/>
    <w:rsid w:val="00942EE2"/>
    <w:rsid w:val="00946456"/>
    <w:rsid w:val="009466D6"/>
    <w:rsid w:val="00950C45"/>
    <w:rsid w:val="00952E06"/>
    <w:rsid w:val="00954143"/>
    <w:rsid w:val="009600D3"/>
    <w:rsid w:val="009656E0"/>
    <w:rsid w:val="00974952"/>
    <w:rsid w:val="00983714"/>
    <w:rsid w:val="00985229"/>
    <w:rsid w:val="00987DEA"/>
    <w:rsid w:val="00991E7A"/>
    <w:rsid w:val="009939BE"/>
    <w:rsid w:val="00994BF4"/>
    <w:rsid w:val="009A0346"/>
    <w:rsid w:val="009A140C"/>
    <w:rsid w:val="009B132A"/>
    <w:rsid w:val="009B6FA0"/>
    <w:rsid w:val="009C0BC7"/>
    <w:rsid w:val="009C4323"/>
    <w:rsid w:val="009D10D0"/>
    <w:rsid w:val="009D1225"/>
    <w:rsid w:val="009D15BD"/>
    <w:rsid w:val="009D277D"/>
    <w:rsid w:val="009D3040"/>
    <w:rsid w:val="009D3082"/>
    <w:rsid w:val="009D784B"/>
    <w:rsid w:val="009E2A0A"/>
    <w:rsid w:val="009E56DB"/>
    <w:rsid w:val="009F4B6D"/>
    <w:rsid w:val="00A01013"/>
    <w:rsid w:val="00A06B19"/>
    <w:rsid w:val="00A11F91"/>
    <w:rsid w:val="00A122B7"/>
    <w:rsid w:val="00A141C9"/>
    <w:rsid w:val="00A147E1"/>
    <w:rsid w:val="00A16D2D"/>
    <w:rsid w:val="00A16F91"/>
    <w:rsid w:val="00A17571"/>
    <w:rsid w:val="00A2514A"/>
    <w:rsid w:val="00A25A33"/>
    <w:rsid w:val="00A267AD"/>
    <w:rsid w:val="00A351FF"/>
    <w:rsid w:val="00A355E9"/>
    <w:rsid w:val="00A51FAA"/>
    <w:rsid w:val="00A52E4A"/>
    <w:rsid w:val="00A55A96"/>
    <w:rsid w:val="00A56340"/>
    <w:rsid w:val="00A605D0"/>
    <w:rsid w:val="00A621A5"/>
    <w:rsid w:val="00A62501"/>
    <w:rsid w:val="00A679F2"/>
    <w:rsid w:val="00A709E5"/>
    <w:rsid w:val="00A7250C"/>
    <w:rsid w:val="00A73D60"/>
    <w:rsid w:val="00A76E7E"/>
    <w:rsid w:val="00A876D8"/>
    <w:rsid w:val="00A912F7"/>
    <w:rsid w:val="00A973C8"/>
    <w:rsid w:val="00AA074E"/>
    <w:rsid w:val="00AA14A2"/>
    <w:rsid w:val="00AB4D11"/>
    <w:rsid w:val="00AB5B67"/>
    <w:rsid w:val="00AB5F38"/>
    <w:rsid w:val="00AB6BD9"/>
    <w:rsid w:val="00AC619F"/>
    <w:rsid w:val="00AD7BAB"/>
    <w:rsid w:val="00AE028E"/>
    <w:rsid w:val="00AE0FA5"/>
    <w:rsid w:val="00AF77D2"/>
    <w:rsid w:val="00B01D0B"/>
    <w:rsid w:val="00B04933"/>
    <w:rsid w:val="00B11BB2"/>
    <w:rsid w:val="00B144C0"/>
    <w:rsid w:val="00B338D7"/>
    <w:rsid w:val="00B34FEF"/>
    <w:rsid w:val="00B352D4"/>
    <w:rsid w:val="00B402AF"/>
    <w:rsid w:val="00B404A0"/>
    <w:rsid w:val="00B41942"/>
    <w:rsid w:val="00B44C6F"/>
    <w:rsid w:val="00B44D45"/>
    <w:rsid w:val="00B46BAE"/>
    <w:rsid w:val="00B52F2E"/>
    <w:rsid w:val="00B614D1"/>
    <w:rsid w:val="00B63B89"/>
    <w:rsid w:val="00B64052"/>
    <w:rsid w:val="00B661C8"/>
    <w:rsid w:val="00B80CFD"/>
    <w:rsid w:val="00B908B1"/>
    <w:rsid w:val="00B92424"/>
    <w:rsid w:val="00B97B40"/>
    <w:rsid w:val="00BC351F"/>
    <w:rsid w:val="00BC79B8"/>
    <w:rsid w:val="00BD7A38"/>
    <w:rsid w:val="00BE0CD8"/>
    <w:rsid w:val="00BE6375"/>
    <w:rsid w:val="00BE7213"/>
    <w:rsid w:val="00BF29ED"/>
    <w:rsid w:val="00BF5C8A"/>
    <w:rsid w:val="00C0230F"/>
    <w:rsid w:val="00C0402A"/>
    <w:rsid w:val="00C0490F"/>
    <w:rsid w:val="00C079B3"/>
    <w:rsid w:val="00C24707"/>
    <w:rsid w:val="00C31039"/>
    <w:rsid w:val="00C33CD7"/>
    <w:rsid w:val="00C34E1C"/>
    <w:rsid w:val="00C474DC"/>
    <w:rsid w:val="00C47857"/>
    <w:rsid w:val="00C5387A"/>
    <w:rsid w:val="00C563FE"/>
    <w:rsid w:val="00C60F53"/>
    <w:rsid w:val="00C61050"/>
    <w:rsid w:val="00C634C5"/>
    <w:rsid w:val="00C641E4"/>
    <w:rsid w:val="00C66480"/>
    <w:rsid w:val="00C719FB"/>
    <w:rsid w:val="00C753E9"/>
    <w:rsid w:val="00C81B69"/>
    <w:rsid w:val="00C84EA1"/>
    <w:rsid w:val="00C90176"/>
    <w:rsid w:val="00C9043A"/>
    <w:rsid w:val="00C94B35"/>
    <w:rsid w:val="00C961A9"/>
    <w:rsid w:val="00CA5A74"/>
    <w:rsid w:val="00CB2202"/>
    <w:rsid w:val="00CB30C8"/>
    <w:rsid w:val="00CB4A52"/>
    <w:rsid w:val="00CC0365"/>
    <w:rsid w:val="00CC08BD"/>
    <w:rsid w:val="00CC4296"/>
    <w:rsid w:val="00CC673B"/>
    <w:rsid w:val="00CE5D84"/>
    <w:rsid w:val="00CF6318"/>
    <w:rsid w:val="00CF63B4"/>
    <w:rsid w:val="00D00492"/>
    <w:rsid w:val="00D05113"/>
    <w:rsid w:val="00D0540B"/>
    <w:rsid w:val="00D06A39"/>
    <w:rsid w:val="00D13BDC"/>
    <w:rsid w:val="00D231CE"/>
    <w:rsid w:val="00D25CC0"/>
    <w:rsid w:val="00D2603A"/>
    <w:rsid w:val="00D26562"/>
    <w:rsid w:val="00D2703D"/>
    <w:rsid w:val="00D3230B"/>
    <w:rsid w:val="00D32B1A"/>
    <w:rsid w:val="00D346B5"/>
    <w:rsid w:val="00D36ADA"/>
    <w:rsid w:val="00D36C5D"/>
    <w:rsid w:val="00D423C7"/>
    <w:rsid w:val="00D425C7"/>
    <w:rsid w:val="00D527DE"/>
    <w:rsid w:val="00D556C0"/>
    <w:rsid w:val="00D62D9B"/>
    <w:rsid w:val="00D63DA6"/>
    <w:rsid w:val="00D650B1"/>
    <w:rsid w:val="00D718C9"/>
    <w:rsid w:val="00D73A39"/>
    <w:rsid w:val="00D75B6C"/>
    <w:rsid w:val="00D80E52"/>
    <w:rsid w:val="00D82C98"/>
    <w:rsid w:val="00D850C8"/>
    <w:rsid w:val="00DB31C8"/>
    <w:rsid w:val="00DB48B3"/>
    <w:rsid w:val="00DC0B0F"/>
    <w:rsid w:val="00DC1B28"/>
    <w:rsid w:val="00DC727C"/>
    <w:rsid w:val="00DC75B8"/>
    <w:rsid w:val="00DD1D39"/>
    <w:rsid w:val="00DD2826"/>
    <w:rsid w:val="00DD5960"/>
    <w:rsid w:val="00DF3B32"/>
    <w:rsid w:val="00DF758C"/>
    <w:rsid w:val="00DF7D48"/>
    <w:rsid w:val="00E04E63"/>
    <w:rsid w:val="00E07CCE"/>
    <w:rsid w:val="00E13E2F"/>
    <w:rsid w:val="00E13E61"/>
    <w:rsid w:val="00E162FC"/>
    <w:rsid w:val="00E16B13"/>
    <w:rsid w:val="00E22E1D"/>
    <w:rsid w:val="00E26ABD"/>
    <w:rsid w:val="00E348BA"/>
    <w:rsid w:val="00E34A80"/>
    <w:rsid w:val="00E36D9F"/>
    <w:rsid w:val="00E471A8"/>
    <w:rsid w:val="00E50F72"/>
    <w:rsid w:val="00E65C86"/>
    <w:rsid w:val="00E66CEF"/>
    <w:rsid w:val="00E7147F"/>
    <w:rsid w:val="00E73749"/>
    <w:rsid w:val="00E759E4"/>
    <w:rsid w:val="00E77B8A"/>
    <w:rsid w:val="00E829D6"/>
    <w:rsid w:val="00E87276"/>
    <w:rsid w:val="00E9511F"/>
    <w:rsid w:val="00E966D1"/>
    <w:rsid w:val="00EA2226"/>
    <w:rsid w:val="00EA33BE"/>
    <w:rsid w:val="00EB13F8"/>
    <w:rsid w:val="00EB28A5"/>
    <w:rsid w:val="00EB3741"/>
    <w:rsid w:val="00EB3F3D"/>
    <w:rsid w:val="00EB6DE0"/>
    <w:rsid w:val="00ED10C8"/>
    <w:rsid w:val="00ED1B50"/>
    <w:rsid w:val="00ED445E"/>
    <w:rsid w:val="00ED687C"/>
    <w:rsid w:val="00ED6928"/>
    <w:rsid w:val="00EE3C1C"/>
    <w:rsid w:val="00EE4571"/>
    <w:rsid w:val="00EE5676"/>
    <w:rsid w:val="00F01DE1"/>
    <w:rsid w:val="00F063BF"/>
    <w:rsid w:val="00F120C3"/>
    <w:rsid w:val="00F21513"/>
    <w:rsid w:val="00F24DB0"/>
    <w:rsid w:val="00F31133"/>
    <w:rsid w:val="00F32E26"/>
    <w:rsid w:val="00F35F9D"/>
    <w:rsid w:val="00F55AC8"/>
    <w:rsid w:val="00F57B63"/>
    <w:rsid w:val="00F62B97"/>
    <w:rsid w:val="00F63335"/>
    <w:rsid w:val="00F64E38"/>
    <w:rsid w:val="00F65486"/>
    <w:rsid w:val="00F747FC"/>
    <w:rsid w:val="00F76523"/>
    <w:rsid w:val="00F8549F"/>
    <w:rsid w:val="00F917ED"/>
    <w:rsid w:val="00FA14B8"/>
    <w:rsid w:val="00FA3F42"/>
    <w:rsid w:val="00FA56DE"/>
    <w:rsid w:val="00FC2BE9"/>
    <w:rsid w:val="00FE222C"/>
    <w:rsid w:val="00FE24A6"/>
    <w:rsid w:val="00FF53D1"/>
    <w:rsid w:val="62ED30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3A85B8EE"/>
  <w15:docId w15:val="{ADDB2A4C-6711-48D3-8F5A-C15BE81F8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0DDA"/>
    <w:pPr>
      <w:tabs>
        <w:tab w:val="left" w:pos="284"/>
      </w:tabs>
      <w:spacing w:line="264" w:lineRule="atLeast"/>
    </w:pPr>
    <w:rPr>
      <w:rFonts w:ascii="Arial" w:hAnsi="Arial"/>
      <w:lang w:val="en-GB" w:eastAsia="en-US"/>
    </w:rPr>
  </w:style>
  <w:style w:type="paragraph" w:styleId="Heading1">
    <w:name w:val="heading 1"/>
    <w:basedOn w:val="Normal"/>
    <w:next w:val="Normal"/>
    <w:qFormat/>
    <w:rsid w:val="007A552B"/>
    <w:pPr>
      <w:keepNext/>
      <w:keepLines/>
      <w:numPr>
        <w:numId w:val="30"/>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30"/>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30"/>
      </w:numPr>
      <w:tabs>
        <w:tab w:val="clear" w:pos="284"/>
      </w:tabs>
      <w:jc w:val="both"/>
      <w:outlineLvl w:val="2"/>
    </w:pPr>
  </w:style>
  <w:style w:type="paragraph" w:styleId="Heading4">
    <w:name w:val="heading 4"/>
    <w:basedOn w:val="Normal"/>
    <w:next w:val="Heading4Continue"/>
    <w:qFormat/>
    <w:rsid w:val="007A552B"/>
    <w:pPr>
      <w:keepNext/>
      <w:keepLines/>
      <w:numPr>
        <w:ilvl w:val="3"/>
        <w:numId w:val="30"/>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lang w:val="fr-FR"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semiHidden/>
    <w:rsid w:val="00147933"/>
    <w:pPr>
      <w:tabs>
        <w:tab w:val="clear" w:pos="284"/>
        <w:tab w:val="center" w:pos="4678"/>
        <w:tab w:val="right" w:pos="9356"/>
      </w:tabs>
      <w:spacing w:line="240" w:lineRule="auto"/>
    </w:pPr>
    <w:rPr>
      <w:sz w:val="18"/>
    </w:rPr>
  </w:style>
  <w:style w:type="paragraph" w:styleId="Header">
    <w:name w:val="header"/>
    <w:basedOn w:val="Normal"/>
    <w:semiHidden/>
    <w:rsid w:val="00DC727C"/>
    <w:pPr>
      <w:tabs>
        <w:tab w:val="center" w:pos="4394"/>
        <w:tab w:val="right" w:pos="8789"/>
      </w:tabs>
      <w:spacing w:line="240" w:lineRule="auto"/>
    </w:pPr>
  </w:style>
  <w:style w:type="character" w:styleId="FootnoteReference">
    <w:name w:val="footnote reference"/>
    <w:basedOn w:val="DefaultParagraphFont"/>
    <w:semiHidden/>
    <w:rsid w:val="00D556C0"/>
    <w:rPr>
      <w:rFonts w:ascii="Arial" w:hAnsi="Arial"/>
      <w:spacing w:val="0"/>
      <w:position w:val="6"/>
      <w:sz w:val="16"/>
      <w:szCs w:val="16"/>
    </w:rPr>
  </w:style>
  <w:style w:type="paragraph" w:styleId="FootnoteText">
    <w:name w:val="footnote text"/>
    <w:basedOn w:val="Normal"/>
    <w:semiHidden/>
    <w:rsid w:val="00D556C0"/>
    <w:pPr>
      <w:spacing w:line="240" w:lineRule="atLeast"/>
      <w:ind w:left="284" w:hanging="284"/>
    </w:pPr>
    <w:rPr>
      <w:sz w:val="18"/>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uiPriority w:val="59"/>
    <w:rsid w:val="005B4C1C"/>
    <w:pPr>
      <w:spacing w:line="240" w:lineRule="atLeast"/>
    </w:pPr>
    <w:rPr>
      <w:rFonts w:ascii="Arial" w:hAnsi="Arial"/>
    </w:rPr>
    <w:tblPr/>
  </w:style>
  <w:style w:type="character" w:styleId="Hyperlink">
    <w:name w:val="Hyperlink"/>
    <w:basedOn w:val="DefaultParagraphFont"/>
    <w:semiHidden/>
    <w:rsid w:val="00571A24"/>
    <w:rPr>
      <w:color w:val="0000FF"/>
      <w:u w:val="single"/>
    </w:rPr>
  </w:style>
  <w:style w:type="paragraph" w:customStyle="1" w:styleId="DpartementDepartement">
    <w:name w:val="Département/Departement"/>
    <w:next w:val="Normal"/>
    <w:rsid w:val="00E04E63"/>
    <w:pPr>
      <w:spacing w:line="240" w:lineRule="exact"/>
    </w:pPr>
    <w:rPr>
      <w:rFonts w:ascii="Arial" w:hAnsi="Arial"/>
      <w:b/>
      <w:noProof/>
      <w:sz w:val="18"/>
      <w:szCs w:val="16"/>
      <w:lang w:val="fr-FR" w:eastAsia="en-US"/>
    </w:rPr>
  </w:style>
  <w:style w:type="paragraph" w:customStyle="1" w:styleId="ServiceDienst">
    <w:name w:val="Service/Dienst"/>
    <w:next w:val="Normal"/>
    <w:rsid w:val="00E04E63"/>
    <w:pPr>
      <w:spacing w:line="240" w:lineRule="exact"/>
    </w:pPr>
    <w:rPr>
      <w:rFonts w:ascii="Arial" w:hAnsi="Arial"/>
      <w:noProof/>
      <w:sz w:val="17"/>
      <w:szCs w:val="16"/>
      <w:lang w:val="fr-FR" w:eastAsia="en-US"/>
    </w:rPr>
  </w:style>
  <w:style w:type="paragraph" w:customStyle="1" w:styleId="SectionSectie">
    <w:name w:val="Section/Sectie"/>
    <w:next w:val="Normal"/>
    <w:semiHidden/>
    <w:rsid w:val="0081015C"/>
    <w:pPr>
      <w:spacing w:line="220" w:lineRule="exact"/>
    </w:pPr>
    <w:rPr>
      <w:rFonts w:ascii="Arial" w:hAnsi="Arial"/>
      <w:noProof/>
      <w:sz w:val="14"/>
      <w:szCs w:val="16"/>
      <w:lang w:val="fr-FR" w:eastAsia="en-US"/>
    </w:rPr>
  </w:style>
  <w:style w:type="paragraph" w:customStyle="1" w:styleId="TitreTitel">
    <w:name w:val="Titre/Titel"/>
    <w:rsid w:val="00EB3741"/>
    <w:pPr>
      <w:spacing w:line="260" w:lineRule="atLeast"/>
    </w:pPr>
    <w:rPr>
      <w:rFonts w:ascii="Arial" w:hAnsi="Arial"/>
      <w:b/>
      <w:noProof/>
      <w:sz w:val="28"/>
      <w:szCs w:val="16"/>
      <w:lang w:val="fr-FR" w:eastAsia="en-US"/>
    </w:rPr>
  </w:style>
  <w:style w:type="paragraph" w:customStyle="1" w:styleId="AdresseAdres">
    <w:name w:val="Adresse/Adres"/>
    <w:rsid w:val="00A605D0"/>
    <w:pPr>
      <w:spacing w:line="160" w:lineRule="exact"/>
    </w:pPr>
    <w:rPr>
      <w:rFonts w:ascii="Arial" w:hAnsi="Arial"/>
      <w:noProof/>
      <w:sz w:val="13"/>
      <w:szCs w:val="16"/>
      <w:lang w:val="fr-FR" w:eastAsia="en-US"/>
    </w:rPr>
  </w:style>
  <w:style w:type="paragraph" w:customStyle="1" w:styleId="BNBNBB">
    <w:name w:val="BNB/NBB"/>
    <w:next w:val="AdresseAdres"/>
    <w:semiHidden/>
    <w:rsid w:val="00A605D0"/>
    <w:pPr>
      <w:spacing w:line="160" w:lineRule="exact"/>
    </w:pPr>
    <w:rPr>
      <w:rFonts w:ascii="Arial" w:hAnsi="Arial"/>
      <w:b/>
      <w:noProof/>
      <w:sz w:val="13"/>
      <w:szCs w:val="16"/>
      <w:lang w:val="fr-FR" w:eastAsia="en-US"/>
    </w:rPr>
  </w:style>
  <w:style w:type="paragraph" w:customStyle="1" w:styleId="IntroductionInleiding">
    <w:name w:val="Introduction/Inleiding"/>
    <w:basedOn w:val="Normal"/>
    <w:uiPriority w:val="4"/>
    <w:qFormat/>
    <w:rsid w:val="00276804"/>
    <w:pPr>
      <w:spacing w:after="260"/>
    </w:pPr>
    <w:rPr>
      <w:i/>
      <w:sz w:val="22"/>
      <w:lang w:val="nl-BE"/>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semiHidden/>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65065"/>
    <w:rPr>
      <w:rFonts w:ascii="Tahoma" w:hAnsi="Tahoma" w:cs="Tahoma"/>
      <w:sz w:val="16"/>
      <w:szCs w:val="16"/>
      <w:lang w:val="en-GB" w:eastAsia="en-US"/>
    </w:rPr>
  </w:style>
  <w:style w:type="paragraph" w:customStyle="1" w:styleId="BoiteVakje">
    <w:name w:val="Boite/Vakje"/>
    <w:qFormat/>
    <w:rsid w:val="00FE24A6"/>
    <w:pPr>
      <w:spacing w:line="200" w:lineRule="atLeast"/>
    </w:pPr>
    <w:rPr>
      <w:rFonts w:ascii="Arial" w:hAnsi="Arial"/>
      <w:sz w:val="14"/>
      <w:szCs w:val="14"/>
      <w:lang w:val="fr-BE" w:eastAsia="en-US"/>
    </w:rPr>
  </w:style>
  <w:style w:type="paragraph" w:customStyle="1" w:styleId="BoitetexteVakjetekst">
    <w:name w:val="Boite_texte/Vakje_tekst"/>
    <w:basedOn w:val="BoiteVakje"/>
    <w:qFormat/>
    <w:rsid w:val="00FE24A6"/>
    <w:rPr>
      <w:sz w:val="16"/>
      <w:szCs w:val="16"/>
    </w:rPr>
  </w:style>
  <w:style w:type="paragraph" w:customStyle="1" w:styleId="Heading4Continue">
    <w:name w:val="Heading 4 Continue"/>
    <w:basedOn w:val="Normal"/>
    <w:qFormat/>
    <w:rsid w:val="007A552B"/>
    <w:pPr>
      <w:tabs>
        <w:tab w:val="clear" w:pos="284"/>
      </w:tabs>
      <w:ind w:left="993"/>
    </w:pPr>
    <w:rPr>
      <w:lang w:val="nl-BE"/>
    </w:rPr>
  </w:style>
  <w:style w:type="paragraph" w:customStyle="1" w:styleId="SignaturesHandtekeningen">
    <w:name w:val="Signatures/Handtekeningen"/>
    <w:basedOn w:val="Normal"/>
    <w:qFormat/>
    <w:rsid w:val="00E348BA"/>
    <w:pPr>
      <w:tabs>
        <w:tab w:val="clear" w:pos="284"/>
        <w:tab w:val="left" w:pos="3402"/>
      </w:tabs>
    </w:pPr>
    <w:rPr>
      <w:lang w:val="nl-BE"/>
    </w:r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val="en-GB" w:eastAsia="en-US"/>
    </w:rPr>
  </w:style>
  <w:style w:type="paragraph" w:customStyle="1" w:styleId="AnnexeBijlage">
    <w:name w:val="Annexe/Bijlage"/>
    <w:uiPriority w:val="1"/>
    <w:rsid w:val="00D13BDC"/>
    <w:pPr>
      <w:spacing w:line="260" w:lineRule="atLeast"/>
    </w:pPr>
    <w:rPr>
      <w:rFonts w:ascii="Arial" w:hAnsi="Arial"/>
      <w:b/>
      <w:noProof/>
      <w:sz w:val="24"/>
      <w:szCs w:val="16"/>
      <w:lang w:val="fr-FR" w:eastAsia="en-US"/>
    </w:rPr>
  </w:style>
  <w:style w:type="paragraph" w:styleId="ListParagraph">
    <w:name w:val="List Paragraph"/>
    <w:basedOn w:val="Normal"/>
    <w:uiPriority w:val="34"/>
    <w:qFormat/>
    <w:rsid w:val="00412DC4"/>
    <w:pPr>
      <w:ind w:left="720"/>
      <w:contextualSpacing/>
    </w:pPr>
  </w:style>
  <w:style w:type="character" w:styleId="CommentReference">
    <w:name w:val="annotation reference"/>
    <w:basedOn w:val="DefaultParagraphFont"/>
    <w:semiHidden/>
    <w:unhideWhenUsed/>
    <w:rsid w:val="006D3B38"/>
    <w:rPr>
      <w:sz w:val="16"/>
      <w:szCs w:val="16"/>
    </w:rPr>
  </w:style>
  <w:style w:type="paragraph" w:styleId="CommentText">
    <w:name w:val="annotation text"/>
    <w:basedOn w:val="Normal"/>
    <w:link w:val="CommentTextChar"/>
    <w:semiHidden/>
    <w:unhideWhenUsed/>
    <w:rsid w:val="006D3B38"/>
    <w:pPr>
      <w:spacing w:line="240" w:lineRule="auto"/>
    </w:pPr>
  </w:style>
  <w:style w:type="character" w:customStyle="1" w:styleId="CommentTextChar">
    <w:name w:val="Comment Text Char"/>
    <w:basedOn w:val="DefaultParagraphFont"/>
    <w:link w:val="CommentText"/>
    <w:semiHidden/>
    <w:rsid w:val="006D3B38"/>
    <w:rPr>
      <w:rFonts w:ascii="Arial" w:hAnsi="Arial"/>
      <w:lang w:val="en-GB" w:eastAsia="en-US"/>
    </w:rPr>
  </w:style>
  <w:style w:type="paragraph" w:styleId="CommentSubject">
    <w:name w:val="annotation subject"/>
    <w:basedOn w:val="CommentText"/>
    <w:next w:val="CommentText"/>
    <w:link w:val="CommentSubjectChar"/>
    <w:semiHidden/>
    <w:unhideWhenUsed/>
    <w:rsid w:val="006D3B38"/>
    <w:rPr>
      <w:b/>
      <w:bCs/>
    </w:rPr>
  </w:style>
  <w:style w:type="character" w:customStyle="1" w:styleId="CommentSubjectChar">
    <w:name w:val="Comment Subject Char"/>
    <w:basedOn w:val="CommentTextChar"/>
    <w:link w:val="CommentSubject"/>
    <w:semiHidden/>
    <w:rsid w:val="006D3B38"/>
    <w:rPr>
      <w:rFonts w:ascii="Arial"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61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NbbTemplates\Others\CIRCU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161A6CE92F9142923765AC371B3570" ma:contentTypeVersion="5" ma:contentTypeDescription="Create a new document." ma:contentTypeScope="" ma:versionID="3a4f09337f3aa62eff3d0a227872bc2c">
  <xsd:schema xmlns:xsd="http://www.w3.org/2001/XMLSchema" xmlns:xs="http://www.w3.org/2001/XMLSchema" xmlns:p="http://schemas.microsoft.com/office/2006/metadata/properties" xmlns:ns2="b3403e5b-417f-49ff-913f-a10a07af8b14" xmlns:ns3="25b973ea-aa32-4fa7-8983-79cdfc529123" targetNamespace="http://schemas.microsoft.com/office/2006/metadata/properties" ma:root="true" ma:fieldsID="e9a49d2d8e3e2a0210d2638015d77f74" ns2:_="" ns3:_="">
    <xsd:import namespace="b3403e5b-417f-49ff-913f-a10a07af8b14"/>
    <xsd:import namespace="25b973ea-aa32-4fa7-8983-79cdfc529123"/>
    <xsd:element name="properties">
      <xsd:complexType>
        <xsd:sequence>
          <xsd:element name="documentManagement">
            <xsd:complexType>
              <xsd:all>
                <xsd:element ref="ns2:DocDate"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03e5b-417f-49ff-913f-a10a07af8b14" elementFormDefault="qualified">
    <xsd:import namespace="http://schemas.microsoft.com/office/2006/documentManagement/types"/>
    <xsd:import namespace="http://schemas.microsoft.com/office/infopath/2007/PartnerControls"/>
    <xsd:element name="DocDate" ma:index="8" nillable="true" ma:displayName="DocDate" ma:format="DateOnly" ma:internalName="Doc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5b973ea-aa32-4fa7-8983-79cdfc529123"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Date xmlns="b3403e5b-417f-49ff-913f-a10a07af8b1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1E8CD-BF63-419A-B092-38FFE5DEBD4C}">
  <ds:schemaRefs>
    <ds:schemaRef ds:uri="http://schemas.microsoft.com/sharepoint/v3/contenttype/forms"/>
  </ds:schemaRefs>
</ds:datastoreItem>
</file>

<file path=customXml/itemProps2.xml><?xml version="1.0" encoding="utf-8"?>
<ds:datastoreItem xmlns:ds="http://schemas.openxmlformats.org/officeDocument/2006/customXml" ds:itemID="{E0D9EC38-5ACD-48C6-A3CD-FD816A972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03e5b-417f-49ff-913f-a10a07af8b14"/>
    <ds:schemaRef ds:uri="25b973ea-aa32-4fa7-8983-79cdfc5291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D1D080-F0B8-4323-9352-79BB804AA861}">
  <ds:schemaRefs>
    <ds:schemaRef ds:uri="http://schemas.microsoft.com/office/infopath/2007/PartnerControls"/>
    <ds:schemaRef ds:uri="http://purl.org/dc/elements/1.1/"/>
    <ds:schemaRef ds:uri="http://schemas.microsoft.com/office/2006/documentManagement/types"/>
    <ds:schemaRef ds:uri="8a9c461b-77d6-46a9-915a-72eb0f473247"/>
    <ds:schemaRef ds:uri="http://schemas.microsoft.com/office/2006/metadata/properties"/>
    <ds:schemaRef ds:uri="http://schemas.openxmlformats.org/package/2006/metadata/core-properties"/>
    <ds:schemaRef ds:uri="http://purl.org/dc/dcmitype/"/>
    <ds:schemaRef ds:uri="6b56c36c-fa25-4874-8bb0-8a390e96ea64"/>
    <ds:schemaRef ds:uri="http://purl.org/dc/terms/"/>
    <ds:schemaRef ds:uri="a3b93d67-a78b-4faf-8f00-04b230e27357"/>
    <ds:schemaRef ds:uri="http://schemas.microsoft.com/sharepoint/v3"/>
    <ds:schemaRef ds:uri="http://www.w3.org/XML/1998/namespace"/>
    <ds:schemaRef ds:uri="b3403e5b-417f-49ff-913f-a10a07af8b14"/>
  </ds:schemaRefs>
</ds:datastoreItem>
</file>

<file path=customXml/itemProps4.xml><?xml version="1.0" encoding="utf-8"?>
<ds:datastoreItem xmlns:ds="http://schemas.openxmlformats.org/officeDocument/2006/customXml" ds:itemID="{CED8DC27-68AE-4D69-A683-2F182C31D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CIRCUL.dotm</Template>
  <TotalTime>1</TotalTime>
  <Pages>3</Pages>
  <Words>815</Words>
  <Characters>4732</Characters>
  <Application>Microsoft Office Word</Application>
  <DocSecurity>4</DocSecurity>
  <Lines>39</Lines>
  <Paragraphs>11</Paragraphs>
  <ScaleCrop>false</ScaleCrop>
  <Company>National Bank of Belgium</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BNB Cartouches</dc:title>
  <dc:creator>Dufrane Maite</dc:creator>
  <cp:lastModifiedBy>Arys Viviane</cp:lastModifiedBy>
  <cp:revision>2</cp:revision>
  <cp:lastPrinted>2021-03-10T09:30:00Z</cp:lastPrinted>
  <dcterms:created xsi:type="dcterms:W3CDTF">2021-03-15T09:12:00Z</dcterms:created>
  <dcterms:modified xsi:type="dcterms:W3CDTF">2021-03-15T09:12:00Z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0x01010074161A6CE92F9142923765AC371B3570</vt:lpwstr>
  </property>
</Properties>
</file>