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0D" w:rsidRDefault="000E5C0D"/>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0E5C0D" w:rsidRPr="00562A44" w:rsidTr="00682F2F">
        <w:trPr>
          <w:cantSplit/>
          <w:trHeight w:val="1077"/>
        </w:trPr>
        <w:tc>
          <w:tcPr>
            <w:tcW w:w="6067" w:type="dxa"/>
            <w:vAlign w:val="center"/>
          </w:tcPr>
          <w:p w:rsidR="000E5C0D" w:rsidRPr="00FE24A6" w:rsidRDefault="000E5C0D" w:rsidP="007B7965">
            <w:pPr>
              <w:pStyle w:val="AdresseAdres"/>
              <w:spacing w:before="300"/>
            </w:pPr>
            <w:r w:rsidRPr="00FE24A6">
              <w:t>boulevard de Berlaimont 14 – BE-1000 Bruxelles</w:t>
            </w:r>
          </w:p>
          <w:p w:rsidR="000E5C0D" w:rsidRPr="00FE24A6" w:rsidRDefault="004C0334" w:rsidP="00F07FD0">
            <w:pPr>
              <w:pStyle w:val="AdresseAdres"/>
            </w:pPr>
            <w:r>
              <w:t>tél. +32 2 221 22 20</w:t>
            </w:r>
            <w:r w:rsidR="000E5C0D">
              <w:t xml:space="preserve"> – f</w:t>
            </w:r>
            <w:r>
              <w:t>ax + 32 2 221 3104</w:t>
            </w:r>
          </w:p>
          <w:p w:rsidR="000E5C0D" w:rsidRPr="00FE24A6" w:rsidRDefault="000E5C0D" w:rsidP="00F07FD0">
            <w:pPr>
              <w:pStyle w:val="AdresseAdres"/>
            </w:pPr>
            <w:r w:rsidRPr="00FE24A6">
              <w:t>numéro d’entreprise: 0203.201.340</w:t>
            </w:r>
          </w:p>
          <w:p w:rsidR="000E5C0D" w:rsidRPr="00FE24A6" w:rsidRDefault="000E5C0D" w:rsidP="00F07FD0">
            <w:pPr>
              <w:pStyle w:val="AdresseAdres"/>
            </w:pPr>
            <w:r w:rsidRPr="00FE24A6">
              <w:t>RPM Bruxelles</w:t>
            </w:r>
          </w:p>
          <w:p w:rsidR="000E5C0D" w:rsidRPr="00562A44" w:rsidRDefault="000E5C0D" w:rsidP="000E5C0D">
            <w:pPr>
              <w:pStyle w:val="AdresseAdres"/>
              <w:rPr>
                <w:lang w:val="fr-BE"/>
              </w:rPr>
            </w:pPr>
            <w:r w:rsidRPr="00FE24A6">
              <w:t>www.bnb.be</w:t>
            </w:r>
          </w:p>
        </w:tc>
        <w:tc>
          <w:tcPr>
            <w:tcW w:w="3856" w:type="dxa"/>
            <w:gridSpan w:val="2"/>
            <w:shd w:val="clear" w:color="auto" w:fill="auto"/>
            <w:vAlign w:val="center"/>
          </w:tcPr>
          <w:p w:rsidR="000E5C0D" w:rsidRPr="00562A44" w:rsidRDefault="000E5C0D" w:rsidP="00682F2F">
            <w:pPr>
              <w:spacing w:line="260" w:lineRule="atLeast"/>
              <w:rPr>
                <w:sz w:val="16"/>
                <w:szCs w:val="16"/>
                <w:lang w:val="fr-BE"/>
              </w:rPr>
            </w:pPr>
            <w:r w:rsidRPr="00DD0AAC">
              <w:rPr>
                <w:noProof/>
                <w:sz w:val="16"/>
                <w:szCs w:val="16"/>
                <w:lang w:val="fr-BE" w:eastAsia="fr-BE"/>
              </w:rPr>
              <w:drawing>
                <wp:inline distT="0" distB="0" distL="0" distR="0" wp14:anchorId="1A6E2873" wp14:editId="0F12765B">
                  <wp:extent cx="2343150" cy="581025"/>
                  <wp:effectExtent l="19050" t="0" r="0" b="0"/>
                  <wp:docPr id="1"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0E5C0D" w:rsidRPr="00562A44" w:rsidTr="00682F2F">
        <w:trPr>
          <w:cantSplit/>
          <w:trHeight w:hRule="exact" w:val="850"/>
        </w:trPr>
        <w:tc>
          <w:tcPr>
            <w:tcW w:w="6067" w:type="dxa"/>
            <w:shd w:val="clear" w:color="auto" w:fill="auto"/>
          </w:tcPr>
          <w:p w:rsidR="000E5C0D" w:rsidRPr="000A56E5" w:rsidRDefault="000E5C0D" w:rsidP="00682F2F">
            <w:pPr>
              <w:pStyle w:val="AdresseAdres"/>
              <w:tabs>
                <w:tab w:val="center" w:pos="4678"/>
                <w:tab w:val="right" w:pos="9356"/>
              </w:tabs>
              <w:spacing w:line="260" w:lineRule="atLeast"/>
              <w:rPr>
                <w:sz w:val="16"/>
              </w:rPr>
            </w:pPr>
          </w:p>
        </w:tc>
        <w:tc>
          <w:tcPr>
            <w:tcW w:w="3856" w:type="dxa"/>
            <w:gridSpan w:val="2"/>
            <w:shd w:val="clear" w:color="auto" w:fill="auto"/>
            <w:vAlign w:val="bottom"/>
          </w:tcPr>
          <w:p w:rsidR="000E5C0D" w:rsidRPr="004911A8" w:rsidRDefault="000E5C0D" w:rsidP="0070517E">
            <w:pPr>
              <w:pStyle w:val="TitreTitel"/>
              <w:keepLines/>
              <w:tabs>
                <w:tab w:val="left" w:pos="284"/>
                <w:tab w:val="right" w:leader="dot" w:pos="9639"/>
              </w:tabs>
              <w:spacing w:after="170"/>
              <w:ind w:left="397" w:right="567" w:hanging="397"/>
            </w:pPr>
            <w:r>
              <w:t>C</w:t>
            </w:r>
            <w:r w:rsidR="0070517E">
              <w:t>irculaire</w:t>
            </w:r>
          </w:p>
        </w:tc>
      </w:tr>
      <w:tr w:rsidR="000E5C0D" w:rsidRPr="00812A3E" w:rsidTr="00682F2F">
        <w:trPr>
          <w:cantSplit/>
          <w:trHeight w:hRule="exact" w:val="794"/>
        </w:trPr>
        <w:tc>
          <w:tcPr>
            <w:tcW w:w="6067" w:type="dxa"/>
            <w:vMerge w:val="restart"/>
            <w:shd w:val="clear" w:color="auto" w:fill="auto"/>
          </w:tcPr>
          <w:p w:rsidR="000E5C0D" w:rsidRPr="00562A44" w:rsidRDefault="000E5C0D" w:rsidP="00682F2F">
            <w:pPr>
              <w:pStyle w:val="AdresseAdres"/>
              <w:rPr>
                <w:lang w:val="fr-BE"/>
              </w:rPr>
            </w:pPr>
          </w:p>
        </w:tc>
        <w:tc>
          <w:tcPr>
            <w:tcW w:w="3856" w:type="dxa"/>
            <w:gridSpan w:val="2"/>
          </w:tcPr>
          <w:p w:rsidR="000E5C0D" w:rsidRPr="00562A44" w:rsidRDefault="000E5C0D" w:rsidP="00985F14">
            <w:pPr>
              <w:spacing w:line="200" w:lineRule="atLeast"/>
              <w:rPr>
                <w:lang w:val="fr-BE"/>
              </w:rPr>
            </w:pPr>
            <w:r w:rsidRPr="005D320B">
              <w:rPr>
                <w:lang w:val="fr-BE"/>
              </w:rPr>
              <w:t>Bruxelles, le</w:t>
            </w:r>
            <w:r>
              <w:rPr>
                <w:lang w:val="fr-BE"/>
              </w:rPr>
              <w:t xml:space="preserve"> </w:t>
            </w:r>
            <w:r w:rsidR="00F963CB">
              <w:rPr>
                <w:lang w:val="fr-BE"/>
              </w:rPr>
              <w:t>7</w:t>
            </w:r>
            <w:r w:rsidR="00985F14">
              <w:rPr>
                <w:lang w:val="fr-BE"/>
              </w:rPr>
              <w:t xml:space="preserve"> juillet</w:t>
            </w:r>
            <w:r>
              <w:rPr>
                <w:lang w:val="fr-BE"/>
              </w:rPr>
              <w:t xml:space="preserve"> 2017</w:t>
            </w:r>
          </w:p>
        </w:tc>
      </w:tr>
      <w:tr w:rsidR="000E5C0D" w:rsidRPr="00812A3E" w:rsidTr="00682F2F">
        <w:trPr>
          <w:cantSplit/>
          <w:trHeight w:hRule="exact" w:val="198"/>
        </w:trPr>
        <w:tc>
          <w:tcPr>
            <w:tcW w:w="6067" w:type="dxa"/>
            <w:vMerge/>
          </w:tcPr>
          <w:p w:rsidR="000E5C0D" w:rsidRPr="00562A44" w:rsidRDefault="000E5C0D" w:rsidP="00682F2F">
            <w:pPr>
              <w:spacing w:line="260" w:lineRule="atLeast"/>
              <w:rPr>
                <w:lang w:val="fr-BE"/>
              </w:rPr>
            </w:pPr>
          </w:p>
        </w:tc>
        <w:tc>
          <w:tcPr>
            <w:tcW w:w="1644" w:type="dxa"/>
            <w:vAlign w:val="center"/>
          </w:tcPr>
          <w:p w:rsidR="000E5C0D" w:rsidRPr="00562A44" w:rsidRDefault="000E5C0D" w:rsidP="00682F2F">
            <w:pPr>
              <w:pStyle w:val="BoiteVakje"/>
            </w:pPr>
          </w:p>
        </w:tc>
        <w:tc>
          <w:tcPr>
            <w:tcW w:w="2212" w:type="dxa"/>
            <w:vAlign w:val="center"/>
          </w:tcPr>
          <w:p w:rsidR="000E5C0D" w:rsidRPr="00562A44" w:rsidRDefault="000E5C0D" w:rsidP="00682F2F">
            <w:pPr>
              <w:pStyle w:val="BoiteVakje"/>
              <w:rPr>
                <w:sz w:val="16"/>
                <w:szCs w:val="16"/>
              </w:rPr>
            </w:pPr>
          </w:p>
        </w:tc>
      </w:tr>
      <w:tr w:rsidR="000E5C0D" w:rsidRPr="00812A3E" w:rsidTr="00682F2F">
        <w:trPr>
          <w:cantSplit/>
          <w:trHeight w:hRule="exact" w:val="198"/>
        </w:trPr>
        <w:tc>
          <w:tcPr>
            <w:tcW w:w="6067" w:type="dxa"/>
            <w:vMerge/>
          </w:tcPr>
          <w:p w:rsidR="000E5C0D" w:rsidRPr="00562A44" w:rsidRDefault="000E5C0D" w:rsidP="00682F2F">
            <w:pPr>
              <w:tabs>
                <w:tab w:val="left" w:pos="1276"/>
                <w:tab w:val="left" w:pos="2268"/>
              </w:tabs>
              <w:spacing w:line="260" w:lineRule="atLeast"/>
              <w:rPr>
                <w:lang w:val="fr-BE"/>
              </w:rPr>
            </w:pPr>
          </w:p>
        </w:tc>
        <w:tc>
          <w:tcPr>
            <w:tcW w:w="1644" w:type="dxa"/>
            <w:vAlign w:val="center"/>
          </w:tcPr>
          <w:p w:rsidR="000E5C0D" w:rsidRPr="00562A44" w:rsidRDefault="000E5C0D" w:rsidP="00682F2F">
            <w:pPr>
              <w:pStyle w:val="BoiteVakje"/>
            </w:pPr>
            <w:r>
              <w:t>Référence</w:t>
            </w:r>
            <w:r w:rsidRPr="00562A44">
              <w:t xml:space="preserve">: </w:t>
            </w:r>
            <w:r w:rsidRPr="00562A44">
              <w:rPr>
                <w:vanish/>
                <w:color w:val="FF0000"/>
              </w:rPr>
              <w:t>---------------&gt;</w:t>
            </w:r>
          </w:p>
        </w:tc>
        <w:tc>
          <w:tcPr>
            <w:tcW w:w="2212" w:type="dxa"/>
            <w:vAlign w:val="center"/>
          </w:tcPr>
          <w:p w:rsidR="000E5C0D" w:rsidRPr="00562A44" w:rsidRDefault="000E5C0D" w:rsidP="00682F2F">
            <w:pPr>
              <w:pStyle w:val="BoitetexteVakjetekst"/>
            </w:pPr>
            <w:r>
              <w:t>NBB_2017</w:t>
            </w:r>
            <w:r w:rsidR="004C0334">
              <w:t>_21</w:t>
            </w:r>
          </w:p>
        </w:tc>
      </w:tr>
      <w:tr w:rsidR="000E5C0D" w:rsidRPr="00812A3E" w:rsidTr="00682F2F">
        <w:trPr>
          <w:cantSplit/>
          <w:trHeight w:hRule="exact" w:val="198"/>
        </w:trPr>
        <w:tc>
          <w:tcPr>
            <w:tcW w:w="6067" w:type="dxa"/>
            <w:vMerge/>
          </w:tcPr>
          <w:p w:rsidR="000E5C0D" w:rsidRPr="00562A44" w:rsidRDefault="000E5C0D" w:rsidP="00682F2F">
            <w:pPr>
              <w:spacing w:line="260" w:lineRule="atLeast"/>
              <w:rPr>
                <w:lang w:val="fr-BE"/>
              </w:rPr>
            </w:pPr>
          </w:p>
        </w:tc>
        <w:tc>
          <w:tcPr>
            <w:tcW w:w="3856" w:type="dxa"/>
            <w:gridSpan w:val="2"/>
          </w:tcPr>
          <w:p w:rsidR="000E5C0D" w:rsidRPr="00562A44" w:rsidRDefault="000E5C0D" w:rsidP="00682F2F">
            <w:pPr>
              <w:pStyle w:val="BoiteVakje"/>
              <w:rPr>
                <w:sz w:val="16"/>
                <w:szCs w:val="16"/>
              </w:rPr>
            </w:pPr>
          </w:p>
        </w:tc>
      </w:tr>
      <w:tr w:rsidR="000E5C0D" w:rsidRPr="00812A3E" w:rsidTr="00682F2F">
        <w:trPr>
          <w:cantSplit/>
          <w:trHeight w:hRule="exact" w:val="198"/>
        </w:trPr>
        <w:tc>
          <w:tcPr>
            <w:tcW w:w="6067" w:type="dxa"/>
            <w:vMerge w:val="restart"/>
          </w:tcPr>
          <w:p w:rsidR="000E5C0D" w:rsidRPr="00C863D3" w:rsidRDefault="000E5C0D" w:rsidP="00682F2F">
            <w:pPr>
              <w:pStyle w:val="AdresseAdres"/>
            </w:pPr>
          </w:p>
        </w:tc>
        <w:tc>
          <w:tcPr>
            <w:tcW w:w="3856" w:type="dxa"/>
            <w:gridSpan w:val="2"/>
            <w:vAlign w:val="center"/>
          </w:tcPr>
          <w:p w:rsidR="000E5C0D" w:rsidRPr="00457582" w:rsidRDefault="000E5C0D" w:rsidP="005D1B22">
            <w:pPr>
              <w:pStyle w:val="BoiteVakje"/>
            </w:pPr>
            <w:r>
              <w:t>votre</w:t>
            </w:r>
            <w:r w:rsidRPr="00457582">
              <w:t xml:space="preserve"> correspond</w:t>
            </w:r>
            <w:r>
              <w:t>a</w:t>
            </w:r>
            <w:r w:rsidRPr="00457582">
              <w:t xml:space="preserve">nt: </w:t>
            </w:r>
            <w:r>
              <w:rPr>
                <w:rFonts w:cs="Arial"/>
                <w:vanish/>
                <w:color w:val="FF0000"/>
              </w:rPr>
              <w:t>mettez le nom ci-dessous</w:t>
            </w:r>
          </w:p>
        </w:tc>
      </w:tr>
      <w:tr w:rsidR="000E5C0D" w:rsidRPr="00812A3E" w:rsidTr="00682F2F">
        <w:trPr>
          <w:cantSplit/>
          <w:trHeight w:hRule="exact" w:val="57"/>
        </w:trPr>
        <w:tc>
          <w:tcPr>
            <w:tcW w:w="6067" w:type="dxa"/>
            <w:vMerge/>
          </w:tcPr>
          <w:p w:rsidR="000E5C0D" w:rsidRPr="00562A44" w:rsidRDefault="000E5C0D" w:rsidP="00682F2F">
            <w:pPr>
              <w:spacing w:line="260" w:lineRule="atLeast"/>
              <w:rPr>
                <w:lang w:val="fr-BE"/>
              </w:rPr>
            </w:pPr>
          </w:p>
        </w:tc>
        <w:tc>
          <w:tcPr>
            <w:tcW w:w="3856" w:type="dxa"/>
            <w:gridSpan w:val="2"/>
            <w:vAlign w:val="center"/>
          </w:tcPr>
          <w:p w:rsidR="000E5C0D" w:rsidRPr="00457582" w:rsidRDefault="000E5C0D" w:rsidP="00682F2F">
            <w:pPr>
              <w:pStyle w:val="BoiteVakje"/>
            </w:pPr>
          </w:p>
        </w:tc>
      </w:tr>
      <w:tr w:rsidR="000E5C0D" w:rsidRPr="00812A3E" w:rsidTr="00682F2F">
        <w:trPr>
          <w:cantSplit/>
          <w:trHeight w:val="198"/>
        </w:trPr>
        <w:tc>
          <w:tcPr>
            <w:tcW w:w="6067" w:type="dxa"/>
            <w:vMerge/>
          </w:tcPr>
          <w:p w:rsidR="000E5C0D" w:rsidRPr="00562A44" w:rsidRDefault="000E5C0D" w:rsidP="00682F2F">
            <w:pPr>
              <w:spacing w:line="260" w:lineRule="atLeast"/>
              <w:rPr>
                <w:lang w:val="fr-BE"/>
              </w:rPr>
            </w:pPr>
          </w:p>
        </w:tc>
        <w:tc>
          <w:tcPr>
            <w:tcW w:w="3856" w:type="dxa"/>
            <w:gridSpan w:val="2"/>
            <w:vAlign w:val="center"/>
          </w:tcPr>
          <w:p w:rsidR="000E5C0D" w:rsidRPr="00457582" w:rsidRDefault="004C0334" w:rsidP="00682F2F">
            <w:pPr>
              <w:pStyle w:val="BoiteVakje"/>
            </w:pPr>
            <w:r>
              <w:t>Merel Pieters</w:t>
            </w:r>
          </w:p>
        </w:tc>
      </w:tr>
      <w:tr w:rsidR="000E5C0D" w:rsidRPr="00812A3E" w:rsidTr="00682F2F">
        <w:trPr>
          <w:cantSplit/>
          <w:trHeight w:val="198"/>
        </w:trPr>
        <w:tc>
          <w:tcPr>
            <w:tcW w:w="6067" w:type="dxa"/>
            <w:vMerge/>
          </w:tcPr>
          <w:p w:rsidR="000E5C0D" w:rsidRPr="00562A44" w:rsidRDefault="000E5C0D" w:rsidP="00682F2F">
            <w:pPr>
              <w:spacing w:line="260" w:lineRule="atLeast"/>
              <w:rPr>
                <w:lang w:val="fr-BE"/>
              </w:rPr>
            </w:pPr>
          </w:p>
        </w:tc>
        <w:tc>
          <w:tcPr>
            <w:tcW w:w="3856" w:type="dxa"/>
            <w:gridSpan w:val="2"/>
            <w:vAlign w:val="center"/>
          </w:tcPr>
          <w:p w:rsidR="000E5C0D" w:rsidRPr="00457582" w:rsidRDefault="004C0334" w:rsidP="00682F2F">
            <w:pPr>
              <w:pStyle w:val="BoiteVakje"/>
            </w:pPr>
            <w:r>
              <w:t>tél. +32 2 221 40 05</w:t>
            </w:r>
            <w:r w:rsidR="000E5C0D">
              <w:t xml:space="preserve"> – f</w:t>
            </w:r>
            <w:r>
              <w:t>ax +32 2 221 31 04</w:t>
            </w:r>
          </w:p>
        </w:tc>
      </w:tr>
      <w:tr w:rsidR="000E5C0D" w:rsidRPr="00812A3E" w:rsidTr="00682F2F">
        <w:trPr>
          <w:cantSplit/>
          <w:trHeight w:val="198"/>
        </w:trPr>
        <w:tc>
          <w:tcPr>
            <w:tcW w:w="6067" w:type="dxa"/>
            <w:vMerge/>
          </w:tcPr>
          <w:p w:rsidR="000E5C0D" w:rsidRPr="000A58D7" w:rsidRDefault="000E5C0D" w:rsidP="00682F2F">
            <w:pPr>
              <w:pStyle w:val="SujetOnderwerp"/>
              <w:rPr>
                <w:b w:val="0"/>
                <w:sz w:val="16"/>
              </w:rPr>
            </w:pPr>
          </w:p>
        </w:tc>
        <w:tc>
          <w:tcPr>
            <w:tcW w:w="3856" w:type="dxa"/>
            <w:gridSpan w:val="2"/>
            <w:vAlign w:val="center"/>
          </w:tcPr>
          <w:p w:rsidR="000E5C0D" w:rsidRPr="00457582" w:rsidRDefault="004C0334" w:rsidP="00682F2F">
            <w:pPr>
              <w:pStyle w:val="BoiteVakje"/>
              <w:rPr>
                <w:b/>
              </w:rPr>
            </w:pPr>
            <w:r>
              <w:t>merel.pieters</w:t>
            </w:r>
            <w:r w:rsidR="000E5C0D" w:rsidRPr="00457582">
              <w:t>@nbb.be</w:t>
            </w:r>
          </w:p>
        </w:tc>
      </w:tr>
      <w:tr w:rsidR="000E5C0D" w:rsidRPr="00562A44" w:rsidTr="004E6FD5">
        <w:trPr>
          <w:cantSplit/>
          <w:trHeight w:hRule="exact" w:val="1191"/>
        </w:trPr>
        <w:tc>
          <w:tcPr>
            <w:tcW w:w="9923" w:type="dxa"/>
            <w:gridSpan w:val="3"/>
            <w:tcMar>
              <w:top w:w="113" w:type="dxa"/>
            </w:tcMar>
            <w:vAlign w:val="bottom"/>
          </w:tcPr>
          <w:p w:rsidR="000E5C0D" w:rsidRPr="00426AB9" w:rsidRDefault="000E5C0D" w:rsidP="00C67902">
            <w:pPr>
              <w:pStyle w:val="SujetOnderwerp"/>
            </w:pPr>
          </w:p>
        </w:tc>
      </w:tr>
      <w:tr w:rsidR="000E5C0D" w:rsidRPr="00562A44" w:rsidTr="000E5C0D">
        <w:trPr>
          <w:cantSplit/>
          <w:trHeight w:hRule="exact" w:val="397"/>
        </w:trPr>
        <w:tc>
          <w:tcPr>
            <w:tcW w:w="9923" w:type="dxa"/>
            <w:gridSpan w:val="3"/>
            <w:vAlign w:val="center"/>
          </w:tcPr>
          <w:p w:rsidR="000E5C0D" w:rsidRPr="00985F14" w:rsidRDefault="000E5C0D" w:rsidP="00682F2F">
            <w:pPr>
              <w:spacing w:line="260" w:lineRule="atLeast"/>
              <w:rPr>
                <w:b/>
                <w:lang w:val="fr-BE"/>
              </w:rPr>
            </w:pPr>
            <w:r w:rsidRPr="00985F14">
              <w:rPr>
                <w:rFonts w:eastAsia="Arial" w:cs="Arial"/>
                <w:b/>
                <w:bdr w:val="nil"/>
                <w:lang w:val="fr-FR"/>
              </w:rPr>
              <w:t>Prêts, crédits et garanties aux dirigeants, actionnaires et personnes apparentées</w:t>
            </w:r>
          </w:p>
        </w:tc>
      </w:tr>
    </w:tbl>
    <w:p w:rsidR="000E5C0D" w:rsidRDefault="000E5C0D" w:rsidP="00682F2F">
      <w:pPr>
        <w:tabs>
          <w:tab w:val="left" w:pos="3402"/>
        </w:tabs>
      </w:pPr>
    </w:p>
    <w:p w:rsidR="004C0334" w:rsidRDefault="004C0334" w:rsidP="000E5C0D">
      <w:pPr>
        <w:pStyle w:val="Sous-titreOndertitel"/>
        <w:rPr>
          <w:rFonts w:eastAsia="Arial" w:cs="Arial"/>
          <w:bdr w:val="nil"/>
          <w:lang w:val="fr-FR"/>
        </w:rPr>
      </w:pPr>
    </w:p>
    <w:p w:rsidR="000E5C0D" w:rsidRDefault="000E5C0D" w:rsidP="00985F14">
      <w:pPr>
        <w:pStyle w:val="Sous-titreOndertitel"/>
        <w:spacing w:after="120"/>
        <w:rPr>
          <w:rFonts w:eastAsia="Arial" w:cs="Arial"/>
          <w:bdr w:val="nil"/>
          <w:lang w:val="fr-FR"/>
        </w:rPr>
      </w:pPr>
      <w:r w:rsidRPr="00500B7D">
        <w:rPr>
          <w:rFonts w:eastAsia="Arial" w:cs="Arial"/>
          <w:bdr w:val="nil"/>
          <w:lang w:val="fr-FR"/>
        </w:rPr>
        <w:t>Champ d'application</w:t>
      </w:r>
    </w:p>
    <w:p w:rsidR="000E5C0D" w:rsidRPr="00985F14" w:rsidRDefault="000E5C0D" w:rsidP="000E5C0D">
      <w:pPr>
        <w:pStyle w:val="IntroductionInleiding"/>
        <w:jc w:val="both"/>
        <w:rPr>
          <w:lang w:val="fr-FR"/>
        </w:rPr>
      </w:pPr>
      <w:r w:rsidRPr="00985F14">
        <w:rPr>
          <w:rFonts w:eastAsia="Arial" w:cs="Arial"/>
          <w:szCs w:val="22"/>
          <w:bdr w:val="nil"/>
          <w:lang w:val="fr-FR" w:eastAsia="fr-BE"/>
        </w:rPr>
        <w:t>Établissements de crédit belges et leurs succursales, sociétés de bourse belges et leurs succursales, succursales en Belgique d'établissements de crédit de pays tiers.</w:t>
      </w:r>
    </w:p>
    <w:p w:rsidR="000E5C0D" w:rsidRPr="00985F14" w:rsidRDefault="000E5C0D" w:rsidP="000E5C0D">
      <w:pPr>
        <w:pStyle w:val="IntroductionInleiding"/>
        <w:jc w:val="both"/>
        <w:rPr>
          <w:lang w:val="fr-FR"/>
        </w:rPr>
      </w:pPr>
      <w:r w:rsidRPr="00985F14">
        <w:rPr>
          <w:lang w:val="fr-FR"/>
        </w:rPr>
        <w:t>Entreprises d’assurance ou de réassurance de droit belge (à l’exception des entreprises d’assurance de droit belge de petite taille visées à l’article 275 ou locales visées à l’article 294 de la loi Solvabilité II) et leurs succursales, succursales établies en Belgique d'entreprises d’assurance ou de réassurance relevant du droit de pays tiers, sociétés holdings d’assurance de droit belge et compagnies financières mixtes de droit belge qui sont à la tête d’un groupe d’assurance et de réassurance au sens des articles 33</w:t>
      </w:r>
      <w:r w:rsidR="00E94DA1" w:rsidRPr="00985F14">
        <w:rPr>
          <w:lang w:val="fr-FR"/>
        </w:rPr>
        <w:t>8</w:t>
      </w:r>
      <w:r w:rsidRPr="00985F14">
        <w:rPr>
          <w:lang w:val="fr-FR"/>
        </w:rPr>
        <w:t xml:space="preserve"> et 343 de la loi Solvabilité II soumis au contrôle de la Banque.</w:t>
      </w:r>
    </w:p>
    <w:p w:rsidR="00985F14" w:rsidRDefault="00985F14" w:rsidP="000E5C0D">
      <w:pPr>
        <w:pStyle w:val="Sous-titreOndertitel"/>
        <w:rPr>
          <w:rFonts w:eastAsia="Arial" w:cs="Arial"/>
          <w:bdr w:val="nil"/>
          <w:lang w:val="fr-FR" w:eastAsia="fr-BE"/>
        </w:rPr>
      </w:pPr>
    </w:p>
    <w:p w:rsidR="000E5C0D" w:rsidRPr="00500B7D" w:rsidRDefault="000E5C0D" w:rsidP="000E5C0D">
      <w:pPr>
        <w:pStyle w:val="Sous-titreOndertitel"/>
        <w:rPr>
          <w:lang w:val="fr-FR"/>
        </w:rPr>
      </w:pPr>
      <w:r w:rsidRPr="00500B7D">
        <w:rPr>
          <w:rFonts w:eastAsia="Arial" w:cs="Arial"/>
          <w:bdr w:val="nil"/>
          <w:lang w:val="fr-FR" w:eastAsia="fr-BE"/>
        </w:rPr>
        <w:t xml:space="preserve">Résumé / </w:t>
      </w:r>
      <w:r w:rsidR="00985F14">
        <w:rPr>
          <w:rFonts w:eastAsia="Arial" w:cs="Arial"/>
          <w:bdr w:val="nil"/>
          <w:lang w:val="fr-FR" w:eastAsia="fr-BE"/>
        </w:rPr>
        <w:t>Objectifs</w:t>
      </w:r>
    </w:p>
    <w:p w:rsidR="000E5C0D" w:rsidRPr="00500B7D" w:rsidRDefault="000E5C0D" w:rsidP="00985F14">
      <w:pPr>
        <w:pStyle w:val="IntroductionInleiding"/>
        <w:spacing w:before="120"/>
        <w:jc w:val="both"/>
        <w:rPr>
          <w:lang w:val="fr-FR"/>
        </w:rPr>
      </w:pPr>
      <w:r>
        <w:rPr>
          <w:rFonts w:eastAsia="Arial" w:cs="Arial"/>
          <w:iCs/>
          <w:szCs w:val="22"/>
          <w:bdr w:val="nil"/>
          <w:lang w:val="fr-FR"/>
        </w:rPr>
        <w:t xml:space="preserve">La présente </w:t>
      </w:r>
      <w:r w:rsidRPr="00500B7D">
        <w:rPr>
          <w:rFonts w:eastAsia="Arial" w:cs="Arial"/>
          <w:iCs/>
          <w:szCs w:val="22"/>
          <w:bdr w:val="nil"/>
          <w:lang w:val="fr-FR"/>
        </w:rPr>
        <w:t xml:space="preserve">circulaire </w:t>
      </w:r>
      <w:r>
        <w:rPr>
          <w:rFonts w:eastAsia="Arial" w:cs="Arial"/>
          <w:iCs/>
          <w:szCs w:val="22"/>
          <w:bdr w:val="nil"/>
          <w:lang w:val="fr-FR"/>
        </w:rPr>
        <w:t xml:space="preserve">précise les dispositions légales </w:t>
      </w:r>
      <w:r>
        <w:rPr>
          <w:bdr w:val="nil"/>
          <w:lang w:val="fr-FR"/>
        </w:rPr>
        <w:t xml:space="preserve">en matière de </w:t>
      </w:r>
      <w:r w:rsidRPr="00500B7D">
        <w:rPr>
          <w:rFonts w:eastAsia="Arial" w:cs="Arial"/>
          <w:iCs/>
          <w:szCs w:val="22"/>
          <w:bdr w:val="nil"/>
          <w:lang w:val="fr-FR"/>
        </w:rPr>
        <w:t xml:space="preserve">prêts, crédits et garanties </w:t>
      </w:r>
      <w:r>
        <w:rPr>
          <w:rFonts w:eastAsia="Arial" w:cs="Arial"/>
          <w:iCs/>
          <w:szCs w:val="22"/>
          <w:bdr w:val="nil"/>
          <w:lang w:val="fr-FR"/>
        </w:rPr>
        <w:t xml:space="preserve">accordés </w:t>
      </w:r>
      <w:r w:rsidRPr="00500B7D">
        <w:rPr>
          <w:rFonts w:eastAsia="Arial" w:cs="Arial"/>
          <w:iCs/>
          <w:szCs w:val="22"/>
          <w:bdr w:val="nil"/>
          <w:lang w:val="fr-FR"/>
        </w:rPr>
        <w:t>par</w:t>
      </w:r>
      <w:r w:rsidRPr="00500B7D">
        <w:rPr>
          <w:bdr w:val="nil"/>
          <w:lang w:val="fr-FR"/>
        </w:rPr>
        <w:t xml:space="preserve"> les </w:t>
      </w:r>
      <w:r w:rsidRPr="00500B7D">
        <w:rPr>
          <w:rFonts w:eastAsia="Arial" w:cs="Arial"/>
          <w:iCs/>
          <w:szCs w:val="22"/>
          <w:bdr w:val="nil"/>
          <w:lang w:val="fr-FR"/>
        </w:rPr>
        <w:t xml:space="preserve">établissements de crédit, </w:t>
      </w:r>
      <w:r>
        <w:rPr>
          <w:rFonts w:eastAsia="Arial" w:cs="Arial"/>
          <w:iCs/>
          <w:szCs w:val="22"/>
          <w:bdr w:val="nil"/>
          <w:lang w:val="fr-FR"/>
        </w:rPr>
        <w:t xml:space="preserve">les entreprises d’assurance </w:t>
      </w:r>
      <w:r w:rsidRPr="00500B7D">
        <w:rPr>
          <w:rFonts w:eastAsia="Arial" w:cs="Arial"/>
          <w:iCs/>
          <w:szCs w:val="22"/>
          <w:bdr w:val="nil"/>
          <w:lang w:val="fr-FR"/>
        </w:rPr>
        <w:t xml:space="preserve">et </w:t>
      </w:r>
      <w:r>
        <w:rPr>
          <w:rFonts w:eastAsia="Arial" w:cs="Arial"/>
          <w:iCs/>
          <w:szCs w:val="22"/>
          <w:bdr w:val="nil"/>
          <w:lang w:val="fr-FR"/>
        </w:rPr>
        <w:t xml:space="preserve">les sociétés de bourse </w:t>
      </w:r>
      <w:r w:rsidRPr="00500B7D">
        <w:rPr>
          <w:rFonts w:eastAsia="Arial" w:cs="Arial"/>
          <w:iCs/>
          <w:szCs w:val="22"/>
          <w:bdr w:val="nil"/>
          <w:lang w:val="fr-FR"/>
        </w:rPr>
        <w:t>à leurs dirigeants,</w:t>
      </w:r>
      <w:r w:rsidRPr="00500B7D">
        <w:rPr>
          <w:bdr w:val="nil"/>
          <w:lang w:val="fr-FR"/>
        </w:rPr>
        <w:t xml:space="preserve"> </w:t>
      </w:r>
      <w:r w:rsidRPr="00500B7D">
        <w:rPr>
          <w:rFonts w:eastAsia="Arial" w:cs="Arial"/>
          <w:iCs/>
          <w:szCs w:val="22"/>
          <w:bdr w:val="nil"/>
          <w:lang w:val="fr-FR"/>
        </w:rPr>
        <w:t>actionnaires et</w:t>
      </w:r>
      <w:r w:rsidRPr="00500B7D">
        <w:rPr>
          <w:bdr w:val="nil"/>
          <w:lang w:val="fr-FR"/>
        </w:rPr>
        <w:t xml:space="preserve"> </w:t>
      </w:r>
      <w:r w:rsidRPr="00500B7D">
        <w:rPr>
          <w:rFonts w:eastAsia="Arial" w:cs="Arial"/>
          <w:iCs/>
          <w:szCs w:val="22"/>
          <w:bdr w:val="nil"/>
          <w:lang w:val="fr-FR"/>
        </w:rPr>
        <w:t xml:space="preserve">personnes </w:t>
      </w:r>
      <w:r w:rsidRPr="00412F63">
        <w:rPr>
          <w:rFonts w:eastAsia="Arial" w:cs="Arial"/>
          <w:iCs/>
          <w:szCs w:val="22"/>
          <w:bdr w:val="nil"/>
          <w:lang w:val="fr-FR"/>
        </w:rPr>
        <w:t>apparentées</w:t>
      </w:r>
      <w:r w:rsidRPr="00500B7D">
        <w:rPr>
          <w:rFonts w:eastAsia="Arial" w:cs="Arial"/>
          <w:iCs/>
          <w:szCs w:val="22"/>
          <w:bdr w:val="nil"/>
          <w:lang w:val="fr-FR"/>
        </w:rPr>
        <w:t>.</w:t>
      </w:r>
      <w:r>
        <w:rPr>
          <w:rFonts w:eastAsia="Arial" w:cs="Arial"/>
          <w:iCs/>
          <w:szCs w:val="22"/>
          <w:bdr w:val="nil"/>
          <w:lang w:val="fr-FR"/>
        </w:rPr>
        <w:t xml:space="preserve"> </w:t>
      </w:r>
      <w:r w:rsidRPr="00500B7D">
        <w:rPr>
          <w:rFonts w:eastAsia="Arial" w:cs="Arial"/>
          <w:iCs/>
          <w:szCs w:val="22"/>
          <w:bdr w:val="nil"/>
          <w:lang w:val="fr-FR"/>
        </w:rPr>
        <w:t xml:space="preserve">Il </w:t>
      </w:r>
      <w:r>
        <w:rPr>
          <w:rFonts w:eastAsia="Arial" w:cs="Arial"/>
          <w:iCs/>
          <w:szCs w:val="22"/>
          <w:bdr w:val="nil"/>
          <w:lang w:val="fr-FR"/>
        </w:rPr>
        <w:t xml:space="preserve">clarifie par ailleurs les modalités selon lesquelles </w:t>
      </w:r>
      <w:r w:rsidRPr="00500B7D">
        <w:rPr>
          <w:rFonts w:eastAsia="Arial" w:cs="Arial"/>
          <w:iCs/>
          <w:szCs w:val="22"/>
          <w:bdr w:val="nil"/>
          <w:lang w:val="fr-FR"/>
        </w:rPr>
        <w:t xml:space="preserve">les </w:t>
      </w:r>
      <w:r>
        <w:rPr>
          <w:rFonts w:eastAsia="Arial" w:cs="Arial"/>
          <w:iCs/>
          <w:szCs w:val="22"/>
          <w:bdr w:val="nil"/>
          <w:lang w:val="fr-FR"/>
        </w:rPr>
        <w:t xml:space="preserve">établissements </w:t>
      </w:r>
      <w:r w:rsidRPr="00500B7D">
        <w:rPr>
          <w:rFonts w:eastAsia="Arial" w:cs="Arial"/>
          <w:iCs/>
          <w:szCs w:val="22"/>
          <w:bdr w:val="nil"/>
          <w:lang w:val="fr-FR"/>
        </w:rPr>
        <w:t xml:space="preserve">doivent remplir leurs obligations légales de </w:t>
      </w:r>
      <w:proofErr w:type="spellStart"/>
      <w:r>
        <w:rPr>
          <w:rFonts w:eastAsia="Arial" w:cs="Arial"/>
          <w:iCs/>
          <w:szCs w:val="22"/>
          <w:bdr w:val="nil"/>
          <w:lang w:val="fr-FR"/>
        </w:rPr>
        <w:t>reporting</w:t>
      </w:r>
      <w:proofErr w:type="spellEnd"/>
      <w:r>
        <w:rPr>
          <w:rFonts w:eastAsia="Arial" w:cs="Arial"/>
          <w:iCs/>
          <w:szCs w:val="22"/>
          <w:bdr w:val="nil"/>
          <w:lang w:val="fr-FR"/>
        </w:rPr>
        <w:t xml:space="preserve"> à l’autorité de contrôle</w:t>
      </w:r>
      <w:r w:rsidRPr="00500B7D">
        <w:rPr>
          <w:rFonts w:eastAsia="Arial" w:cs="Arial"/>
          <w:iCs/>
          <w:szCs w:val="22"/>
          <w:bdr w:val="nil"/>
          <w:lang w:val="fr-FR"/>
        </w:rPr>
        <w:t>.</w:t>
      </w:r>
    </w:p>
    <w:p w:rsidR="00985F14" w:rsidRDefault="00985F14">
      <w:pPr>
        <w:tabs>
          <w:tab w:val="clear" w:pos="284"/>
        </w:tabs>
        <w:spacing w:line="240" w:lineRule="auto"/>
        <w:rPr>
          <w:lang w:val="fr-FR"/>
        </w:rPr>
      </w:pPr>
      <w:r>
        <w:rPr>
          <w:lang w:val="fr-FR"/>
        </w:rPr>
        <w:br w:type="page"/>
      </w:r>
    </w:p>
    <w:p w:rsidR="00985F14" w:rsidRDefault="000E5C0D" w:rsidP="000E5C0D">
      <w:pPr>
        <w:rPr>
          <w:lang w:val="fr-FR"/>
        </w:rPr>
      </w:pPr>
      <w:r w:rsidRPr="00500B7D">
        <w:rPr>
          <w:lang w:val="fr-FR"/>
        </w:rPr>
        <w:lastRenderedPageBreak/>
        <w:t xml:space="preserve">Madame, </w:t>
      </w:r>
    </w:p>
    <w:p w:rsidR="000E5C0D" w:rsidRPr="00500B7D" w:rsidRDefault="000E5C0D" w:rsidP="000E5C0D">
      <w:pPr>
        <w:rPr>
          <w:lang w:val="fr-FR"/>
        </w:rPr>
      </w:pPr>
      <w:r w:rsidRPr="00500B7D">
        <w:rPr>
          <w:lang w:val="fr-FR"/>
        </w:rPr>
        <w:t>Monsieur,</w:t>
      </w:r>
    </w:p>
    <w:p w:rsidR="000E5C0D" w:rsidRPr="00500B7D" w:rsidRDefault="000E5C0D" w:rsidP="000E5C0D">
      <w:pPr>
        <w:rPr>
          <w:lang w:val="fr-FR"/>
        </w:rPr>
      </w:pPr>
    </w:p>
    <w:p w:rsidR="000E5C0D" w:rsidRPr="00500B7D" w:rsidRDefault="000E5C0D" w:rsidP="000E5C0D">
      <w:pPr>
        <w:jc w:val="both"/>
        <w:rPr>
          <w:lang w:val="fr-FR"/>
        </w:rPr>
      </w:pPr>
      <w:r>
        <w:rPr>
          <w:rFonts w:eastAsia="Arial" w:cs="Arial"/>
          <w:bdr w:val="nil"/>
          <w:lang w:val="fr-FR"/>
        </w:rPr>
        <w:t>L’a</w:t>
      </w:r>
      <w:r w:rsidRPr="00500B7D">
        <w:rPr>
          <w:rFonts w:eastAsia="Arial" w:cs="Arial"/>
          <w:bdr w:val="nil"/>
          <w:lang w:val="fr-FR"/>
        </w:rPr>
        <w:t>rticle</w:t>
      </w:r>
      <w:r>
        <w:rPr>
          <w:rFonts w:eastAsia="Arial" w:cs="Arial"/>
          <w:bdr w:val="nil"/>
          <w:lang w:val="fr-FR"/>
        </w:rPr>
        <w:t> </w:t>
      </w:r>
      <w:r w:rsidRPr="00500B7D">
        <w:rPr>
          <w:rFonts w:eastAsia="Arial" w:cs="Arial"/>
          <w:bdr w:val="nil"/>
          <w:lang w:val="fr-FR"/>
        </w:rPr>
        <w:t>72 de la loi bancaire</w:t>
      </w:r>
      <w:r w:rsidRPr="00500B7D">
        <w:rPr>
          <w:rStyle w:val="FootnoteReference"/>
          <w:lang w:val="fr-FR"/>
        </w:rPr>
        <w:footnoteReference w:id="2"/>
      </w:r>
      <w:r w:rsidRPr="00500B7D">
        <w:rPr>
          <w:lang w:val="fr-FR"/>
        </w:rPr>
        <w:t xml:space="preserve"> </w:t>
      </w:r>
      <w:r w:rsidRPr="00500B7D">
        <w:rPr>
          <w:rFonts w:eastAsia="Arial" w:cs="Arial"/>
          <w:bdr w:val="nil"/>
          <w:lang w:val="fr-FR"/>
        </w:rPr>
        <w:t>et</w:t>
      </w:r>
      <w:r>
        <w:rPr>
          <w:bdr w:val="nil"/>
          <w:lang w:val="fr-FR"/>
        </w:rPr>
        <w:t xml:space="preserve"> l'</w:t>
      </w:r>
      <w:r w:rsidRPr="00500B7D">
        <w:rPr>
          <w:rFonts w:eastAsia="Arial" w:cs="Arial"/>
          <w:bdr w:val="nil"/>
          <w:lang w:val="fr-FR"/>
        </w:rPr>
        <w:t>article</w:t>
      </w:r>
      <w:r>
        <w:rPr>
          <w:rFonts w:eastAsia="Arial" w:cs="Arial"/>
          <w:bdr w:val="nil"/>
          <w:lang w:val="fr-FR"/>
        </w:rPr>
        <w:t> </w:t>
      </w:r>
      <w:r w:rsidRPr="00500B7D">
        <w:rPr>
          <w:rFonts w:eastAsia="Arial" w:cs="Arial"/>
          <w:bdr w:val="nil"/>
          <w:lang w:val="fr-FR"/>
        </w:rPr>
        <w:t>93 de la loi Solvabilité II</w:t>
      </w:r>
      <w:r w:rsidRPr="00500B7D">
        <w:rPr>
          <w:rStyle w:val="FootnoteReference"/>
          <w:lang w:val="fr-FR"/>
        </w:rPr>
        <w:footnoteReference w:id="3"/>
      </w:r>
      <w:r w:rsidRPr="00500B7D">
        <w:rPr>
          <w:lang w:val="fr-FR"/>
        </w:rPr>
        <w:t xml:space="preserve"> </w:t>
      </w:r>
      <w:r>
        <w:rPr>
          <w:lang w:val="fr-FR"/>
        </w:rPr>
        <w:t xml:space="preserve">prévoient </w:t>
      </w:r>
      <w:r w:rsidRPr="00500B7D">
        <w:rPr>
          <w:rFonts w:eastAsia="Arial" w:cs="Arial"/>
          <w:bdr w:val="nil"/>
          <w:lang w:val="fr-FR"/>
        </w:rPr>
        <w:t xml:space="preserve">un </w:t>
      </w:r>
      <w:r>
        <w:rPr>
          <w:rFonts w:eastAsia="Arial" w:cs="Arial"/>
          <w:bdr w:val="nil"/>
          <w:lang w:val="fr-FR"/>
        </w:rPr>
        <w:t xml:space="preserve">régime pour les </w:t>
      </w:r>
      <w:r w:rsidRPr="00500B7D">
        <w:rPr>
          <w:rFonts w:eastAsia="Arial" w:cs="Arial"/>
          <w:bdr w:val="nil"/>
          <w:lang w:val="fr-FR"/>
        </w:rPr>
        <w:t xml:space="preserve">prêts, crédits et garanties </w:t>
      </w:r>
      <w:r>
        <w:rPr>
          <w:rFonts w:eastAsia="Arial" w:cs="Arial"/>
          <w:bdr w:val="nil"/>
          <w:lang w:val="fr-FR"/>
        </w:rPr>
        <w:t xml:space="preserve">accordés </w:t>
      </w:r>
      <w:r w:rsidRPr="00500B7D">
        <w:rPr>
          <w:rFonts w:eastAsia="Arial" w:cs="Arial"/>
          <w:bdr w:val="nil"/>
          <w:lang w:val="fr-FR"/>
        </w:rPr>
        <w:t>par un</w:t>
      </w:r>
      <w:r>
        <w:rPr>
          <w:rFonts w:eastAsia="Arial" w:cs="Arial"/>
          <w:bdr w:val="nil"/>
          <w:lang w:val="fr-FR"/>
        </w:rPr>
        <w:t xml:space="preserve"> établissement de crédit </w:t>
      </w:r>
      <w:r w:rsidRPr="00500B7D">
        <w:rPr>
          <w:rFonts w:eastAsia="Arial" w:cs="Arial"/>
          <w:bdr w:val="nil"/>
          <w:lang w:val="fr-FR"/>
        </w:rPr>
        <w:t xml:space="preserve">ou une </w:t>
      </w:r>
      <w:r>
        <w:rPr>
          <w:rFonts w:eastAsia="Arial" w:cs="Arial"/>
          <w:bdr w:val="nil"/>
          <w:lang w:val="fr-FR"/>
        </w:rPr>
        <w:t xml:space="preserve">entreprise </w:t>
      </w:r>
      <w:r w:rsidRPr="00500B7D">
        <w:rPr>
          <w:rFonts w:eastAsia="Arial" w:cs="Arial"/>
          <w:bdr w:val="nil"/>
          <w:lang w:val="fr-FR"/>
        </w:rPr>
        <w:t>d’assurance</w:t>
      </w:r>
      <w:r w:rsidR="008D392C">
        <w:rPr>
          <w:rStyle w:val="FootnoteReference"/>
          <w:rFonts w:eastAsia="Arial" w:cs="Arial"/>
          <w:bdr w:val="nil"/>
          <w:lang w:val="fr-FR"/>
        </w:rPr>
        <w:footnoteReference w:id="4"/>
      </w:r>
      <w:r w:rsidRPr="00500B7D">
        <w:rPr>
          <w:rFonts w:eastAsia="Arial" w:cs="Arial"/>
          <w:bdr w:val="nil"/>
          <w:lang w:val="fr-FR"/>
        </w:rPr>
        <w:t> :</w:t>
      </w:r>
    </w:p>
    <w:p w:rsidR="000E5C0D" w:rsidRPr="00DA5B8A" w:rsidRDefault="000E5C0D" w:rsidP="000E5C0D">
      <w:pPr>
        <w:pStyle w:val="ListParagraph"/>
        <w:numPr>
          <w:ilvl w:val="0"/>
          <w:numId w:val="31"/>
        </w:numPr>
        <w:tabs>
          <w:tab w:val="clear" w:pos="284"/>
        </w:tabs>
        <w:spacing w:before="120"/>
        <w:ind w:left="714" w:hanging="357"/>
        <w:contextualSpacing w:val="0"/>
        <w:jc w:val="both"/>
        <w:rPr>
          <w:lang w:val="fr-FR"/>
        </w:rPr>
      </w:pPr>
      <w:r w:rsidRPr="00DA5B8A">
        <w:rPr>
          <w:lang w:val="fr-FR"/>
        </w:rPr>
        <w:t>aux membres de leur organe légal d’administration et aux membres d</w:t>
      </w:r>
      <w:r>
        <w:rPr>
          <w:lang w:val="fr-FR"/>
        </w:rPr>
        <w:t xml:space="preserve">u </w:t>
      </w:r>
      <w:r w:rsidRPr="00DA5B8A">
        <w:rPr>
          <w:lang w:val="fr-FR"/>
        </w:rPr>
        <w:t>comité de direction ou, en l’absence de comité de direction, aux personnes participant à leur direction effective, ainsi qu’aux dirigeants effectifs de leurs succursales ;</w:t>
      </w:r>
    </w:p>
    <w:p w:rsidR="000E5C0D" w:rsidRPr="00DA5B8A" w:rsidRDefault="000E5C0D" w:rsidP="000E5C0D">
      <w:pPr>
        <w:pStyle w:val="ListParagraph"/>
        <w:numPr>
          <w:ilvl w:val="0"/>
          <w:numId w:val="31"/>
        </w:numPr>
        <w:tabs>
          <w:tab w:val="clear" w:pos="284"/>
        </w:tabs>
        <w:spacing w:before="120"/>
        <w:ind w:left="714" w:hanging="357"/>
        <w:contextualSpacing w:val="0"/>
        <w:jc w:val="both"/>
        <w:rPr>
          <w:lang w:val="fr-FR"/>
        </w:rPr>
      </w:pPr>
      <w:r w:rsidRPr="00DA5B8A">
        <w:rPr>
          <w:lang w:val="fr-FR"/>
        </w:rPr>
        <w:t>aux personnes visées à l'article 9, alinéa 1</w:t>
      </w:r>
      <w:r w:rsidRPr="00D7377D">
        <w:rPr>
          <w:vertAlign w:val="superscript"/>
          <w:lang w:val="fr-FR"/>
        </w:rPr>
        <w:t>er</w:t>
      </w:r>
      <w:r w:rsidRPr="00DA5B8A">
        <w:rPr>
          <w:lang w:val="fr-FR"/>
        </w:rPr>
        <w:t>, de la loi bancaire, et à l’article 23, alinéa 1</w:t>
      </w:r>
      <w:r w:rsidRPr="00D7377D">
        <w:rPr>
          <w:vertAlign w:val="superscript"/>
          <w:lang w:val="fr-FR"/>
        </w:rPr>
        <w:t>er</w:t>
      </w:r>
      <w:r w:rsidRPr="00DA5B8A">
        <w:rPr>
          <w:lang w:val="fr-FR"/>
        </w:rPr>
        <w:t>, de la loi Solvabilité II, c.</w:t>
      </w:r>
      <w:r w:rsidRPr="00DA5B8A">
        <w:rPr>
          <w:lang w:val="fr-FR"/>
        </w:rPr>
        <w:noBreakHyphen/>
        <w:t>à</w:t>
      </w:r>
      <w:r w:rsidRPr="00DA5B8A">
        <w:rPr>
          <w:lang w:val="fr-FR"/>
        </w:rPr>
        <w:noBreakHyphen/>
        <w:t>d. aux personnes physiques ou morales qui détiennent une participation qualifiée, aux membres de leurs différents organes et aux personnes participant à leur direction effective ;</w:t>
      </w:r>
    </w:p>
    <w:p w:rsidR="000E5C0D" w:rsidRPr="00DA5B8A" w:rsidRDefault="000E5C0D" w:rsidP="000E5C0D">
      <w:pPr>
        <w:pStyle w:val="ListParagraph"/>
        <w:numPr>
          <w:ilvl w:val="0"/>
          <w:numId w:val="31"/>
        </w:numPr>
        <w:tabs>
          <w:tab w:val="clear" w:pos="284"/>
        </w:tabs>
        <w:spacing w:before="120"/>
        <w:ind w:left="714" w:hanging="357"/>
        <w:contextualSpacing w:val="0"/>
        <w:jc w:val="both"/>
        <w:rPr>
          <w:lang w:val="fr-FR"/>
        </w:rPr>
      </w:pPr>
      <w:r w:rsidRPr="00DA5B8A">
        <w:rPr>
          <w:lang w:val="fr-FR"/>
        </w:rPr>
        <w:t>aux entreprises ou institutions dans lesquelles les personnes de la première catégorie précitée détiennent une participation qualifiée ou exercent une fonction visée au 1°, à l’exception des entreprises ou institutions que contrôle l’établissement de crédit ou l’entreprise d’assurance ou son entreprise mère ;</w:t>
      </w:r>
    </w:p>
    <w:p w:rsidR="000E5C0D" w:rsidRPr="00DA5B8A" w:rsidRDefault="000E5C0D" w:rsidP="000E5C0D">
      <w:pPr>
        <w:pStyle w:val="ListParagraph"/>
        <w:numPr>
          <w:ilvl w:val="0"/>
          <w:numId w:val="31"/>
        </w:numPr>
        <w:tabs>
          <w:tab w:val="clear" w:pos="284"/>
        </w:tabs>
        <w:spacing w:before="120"/>
        <w:ind w:left="714" w:hanging="357"/>
        <w:contextualSpacing w:val="0"/>
        <w:jc w:val="both"/>
        <w:rPr>
          <w:lang w:val="nl-BE"/>
        </w:rPr>
      </w:pPr>
      <w:r w:rsidRPr="00DA5B8A">
        <w:rPr>
          <w:lang w:val="fr-FR"/>
        </w:rPr>
        <w:t>aux personnes apparentées aux personnes visées au 1°, c.</w:t>
      </w:r>
      <w:r w:rsidRPr="00DA5B8A">
        <w:rPr>
          <w:lang w:val="fr-FR"/>
        </w:rPr>
        <w:noBreakHyphen/>
        <w:t>à</w:t>
      </w:r>
      <w:r w:rsidRPr="00DA5B8A">
        <w:rPr>
          <w:lang w:val="fr-FR"/>
        </w:rPr>
        <w:noBreakHyphen/>
        <w:t>d. aux conjoints, aux partenaires considérés selon leur droit interne comme l’équivalent d’un conjoint et aux parents au 1</w:t>
      </w:r>
      <w:r w:rsidRPr="00D7377D">
        <w:rPr>
          <w:vertAlign w:val="superscript"/>
          <w:lang w:val="fr-FR"/>
        </w:rPr>
        <w:t>er</w:t>
      </w:r>
      <w:r>
        <w:rPr>
          <w:lang w:val="fr-FR"/>
        </w:rPr>
        <w:t> </w:t>
      </w:r>
      <w:r w:rsidRPr="00DA5B8A">
        <w:rPr>
          <w:lang w:val="fr-FR"/>
        </w:rPr>
        <w:t>degré</w:t>
      </w:r>
      <w:r w:rsidRPr="00DA5B8A">
        <w:rPr>
          <w:rStyle w:val="FootnoteReference"/>
          <w:lang w:val="fr-FR"/>
        </w:rPr>
        <w:footnoteReference w:id="5"/>
      </w:r>
      <w:r w:rsidRPr="00DA5B8A">
        <w:rPr>
          <w:lang w:val="nl-BE"/>
        </w:rPr>
        <w:t>.</w:t>
      </w:r>
    </w:p>
    <w:p w:rsidR="000E5C0D" w:rsidRPr="00500B7D" w:rsidRDefault="000E5C0D" w:rsidP="000E5C0D">
      <w:pPr>
        <w:rPr>
          <w:lang w:val="fr-FR"/>
        </w:rPr>
      </w:pPr>
    </w:p>
    <w:p w:rsidR="006661EE" w:rsidRDefault="000E5C0D" w:rsidP="000320BF">
      <w:pPr>
        <w:shd w:val="clear" w:color="auto" w:fill="FFFFFF" w:themeFill="background1"/>
        <w:jc w:val="both"/>
        <w:textAlignment w:val="top"/>
        <w:rPr>
          <w:rFonts w:eastAsia="Arial" w:cs="Arial"/>
          <w:bdr w:val="nil"/>
          <w:lang w:val="fr-FR" w:eastAsia="fr-BE"/>
        </w:rPr>
      </w:pPr>
      <w:r w:rsidRPr="000320BF">
        <w:rPr>
          <w:rFonts w:eastAsia="Arial" w:cs="Arial"/>
          <w:bdr w:val="nil"/>
          <w:lang w:val="fr-FR" w:eastAsia="fr-BE"/>
        </w:rPr>
        <w:t>Conformément au paragraphe 1</w:t>
      </w:r>
      <w:r w:rsidRPr="000320BF">
        <w:rPr>
          <w:rFonts w:eastAsia="Arial" w:cs="Arial"/>
          <w:bdr w:val="nil"/>
          <w:vertAlign w:val="superscript"/>
          <w:lang w:val="fr-FR" w:eastAsia="fr-BE"/>
        </w:rPr>
        <w:t>er</w:t>
      </w:r>
      <w:r w:rsidRPr="000320BF">
        <w:rPr>
          <w:rFonts w:eastAsia="Arial" w:cs="Arial"/>
          <w:bdr w:val="nil"/>
          <w:lang w:val="fr-FR" w:eastAsia="fr-BE"/>
        </w:rPr>
        <w:t xml:space="preserve"> des articles 72 et 93 précités, les établissements de crédit et les entreprises d'assurance ne peuvent consentir, directement ou indirectement, des prêts, des crédits ou des garanties aux personnes, entreprises ou institutions précitées qu’aux conditions, à concurrence des montants et moyennant les </w:t>
      </w:r>
      <w:r w:rsidR="00B63B6E" w:rsidRPr="000320BF">
        <w:rPr>
          <w:rFonts w:eastAsia="Arial" w:cs="Arial"/>
          <w:bdr w:val="nil"/>
          <w:lang w:val="fr-FR" w:eastAsia="fr-BE"/>
        </w:rPr>
        <w:t xml:space="preserve">conditions </w:t>
      </w:r>
      <w:r w:rsidRPr="000320BF">
        <w:rPr>
          <w:rFonts w:eastAsia="Arial" w:cs="Arial"/>
          <w:bdr w:val="nil"/>
          <w:lang w:val="fr-FR" w:eastAsia="fr-BE"/>
        </w:rPr>
        <w:t xml:space="preserve">applicables à leur clientèle. Les établissements de crédit et entreprises d'assurance ne peuvent utiliser une autre entreprise au sein du groupe pour conclure des </w:t>
      </w:r>
      <w:r w:rsidRPr="000320BF">
        <w:rPr>
          <w:rFonts w:eastAsia="Arial" w:cs="Arial"/>
          <w:bdr w:val="nil"/>
          <w:lang w:val="fr-FR"/>
        </w:rPr>
        <w:t>opérations</w:t>
      </w:r>
      <w:r w:rsidRPr="000320BF">
        <w:rPr>
          <w:rFonts w:eastAsia="Arial" w:cs="Arial"/>
          <w:bdr w:val="nil"/>
          <w:lang w:val="fr-FR" w:eastAsia="fr-BE"/>
        </w:rPr>
        <w:t xml:space="preserve"> hors le respect du prescrit de l'article 72 de la loi bancaire et de l'article 93 de la loi de Solvabilité II.</w:t>
      </w:r>
      <w:r w:rsidR="00E94DA1" w:rsidRPr="000320BF">
        <w:rPr>
          <w:rFonts w:eastAsia="Arial" w:cs="Arial"/>
          <w:bdr w:val="nil"/>
          <w:lang w:val="fr-FR" w:eastAsia="fr-BE"/>
        </w:rPr>
        <w:t xml:space="preserve"> </w:t>
      </w:r>
      <w:r w:rsidR="00FC36D9" w:rsidRPr="000320BF">
        <w:rPr>
          <w:rFonts w:eastAsia="Arial" w:cs="Arial"/>
          <w:bdr w:val="nil"/>
          <w:lang w:val="fr-FR" w:eastAsia="fr-BE"/>
        </w:rPr>
        <w:t xml:space="preserve">Ces règles ne peuvent </w:t>
      </w:r>
      <w:r w:rsidR="006661EE" w:rsidRPr="000320BF">
        <w:rPr>
          <w:rFonts w:eastAsia="Arial" w:cs="Arial"/>
          <w:bdr w:val="nil"/>
          <w:lang w:val="fr-FR" w:eastAsia="fr-BE"/>
        </w:rPr>
        <w:t>en effet</w:t>
      </w:r>
      <w:r w:rsidR="00FC36D9" w:rsidRPr="000320BF">
        <w:rPr>
          <w:rFonts w:eastAsia="Arial" w:cs="Arial"/>
          <w:bdr w:val="nil"/>
          <w:lang w:val="fr-FR" w:eastAsia="fr-BE"/>
        </w:rPr>
        <w:t xml:space="preserve"> pas être contournées e</w:t>
      </w:r>
      <w:r w:rsidR="006661EE" w:rsidRPr="000320BF">
        <w:rPr>
          <w:rFonts w:eastAsia="Arial" w:cs="Arial"/>
          <w:bdr w:val="nil"/>
          <w:lang w:val="fr-FR" w:eastAsia="fr-BE"/>
        </w:rPr>
        <w:t>n c</w:t>
      </w:r>
      <w:r w:rsidR="00FC36D9" w:rsidRPr="000320BF">
        <w:rPr>
          <w:rFonts w:eastAsia="Arial" w:cs="Arial"/>
          <w:bdr w:val="nil"/>
          <w:lang w:val="fr-FR" w:eastAsia="fr-BE"/>
        </w:rPr>
        <w:t>onclu</w:t>
      </w:r>
      <w:r w:rsidR="006661EE" w:rsidRPr="000320BF">
        <w:rPr>
          <w:rFonts w:eastAsia="Arial" w:cs="Arial"/>
          <w:bdr w:val="nil"/>
          <w:lang w:val="fr-FR" w:eastAsia="fr-BE"/>
        </w:rPr>
        <w:t>ant</w:t>
      </w:r>
      <w:r w:rsidR="00FC36D9" w:rsidRPr="000320BF">
        <w:rPr>
          <w:rFonts w:eastAsia="Arial" w:cs="Arial"/>
          <w:bdr w:val="nil"/>
          <w:lang w:val="fr-FR" w:eastAsia="fr-BE"/>
        </w:rPr>
        <w:t xml:space="preserve"> l’opération via une autre entité du groupe </w:t>
      </w:r>
      <w:r w:rsidR="006661EE" w:rsidRPr="000320BF">
        <w:rPr>
          <w:rFonts w:eastAsia="Arial" w:cs="Arial"/>
          <w:bdr w:val="nil"/>
          <w:lang w:val="fr-FR" w:eastAsia="fr-BE"/>
        </w:rPr>
        <w:t>qui n’entre pas dans le champ d’application de</w:t>
      </w:r>
      <w:r w:rsidR="00FC36D9" w:rsidRPr="000320BF">
        <w:rPr>
          <w:rFonts w:eastAsia="Arial" w:cs="Arial"/>
          <w:bdr w:val="nil"/>
          <w:lang w:val="fr-FR" w:eastAsia="fr-BE"/>
        </w:rPr>
        <w:t xml:space="preserve"> </w:t>
      </w:r>
      <w:r w:rsidR="006661EE" w:rsidRPr="000320BF">
        <w:rPr>
          <w:rFonts w:eastAsia="Arial" w:cs="Arial"/>
          <w:bdr w:val="nil"/>
          <w:lang w:val="fr-FR" w:eastAsia="fr-BE"/>
        </w:rPr>
        <w:t>la présente circulaire.</w:t>
      </w:r>
    </w:p>
    <w:p w:rsidR="000E5C0D" w:rsidRDefault="000E5C0D" w:rsidP="000E5C0D">
      <w:pPr>
        <w:jc w:val="both"/>
        <w:rPr>
          <w:rFonts w:eastAsia="Arial" w:cs="Arial"/>
          <w:bdr w:val="nil"/>
          <w:lang w:val="fr-FR" w:eastAsia="fr-BE"/>
        </w:rPr>
      </w:pPr>
    </w:p>
    <w:p w:rsidR="000E5C0D" w:rsidRPr="00500B7D" w:rsidRDefault="000E5C0D" w:rsidP="000E5C0D">
      <w:pPr>
        <w:tabs>
          <w:tab w:val="clear" w:pos="284"/>
        </w:tabs>
        <w:jc w:val="both"/>
        <w:rPr>
          <w:lang w:val="fr-FR"/>
        </w:rPr>
      </w:pPr>
      <w:r>
        <w:rPr>
          <w:rFonts w:eastAsia="Arial" w:cs="Arial"/>
          <w:bdr w:val="nil"/>
          <w:lang w:val="fr-FR" w:eastAsia="fr-BE"/>
        </w:rPr>
        <w:t>P</w:t>
      </w:r>
      <w:r w:rsidRPr="00500B7D">
        <w:rPr>
          <w:rFonts w:eastAsia="Arial" w:cs="Arial"/>
          <w:bdr w:val="nil"/>
          <w:lang w:val="fr-FR" w:eastAsia="fr-BE"/>
        </w:rPr>
        <w:t xml:space="preserve">ar </w:t>
      </w:r>
      <w:r>
        <w:rPr>
          <w:rFonts w:eastAsia="Arial" w:cs="Arial"/>
          <w:bdr w:val="nil"/>
          <w:lang w:val="fr-FR" w:eastAsia="fr-BE"/>
        </w:rPr>
        <w:t xml:space="preserve">« conditions </w:t>
      </w:r>
      <w:r w:rsidRPr="008D1033">
        <w:rPr>
          <w:rFonts w:eastAsia="Arial" w:cs="Arial"/>
          <w:bdr w:val="nil"/>
          <w:lang w:val="fr-FR" w:eastAsia="fr-BE"/>
        </w:rPr>
        <w:t>applicables à l</w:t>
      </w:r>
      <w:r>
        <w:rPr>
          <w:rFonts w:eastAsia="Arial" w:cs="Arial"/>
          <w:bdr w:val="nil"/>
          <w:lang w:val="fr-FR" w:eastAsia="fr-BE"/>
        </w:rPr>
        <w:t xml:space="preserve">a </w:t>
      </w:r>
      <w:r w:rsidRPr="008D1033">
        <w:rPr>
          <w:rFonts w:eastAsia="Arial" w:cs="Arial"/>
          <w:bdr w:val="nil"/>
          <w:lang w:val="fr-FR" w:eastAsia="fr-BE"/>
        </w:rPr>
        <w:t>clientèle</w:t>
      </w:r>
      <w:r>
        <w:rPr>
          <w:rFonts w:eastAsia="Arial" w:cs="Arial"/>
          <w:bdr w:val="nil"/>
          <w:lang w:val="fr-FR" w:eastAsia="fr-BE"/>
        </w:rPr>
        <w:t> », il faut comprendre</w:t>
      </w:r>
      <w:r w:rsidRPr="00500B7D">
        <w:rPr>
          <w:rFonts w:eastAsia="Arial" w:cs="Arial"/>
          <w:bdr w:val="nil"/>
          <w:lang w:val="fr-FR" w:eastAsia="fr-BE"/>
        </w:rPr>
        <w:t xml:space="preserve"> les conditions </w:t>
      </w:r>
      <w:r>
        <w:rPr>
          <w:rFonts w:eastAsia="Arial" w:cs="Arial"/>
          <w:bdr w:val="nil"/>
          <w:lang w:val="fr-FR" w:eastAsia="fr-BE"/>
        </w:rPr>
        <w:t xml:space="preserve">en vigueur pour les </w:t>
      </w:r>
      <w:r w:rsidRPr="00500B7D">
        <w:rPr>
          <w:rFonts w:eastAsia="Arial" w:cs="Arial"/>
          <w:bdr w:val="nil"/>
          <w:lang w:val="fr-FR" w:eastAsia="fr-BE"/>
        </w:rPr>
        <w:t xml:space="preserve">clients </w:t>
      </w:r>
      <w:r>
        <w:rPr>
          <w:rFonts w:eastAsia="Arial" w:cs="Arial"/>
          <w:bdr w:val="nil"/>
          <w:lang w:val="fr-FR" w:eastAsia="fr-BE"/>
        </w:rPr>
        <w:t xml:space="preserve">se trouvant dans une situation </w:t>
      </w:r>
      <w:r w:rsidRPr="000B3CBD">
        <w:rPr>
          <w:lang w:val="fr-FR"/>
        </w:rPr>
        <w:t xml:space="preserve">similaire </w:t>
      </w:r>
      <w:r>
        <w:rPr>
          <w:rFonts w:eastAsia="Arial" w:cs="Arial"/>
          <w:bdr w:val="nil"/>
          <w:lang w:val="fr-FR" w:eastAsia="fr-BE"/>
        </w:rPr>
        <w:t>envers l’établissement de crédit ou l’entreprise d’assurance</w:t>
      </w:r>
      <w:r w:rsidRPr="00500B7D">
        <w:rPr>
          <w:rFonts w:eastAsia="Arial" w:cs="Arial"/>
          <w:bdr w:val="nil"/>
          <w:lang w:val="fr-FR" w:eastAsia="fr-BE"/>
        </w:rPr>
        <w:t xml:space="preserve">. </w:t>
      </w:r>
      <w:r>
        <w:rPr>
          <w:rFonts w:eastAsia="Arial" w:cs="Arial"/>
          <w:bdr w:val="nil"/>
          <w:lang w:val="fr-FR" w:eastAsia="fr-BE"/>
        </w:rPr>
        <w:t>Ainsi</w:t>
      </w:r>
      <w:r w:rsidRPr="00500B7D">
        <w:rPr>
          <w:rFonts w:eastAsia="Arial" w:cs="Arial"/>
          <w:bdr w:val="nil"/>
          <w:lang w:val="fr-FR" w:eastAsia="fr-BE"/>
        </w:rPr>
        <w:t xml:space="preserve">, un </w:t>
      </w:r>
      <w:r>
        <w:rPr>
          <w:rFonts w:eastAsia="Arial" w:cs="Arial"/>
          <w:bdr w:val="nil"/>
          <w:lang w:val="fr-FR" w:eastAsia="fr-BE"/>
        </w:rPr>
        <w:t xml:space="preserve">administrateur </w:t>
      </w:r>
      <w:r w:rsidRPr="00500B7D">
        <w:rPr>
          <w:rFonts w:eastAsia="Arial" w:cs="Arial"/>
          <w:bdr w:val="nil"/>
          <w:lang w:val="fr-FR" w:eastAsia="fr-BE"/>
        </w:rPr>
        <w:t>ou gérant</w:t>
      </w:r>
      <w:r>
        <w:rPr>
          <w:rFonts w:eastAsia="Arial" w:cs="Arial"/>
          <w:bdr w:val="nil"/>
          <w:lang w:val="fr-FR" w:eastAsia="fr-BE"/>
        </w:rPr>
        <w:t xml:space="preserve"> pourra, s’il répond aux conditions édictées par </w:t>
      </w:r>
      <w:r w:rsidRPr="00500B7D">
        <w:rPr>
          <w:rFonts w:eastAsia="Arial" w:cs="Arial"/>
          <w:bdr w:val="nil"/>
          <w:lang w:val="fr-FR" w:eastAsia="fr-BE"/>
        </w:rPr>
        <w:t xml:space="preserve">l'établissement de crédit ou </w:t>
      </w:r>
      <w:r>
        <w:rPr>
          <w:rFonts w:eastAsia="Arial" w:cs="Arial"/>
          <w:bdr w:val="nil"/>
          <w:lang w:val="fr-FR" w:eastAsia="fr-BE"/>
        </w:rPr>
        <w:t>l’</w:t>
      </w:r>
      <w:r w:rsidRPr="00500B7D">
        <w:rPr>
          <w:rFonts w:eastAsia="Arial" w:cs="Arial"/>
          <w:bdr w:val="nil"/>
          <w:lang w:val="fr-FR" w:eastAsia="fr-BE"/>
        </w:rPr>
        <w:t xml:space="preserve">entreprise d'assurance </w:t>
      </w:r>
      <w:r>
        <w:rPr>
          <w:rFonts w:eastAsia="Arial" w:cs="Arial"/>
          <w:bdr w:val="nil"/>
          <w:lang w:val="fr-FR" w:eastAsia="fr-BE"/>
        </w:rPr>
        <w:t xml:space="preserve">pour </w:t>
      </w:r>
      <w:r w:rsidRPr="00500B7D">
        <w:rPr>
          <w:rFonts w:eastAsia="Arial" w:cs="Arial"/>
          <w:bdr w:val="nil"/>
          <w:lang w:val="fr-FR" w:eastAsia="fr-BE"/>
        </w:rPr>
        <w:t xml:space="preserve">être considéré comme </w:t>
      </w:r>
      <w:r>
        <w:rPr>
          <w:rFonts w:eastAsia="Arial" w:cs="Arial"/>
          <w:bdr w:val="nil"/>
          <w:lang w:val="fr-FR" w:eastAsia="fr-BE"/>
        </w:rPr>
        <w:t xml:space="preserve">un </w:t>
      </w:r>
      <w:r w:rsidRPr="00500B7D">
        <w:rPr>
          <w:rFonts w:eastAsia="Arial" w:cs="Arial"/>
          <w:bdr w:val="nil"/>
          <w:lang w:val="fr-FR" w:eastAsia="fr-BE"/>
        </w:rPr>
        <w:t>client fidèle</w:t>
      </w:r>
      <w:r>
        <w:rPr>
          <w:rFonts w:eastAsia="Arial" w:cs="Arial"/>
          <w:bdr w:val="nil"/>
          <w:lang w:val="fr-FR" w:eastAsia="fr-BE"/>
        </w:rPr>
        <w:t>, bénéficier du taux d’intérêt préférentiel éventuellement accordé à ce type de clients ; il ne pourra par contre pas bénéficier du taux de faveur applicable au personnel</w:t>
      </w:r>
      <w:r w:rsidRPr="00500B7D">
        <w:rPr>
          <w:rFonts w:eastAsia="Arial" w:cs="Arial"/>
          <w:bdr w:val="nil"/>
          <w:lang w:val="fr-FR" w:eastAsia="fr-BE"/>
        </w:rPr>
        <w:t>.</w:t>
      </w:r>
    </w:p>
    <w:p w:rsidR="000E5C0D" w:rsidRPr="00500B7D" w:rsidRDefault="000E5C0D" w:rsidP="000E5C0D">
      <w:pPr>
        <w:tabs>
          <w:tab w:val="clear" w:pos="284"/>
        </w:tabs>
        <w:jc w:val="both"/>
        <w:rPr>
          <w:lang w:val="fr-FR"/>
        </w:rPr>
      </w:pPr>
    </w:p>
    <w:p w:rsidR="000E5C0D" w:rsidRPr="00500B7D" w:rsidRDefault="000E5C0D" w:rsidP="000E5C0D">
      <w:pPr>
        <w:tabs>
          <w:tab w:val="clear" w:pos="284"/>
        </w:tabs>
        <w:jc w:val="both"/>
        <w:rPr>
          <w:lang w:val="fr-FR"/>
        </w:rPr>
      </w:pPr>
      <w:r w:rsidRPr="00500B7D">
        <w:rPr>
          <w:rFonts w:eastAsia="Arial" w:cs="Arial"/>
          <w:bdr w:val="nil"/>
          <w:lang w:val="fr-FR" w:eastAsia="fr-BE"/>
        </w:rPr>
        <w:t xml:space="preserve">Lorsque ces opérations ne sont pas conclues </w:t>
      </w:r>
      <w:r>
        <w:rPr>
          <w:rFonts w:eastAsia="Arial" w:cs="Arial"/>
          <w:bdr w:val="nil"/>
          <w:lang w:val="fr-FR" w:eastAsia="fr-BE"/>
        </w:rPr>
        <w:t>aux conditions normales du</w:t>
      </w:r>
      <w:r w:rsidRPr="00500B7D">
        <w:rPr>
          <w:rFonts w:eastAsia="Arial" w:cs="Arial"/>
          <w:bdr w:val="nil"/>
          <w:lang w:val="fr-FR" w:eastAsia="fr-BE"/>
        </w:rPr>
        <w:t xml:space="preserve"> marché, l</w:t>
      </w:r>
      <w:r>
        <w:rPr>
          <w:rFonts w:eastAsia="Arial" w:cs="Arial"/>
          <w:bdr w:val="nil"/>
          <w:lang w:val="fr-FR" w:eastAsia="fr-BE"/>
        </w:rPr>
        <w:t xml:space="preserve">’autorité de contrôle </w:t>
      </w:r>
      <w:r w:rsidRPr="00500B7D">
        <w:rPr>
          <w:rFonts w:eastAsia="Arial" w:cs="Arial"/>
          <w:bdr w:val="nil"/>
          <w:lang w:val="fr-FR" w:eastAsia="fr-BE"/>
        </w:rPr>
        <w:t>peut</w:t>
      </w:r>
      <w:r>
        <w:rPr>
          <w:rFonts w:eastAsia="Arial" w:cs="Arial"/>
          <w:bdr w:val="nil"/>
          <w:lang w:val="fr-FR" w:eastAsia="fr-BE"/>
        </w:rPr>
        <w:t xml:space="preserve"> exiger</w:t>
      </w:r>
      <w:r w:rsidRPr="00500B7D">
        <w:rPr>
          <w:rFonts w:ascii="Times New Roman" w:hAnsi="Times New Roman"/>
          <w:sz w:val="24"/>
          <w:szCs w:val="24"/>
          <w:bdr w:val="nil"/>
          <w:lang w:val="fr-FR" w:eastAsia="fr-BE"/>
        </w:rPr>
        <w:t xml:space="preserve"> en </w:t>
      </w:r>
      <w:r w:rsidRPr="00500B7D">
        <w:rPr>
          <w:rFonts w:eastAsia="Arial" w:cs="Arial"/>
          <w:bdr w:val="nil"/>
          <w:lang w:val="fr-FR" w:eastAsia="fr-BE"/>
        </w:rPr>
        <w:t>vertu de la loi</w:t>
      </w:r>
      <w:r w:rsidRPr="00500B7D">
        <w:rPr>
          <w:rFonts w:ascii="Times New Roman" w:hAnsi="Times New Roman"/>
          <w:sz w:val="24"/>
          <w:szCs w:val="24"/>
          <w:bdr w:val="nil"/>
          <w:lang w:val="fr-FR" w:eastAsia="fr-BE"/>
        </w:rPr>
        <w:t xml:space="preserve"> </w:t>
      </w:r>
      <w:r w:rsidRPr="00500B7D">
        <w:rPr>
          <w:rFonts w:eastAsia="Arial" w:cs="Arial"/>
          <w:bdr w:val="nil"/>
          <w:lang w:val="fr-FR" w:eastAsia="fr-BE"/>
        </w:rPr>
        <w:t>que les conditions convenues so</w:t>
      </w:r>
      <w:r>
        <w:rPr>
          <w:rFonts w:eastAsia="Arial" w:cs="Arial"/>
          <w:bdr w:val="nil"/>
          <w:lang w:val="fr-FR" w:eastAsia="fr-BE"/>
        </w:rPr>
        <w:t>ie</w:t>
      </w:r>
      <w:r w:rsidRPr="00500B7D">
        <w:rPr>
          <w:rFonts w:eastAsia="Arial" w:cs="Arial"/>
          <w:bdr w:val="nil"/>
          <w:lang w:val="fr-FR" w:eastAsia="fr-BE"/>
        </w:rPr>
        <w:t xml:space="preserve">nt </w:t>
      </w:r>
      <w:r>
        <w:rPr>
          <w:rFonts w:eastAsia="Arial" w:cs="Arial"/>
          <w:bdr w:val="nil"/>
          <w:lang w:val="fr-FR" w:eastAsia="fr-BE"/>
        </w:rPr>
        <w:t xml:space="preserve">adaptées </w:t>
      </w:r>
      <w:r w:rsidRPr="00500B7D">
        <w:rPr>
          <w:rFonts w:eastAsia="Arial" w:cs="Arial"/>
          <w:bdr w:val="nil"/>
          <w:lang w:val="fr-FR" w:eastAsia="fr-BE"/>
        </w:rPr>
        <w:t xml:space="preserve">à la date </w:t>
      </w:r>
      <w:r>
        <w:rPr>
          <w:rFonts w:eastAsia="Arial" w:cs="Arial"/>
          <w:bdr w:val="nil"/>
          <w:lang w:val="fr-FR" w:eastAsia="fr-BE"/>
        </w:rPr>
        <w:t xml:space="preserve">à laquelle </w:t>
      </w:r>
      <w:r w:rsidRPr="00500B7D">
        <w:rPr>
          <w:rFonts w:eastAsia="Arial" w:cs="Arial"/>
          <w:bdr w:val="nil"/>
          <w:lang w:val="fr-FR" w:eastAsia="fr-BE"/>
        </w:rPr>
        <w:t xml:space="preserve">ces </w:t>
      </w:r>
      <w:r>
        <w:rPr>
          <w:rFonts w:eastAsia="Arial" w:cs="Arial"/>
          <w:bdr w:val="nil"/>
          <w:lang w:val="fr-FR"/>
        </w:rPr>
        <w:t>opérations</w:t>
      </w:r>
      <w:r w:rsidRPr="00500B7D">
        <w:rPr>
          <w:rFonts w:eastAsia="Arial" w:cs="Arial"/>
          <w:bdr w:val="nil"/>
          <w:lang w:val="fr-FR" w:eastAsia="fr-BE"/>
        </w:rPr>
        <w:t xml:space="preserve"> ont </w:t>
      </w:r>
      <w:r>
        <w:rPr>
          <w:rFonts w:eastAsia="Arial" w:cs="Arial"/>
          <w:bdr w:val="nil"/>
          <w:lang w:val="fr-FR" w:eastAsia="fr-BE"/>
        </w:rPr>
        <w:t xml:space="preserve">sorti leurs </w:t>
      </w:r>
      <w:r w:rsidRPr="00500B7D">
        <w:rPr>
          <w:rFonts w:eastAsia="Arial" w:cs="Arial"/>
          <w:bdr w:val="nil"/>
          <w:lang w:val="fr-FR" w:eastAsia="fr-BE"/>
        </w:rPr>
        <w:t>effet</w:t>
      </w:r>
      <w:r>
        <w:rPr>
          <w:rFonts w:eastAsia="Arial" w:cs="Arial"/>
          <w:bdr w:val="nil"/>
          <w:lang w:val="fr-FR" w:eastAsia="fr-BE"/>
        </w:rPr>
        <w:t>s</w:t>
      </w:r>
      <w:r w:rsidRPr="00500B7D">
        <w:rPr>
          <w:rFonts w:eastAsia="Arial" w:cs="Arial"/>
          <w:bdr w:val="nil"/>
          <w:lang w:val="fr-FR" w:eastAsia="fr-BE"/>
        </w:rPr>
        <w:t xml:space="preserve">. </w:t>
      </w:r>
      <w:r>
        <w:rPr>
          <w:rFonts w:eastAsia="Arial" w:cs="Arial"/>
          <w:bdr w:val="nil"/>
          <w:lang w:val="fr-FR" w:eastAsia="fr-BE"/>
        </w:rPr>
        <w:t xml:space="preserve">À défaut, </w:t>
      </w:r>
      <w:r w:rsidRPr="00500B7D">
        <w:rPr>
          <w:rFonts w:eastAsia="Arial" w:cs="Arial"/>
          <w:bdr w:val="nil"/>
          <w:lang w:val="fr-FR" w:eastAsia="fr-BE"/>
        </w:rPr>
        <w:t xml:space="preserve">les membres de l'organe </w:t>
      </w:r>
      <w:r>
        <w:rPr>
          <w:rFonts w:eastAsia="Arial" w:cs="Arial"/>
          <w:bdr w:val="nil"/>
          <w:lang w:val="fr-FR" w:eastAsia="fr-BE"/>
        </w:rPr>
        <w:t xml:space="preserve">légal d’administration </w:t>
      </w:r>
      <w:r w:rsidRPr="00500B7D">
        <w:rPr>
          <w:rFonts w:eastAsia="Arial" w:cs="Arial"/>
          <w:bdr w:val="nil"/>
          <w:lang w:val="fr-FR" w:eastAsia="fr-BE"/>
        </w:rPr>
        <w:t xml:space="preserve">qui ont pris la décision </w:t>
      </w:r>
      <w:r>
        <w:rPr>
          <w:rFonts w:eastAsia="Arial" w:cs="Arial"/>
          <w:bdr w:val="nil"/>
          <w:lang w:val="fr-FR" w:eastAsia="fr-BE"/>
        </w:rPr>
        <w:t xml:space="preserve">sont redevables </w:t>
      </w:r>
      <w:r w:rsidRPr="00500B7D">
        <w:rPr>
          <w:rFonts w:eastAsia="Arial" w:cs="Arial"/>
          <w:bdr w:val="nil"/>
          <w:lang w:val="fr-FR" w:eastAsia="fr-BE"/>
        </w:rPr>
        <w:t xml:space="preserve">conjointement et solidairement </w:t>
      </w:r>
      <w:r>
        <w:rPr>
          <w:rFonts w:eastAsia="Arial" w:cs="Arial"/>
          <w:bdr w:val="nil"/>
          <w:lang w:val="fr-FR" w:eastAsia="fr-BE"/>
        </w:rPr>
        <w:t xml:space="preserve">à </w:t>
      </w:r>
      <w:r w:rsidRPr="00500B7D">
        <w:rPr>
          <w:rFonts w:eastAsia="Arial" w:cs="Arial"/>
          <w:bdr w:val="nil"/>
          <w:lang w:val="fr-FR" w:eastAsia="fr-BE"/>
        </w:rPr>
        <w:t>l'</w:t>
      </w:r>
      <w:r>
        <w:rPr>
          <w:rFonts w:eastAsia="Arial" w:cs="Arial"/>
          <w:bdr w:val="nil"/>
          <w:lang w:val="fr-FR" w:eastAsia="fr-BE"/>
        </w:rPr>
        <w:t xml:space="preserve">établissement </w:t>
      </w:r>
      <w:r w:rsidRPr="00500B7D">
        <w:rPr>
          <w:rFonts w:eastAsia="Arial" w:cs="Arial"/>
          <w:bdr w:val="nil"/>
          <w:lang w:val="fr-FR" w:eastAsia="fr-BE"/>
        </w:rPr>
        <w:t>de la différence.</w:t>
      </w:r>
    </w:p>
    <w:p w:rsidR="000E5C0D" w:rsidRPr="00500B7D" w:rsidRDefault="000E5C0D" w:rsidP="000E5C0D">
      <w:pPr>
        <w:tabs>
          <w:tab w:val="clear" w:pos="284"/>
        </w:tabs>
        <w:jc w:val="both"/>
        <w:rPr>
          <w:lang w:val="fr-FR"/>
        </w:rPr>
      </w:pPr>
    </w:p>
    <w:p w:rsidR="000E5C0D" w:rsidRDefault="000E5C0D" w:rsidP="000E5C0D">
      <w:pPr>
        <w:tabs>
          <w:tab w:val="clear" w:pos="284"/>
        </w:tabs>
        <w:jc w:val="both"/>
        <w:rPr>
          <w:rFonts w:eastAsia="Arial" w:cs="Arial"/>
          <w:bdr w:val="nil"/>
          <w:lang w:val="fr-FR" w:eastAsia="fr-BE"/>
        </w:rPr>
      </w:pPr>
      <w:r w:rsidRPr="00500B7D">
        <w:rPr>
          <w:rFonts w:eastAsia="Arial" w:cs="Arial"/>
          <w:bdr w:val="nil"/>
          <w:lang w:val="fr-FR" w:eastAsia="fr-BE"/>
        </w:rPr>
        <w:t>L</w:t>
      </w:r>
      <w:r>
        <w:rPr>
          <w:rFonts w:eastAsia="Arial" w:cs="Arial"/>
          <w:bdr w:val="nil"/>
          <w:lang w:val="fr-FR" w:eastAsia="fr-BE"/>
        </w:rPr>
        <w:t xml:space="preserve">’autorité de contrôle </w:t>
      </w:r>
      <w:r w:rsidRPr="00500B7D">
        <w:rPr>
          <w:rFonts w:eastAsia="Arial" w:cs="Arial"/>
          <w:bdr w:val="nil"/>
          <w:lang w:val="fr-FR" w:eastAsia="fr-BE"/>
        </w:rPr>
        <w:t xml:space="preserve">recommande </w:t>
      </w:r>
      <w:r>
        <w:rPr>
          <w:rFonts w:eastAsia="Arial" w:cs="Arial"/>
          <w:bdr w:val="nil"/>
          <w:lang w:val="fr-FR" w:eastAsia="fr-BE"/>
        </w:rPr>
        <w:t xml:space="preserve">aux </w:t>
      </w:r>
      <w:r w:rsidRPr="00500B7D">
        <w:rPr>
          <w:rFonts w:eastAsia="Arial" w:cs="Arial"/>
          <w:bdr w:val="nil"/>
          <w:lang w:val="fr-FR" w:eastAsia="fr-BE"/>
        </w:rPr>
        <w:t xml:space="preserve">établissements de crédit et </w:t>
      </w:r>
      <w:r>
        <w:rPr>
          <w:rFonts w:eastAsia="Arial" w:cs="Arial"/>
          <w:bdr w:val="nil"/>
          <w:lang w:val="fr-FR" w:eastAsia="fr-BE"/>
        </w:rPr>
        <w:t xml:space="preserve">aux entreprises </w:t>
      </w:r>
      <w:r w:rsidRPr="00500B7D">
        <w:rPr>
          <w:rFonts w:eastAsia="Arial" w:cs="Arial"/>
          <w:bdr w:val="nil"/>
          <w:lang w:val="fr-FR" w:eastAsia="fr-BE"/>
        </w:rPr>
        <w:t xml:space="preserve">d'assurance </w:t>
      </w:r>
      <w:r>
        <w:rPr>
          <w:rFonts w:eastAsia="Arial" w:cs="Arial"/>
          <w:bdr w:val="nil"/>
          <w:lang w:val="fr-FR" w:eastAsia="fr-BE"/>
        </w:rPr>
        <w:t>d’établir</w:t>
      </w:r>
      <w:r w:rsidRPr="00500B7D">
        <w:rPr>
          <w:rFonts w:eastAsia="Arial" w:cs="Arial"/>
          <w:bdr w:val="nil"/>
          <w:lang w:val="fr-FR" w:eastAsia="fr-BE"/>
        </w:rPr>
        <w:t xml:space="preserve"> un code de conduite </w:t>
      </w:r>
      <w:r>
        <w:rPr>
          <w:rFonts w:eastAsia="Arial" w:cs="Arial"/>
          <w:bdr w:val="nil"/>
          <w:lang w:val="fr-FR" w:eastAsia="fr-BE"/>
        </w:rPr>
        <w:t xml:space="preserve">édictant avec précision </w:t>
      </w:r>
      <w:r w:rsidRPr="00500B7D">
        <w:rPr>
          <w:rFonts w:eastAsia="Arial" w:cs="Arial"/>
          <w:bdr w:val="nil"/>
          <w:lang w:val="fr-FR" w:eastAsia="fr-BE"/>
        </w:rPr>
        <w:t xml:space="preserve">la nature des prêts </w:t>
      </w:r>
      <w:r>
        <w:rPr>
          <w:rFonts w:eastAsia="Arial" w:cs="Arial"/>
          <w:bdr w:val="nil"/>
          <w:lang w:val="fr-FR" w:eastAsia="fr-BE"/>
        </w:rPr>
        <w:t xml:space="preserve">qui peuvent </w:t>
      </w:r>
      <w:r w:rsidRPr="00500B7D">
        <w:rPr>
          <w:rFonts w:eastAsia="Arial" w:cs="Arial"/>
          <w:bdr w:val="nil"/>
          <w:lang w:val="fr-FR" w:eastAsia="fr-BE"/>
        </w:rPr>
        <w:t>être accordé</w:t>
      </w:r>
      <w:r>
        <w:rPr>
          <w:rFonts w:eastAsia="Arial" w:cs="Arial"/>
          <w:bdr w:val="nil"/>
          <w:lang w:val="fr-FR" w:eastAsia="fr-BE"/>
        </w:rPr>
        <w:t>s aux personnes, entreprises et institutions visées</w:t>
      </w:r>
      <w:r w:rsidRPr="00500B7D">
        <w:rPr>
          <w:rFonts w:eastAsia="Arial" w:cs="Arial"/>
          <w:bdr w:val="nil"/>
          <w:lang w:val="fr-FR" w:eastAsia="fr-BE"/>
        </w:rPr>
        <w:t xml:space="preserve"> à l'article</w:t>
      </w:r>
      <w:r>
        <w:rPr>
          <w:rFonts w:eastAsia="Arial" w:cs="Arial"/>
          <w:bdr w:val="nil"/>
          <w:lang w:val="fr-FR" w:eastAsia="fr-BE"/>
        </w:rPr>
        <w:t> </w:t>
      </w:r>
      <w:r w:rsidRPr="00500B7D">
        <w:rPr>
          <w:rFonts w:eastAsia="Arial" w:cs="Arial"/>
          <w:bdr w:val="nil"/>
          <w:lang w:val="fr-FR" w:eastAsia="fr-BE"/>
        </w:rPr>
        <w:t>72, §</w:t>
      </w:r>
      <w:r>
        <w:rPr>
          <w:rFonts w:eastAsia="Arial" w:cs="Arial"/>
          <w:bdr w:val="nil"/>
          <w:lang w:val="fr-FR" w:eastAsia="fr-BE"/>
        </w:rPr>
        <w:t> </w:t>
      </w:r>
      <w:r w:rsidRPr="00500B7D">
        <w:rPr>
          <w:rFonts w:eastAsia="Arial" w:cs="Arial"/>
          <w:bdr w:val="nil"/>
          <w:lang w:val="fr-FR" w:eastAsia="fr-BE"/>
        </w:rPr>
        <w:t>1</w:t>
      </w:r>
      <w:r w:rsidRPr="000B3CBD">
        <w:rPr>
          <w:rFonts w:eastAsia="Arial" w:cs="Arial"/>
          <w:bdr w:val="nil"/>
          <w:vertAlign w:val="superscript"/>
          <w:lang w:val="fr-FR" w:eastAsia="fr-BE"/>
        </w:rPr>
        <w:t>er</w:t>
      </w:r>
      <w:r w:rsidRPr="00500B7D">
        <w:rPr>
          <w:rFonts w:eastAsia="Arial" w:cs="Arial"/>
          <w:bdr w:val="nil"/>
          <w:lang w:val="fr-FR" w:eastAsia="fr-BE"/>
        </w:rPr>
        <w:t>, 1°</w:t>
      </w:r>
      <w:r>
        <w:rPr>
          <w:rFonts w:eastAsia="Arial" w:cs="Arial"/>
          <w:bdr w:val="nil"/>
          <w:lang w:val="fr-FR" w:eastAsia="fr-BE"/>
        </w:rPr>
        <w:t xml:space="preserve"> à </w:t>
      </w:r>
      <w:r w:rsidRPr="00500B7D">
        <w:rPr>
          <w:rFonts w:eastAsia="Arial" w:cs="Arial"/>
          <w:bdr w:val="nil"/>
          <w:lang w:val="fr-FR" w:eastAsia="fr-BE"/>
        </w:rPr>
        <w:t>4°</w:t>
      </w:r>
      <w:r>
        <w:rPr>
          <w:rFonts w:eastAsia="Arial" w:cs="Arial"/>
          <w:bdr w:val="nil"/>
          <w:lang w:val="fr-FR" w:eastAsia="fr-BE"/>
        </w:rPr>
        <w:t>,</w:t>
      </w:r>
      <w:r w:rsidRPr="00500B7D">
        <w:rPr>
          <w:rFonts w:eastAsia="Arial" w:cs="Arial"/>
          <w:bdr w:val="nil"/>
          <w:lang w:val="fr-FR" w:eastAsia="fr-BE"/>
        </w:rPr>
        <w:t xml:space="preserve"> de la loi bancaire et </w:t>
      </w:r>
      <w:r>
        <w:rPr>
          <w:rFonts w:eastAsia="Arial" w:cs="Arial"/>
          <w:bdr w:val="nil"/>
          <w:lang w:val="fr-FR" w:eastAsia="fr-BE"/>
        </w:rPr>
        <w:t xml:space="preserve">à </w:t>
      </w:r>
      <w:r w:rsidRPr="00500B7D">
        <w:rPr>
          <w:rFonts w:eastAsia="Arial" w:cs="Arial"/>
          <w:bdr w:val="nil"/>
          <w:lang w:val="fr-FR" w:eastAsia="fr-BE"/>
        </w:rPr>
        <w:t>l'article</w:t>
      </w:r>
      <w:r>
        <w:rPr>
          <w:rFonts w:eastAsia="Arial" w:cs="Arial"/>
          <w:bdr w:val="nil"/>
          <w:lang w:val="fr-FR" w:eastAsia="fr-BE"/>
        </w:rPr>
        <w:t> </w:t>
      </w:r>
      <w:r w:rsidRPr="00500B7D">
        <w:rPr>
          <w:rFonts w:eastAsia="Arial" w:cs="Arial"/>
          <w:bdr w:val="nil"/>
          <w:lang w:val="fr-FR" w:eastAsia="fr-BE"/>
        </w:rPr>
        <w:t>93, §</w:t>
      </w:r>
      <w:r>
        <w:rPr>
          <w:rFonts w:eastAsia="Arial" w:cs="Arial"/>
          <w:bdr w:val="nil"/>
          <w:lang w:val="fr-FR" w:eastAsia="fr-BE"/>
        </w:rPr>
        <w:t> </w:t>
      </w:r>
      <w:r w:rsidRPr="00500B7D">
        <w:rPr>
          <w:rFonts w:eastAsia="Arial" w:cs="Arial"/>
          <w:bdr w:val="nil"/>
          <w:lang w:val="fr-FR" w:eastAsia="fr-BE"/>
        </w:rPr>
        <w:t>1</w:t>
      </w:r>
      <w:r w:rsidRPr="000B3CBD">
        <w:rPr>
          <w:rFonts w:eastAsia="Arial" w:cs="Arial"/>
          <w:bdr w:val="nil"/>
          <w:vertAlign w:val="superscript"/>
          <w:lang w:val="fr-FR" w:eastAsia="fr-BE"/>
        </w:rPr>
        <w:t>er</w:t>
      </w:r>
      <w:r w:rsidRPr="00500B7D">
        <w:rPr>
          <w:rFonts w:eastAsia="Arial" w:cs="Arial"/>
          <w:bdr w:val="nil"/>
          <w:lang w:val="fr-FR" w:eastAsia="fr-BE"/>
        </w:rPr>
        <w:t>, alinéa</w:t>
      </w:r>
      <w:r>
        <w:rPr>
          <w:rFonts w:eastAsia="Arial" w:cs="Arial"/>
          <w:bdr w:val="nil"/>
          <w:lang w:val="fr-FR" w:eastAsia="fr-BE"/>
        </w:rPr>
        <w:t> 1</w:t>
      </w:r>
      <w:r w:rsidRPr="000B3CBD">
        <w:rPr>
          <w:rFonts w:eastAsia="Arial" w:cs="Arial"/>
          <w:bdr w:val="nil"/>
          <w:vertAlign w:val="superscript"/>
          <w:lang w:val="fr-FR" w:eastAsia="fr-BE"/>
        </w:rPr>
        <w:t>er</w:t>
      </w:r>
      <w:r w:rsidRPr="00500B7D">
        <w:rPr>
          <w:rFonts w:eastAsia="Arial" w:cs="Arial"/>
          <w:bdr w:val="nil"/>
          <w:lang w:val="fr-FR" w:eastAsia="fr-BE"/>
        </w:rPr>
        <w:t>, 1°</w:t>
      </w:r>
      <w:r>
        <w:rPr>
          <w:rFonts w:eastAsia="Arial" w:cs="Arial"/>
          <w:bdr w:val="nil"/>
          <w:lang w:val="fr-FR" w:eastAsia="fr-BE"/>
        </w:rPr>
        <w:t xml:space="preserve"> à </w:t>
      </w:r>
      <w:r w:rsidRPr="00500B7D">
        <w:rPr>
          <w:rFonts w:eastAsia="Arial" w:cs="Arial"/>
          <w:bdr w:val="nil"/>
          <w:lang w:val="fr-FR" w:eastAsia="fr-BE"/>
        </w:rPr>
        <w:t>4°.</w:t>
      </w:r>
      <w:r>
        <w:rPr>
          <w:rFonts w:eastAsia="Arial" w:cs="Arial"/>
          <w:bdr w:val="nil"/>
          <w:lang w:val="fr-FR" w:eastAsia="fr-BE"/>
        </w:rPr>
        <w:t xml:space="preserve"> Par ailleurs, l</w:t>
      </w:r>
      <w:r w:rsidRPr="005859D3">
        <w:rPr>
          <w:rFonts w:eastAsia="Arial" w:cs="Arial"/>
          <w:bdr w:val="nil"/>
          <w:lang w:val="fr-FR" w:eastAsia="fr-BE"/>
        </w:rPr>
        <w:t>es procédures de</w:t>
      </w:r>
      <w:r>
        <w:rPr>
          <w:rFonts w:eastAsia="Arial" w:cs="Arial"/>
          <w:bdr w:val="nil"/>
          <w:lang w:val="fr-FR" w:eastAsia="fr-BE"/>
        </w:rPr>
        <w:t xml:space="preserve"> </w:t>
      </w:r>
      <w:r w:rsidRPr="005859D3">
        <w:rPr>
          <w:rFonts w:eastAsia="Arial" w:cs="Arial"/>
          <w:bdr w:val="nil"/>
          <w:lang w:val="fr-FR" w:eastAsia="fr-BE"/>
        </w:rPr>
        <w:t>d</w:t>
      </w:r>
      <w:r>
        <w:rPr>
          <w:rFonts w:eastAsia="Arial" w:cs="Arial"/>
          <w:bdr w:val="nil"/>
          <w:lang w:val="fr-FR" w:eastAsia="fr-BE"/>
        </w:rPr>
        <w:t>é</w:t>
      </w:r>
      <w:r w:rsidRPr="005859D3">
        <w:rPr>
          <w:rFonts w:eastAsia="Arial" w:cs="Arial"/>
          <w:bdr w:val="nil"/>
          <w:lang w:val="fr-FR" w:eastAsia="fr-BE"/>
        </w:rPr>
        <w:t xml:space="preserve">cision et de </w:t>
      </w:r>
      <w:r>
        <w:rPr>
          <w:rFonts w:eastAsia="Arial" w:cs="Arial"/>
          <w:bdr w:val="nil"/>
          <w:lang w:val="fr-FR" w:eastAsia="fr-BE"/>
        </w:rPr>
        <w:t xml:space="preserve">contrôle </w:t>
      </w:r>
      <w:r w:rsidRPr="005859D3">
        <w:rPr>
          <w:rFonts w:eastAsia="Arial" w:cs="Arial"/>
          <w:bdr w:val="nil"/>
          <w:lang w:val="fr-FR" w:eastAsia="fr-BE"/>
        </w:rPr>
        <w:t xml:space="preserve">de nature </w:t>
      </w:r>
      <w:r>
        <w:rPr>
          <w:rFonts w:eastAsia="Arial" w:cs="Arial"/>
          <w:bdr w:val="nil"/>
          <w:lang w:val="fr-FR" w:eastAsia="fr-BE"/>
        </w:rPr>
        <w:t>à</w:t>
      </w:r>
      <w:r w:rsidRPr="005859D3">
        <w:rPr>
          <w:rFonts w:eastAsia="Arial" w:cs="Arial"/>
          <w:bdr w:val="nil"/>
          <w:lang w:val="fr-FR" w:eastAsia="fr-BE"/>
        </w:rPr>
        <w:t xml:space="preserve"> garan</w:t>
      </w:r>
      <w:r>
        <w:rPr>
          <w:rFonts w:eastAsia="Arial" w:cs="Arial"/>
          <w:bdr w:val="nil"/>
          <w:lang w:val="fr-FR" w:eastAsia="fr-BE"/>
        </w:rPr>
        <w:t>tir l’autonomie de jugement et à é</w:t>
      </w:r>
      <w:r w:rsidRPr="005859D3">
        <w:rPr>
          <w:rFonts w:eastAsia="Arial" w:cs="Arial"/>
          <w:bdr w:val="nil"/>
          <w:lang w:val="fr-FR" w:eastAsia="fr-BE"/>
        </w:rPr>
        <w:t xml:space="preserve">viter les conflits d’intérêts devront </w:t>
      </w:r>
      <w:r>
        <w:rPr>
          <w:rFonts w:eastAsia="Arial" w:cs="Arial"/>
          <w:bdr w:val="nil"/>
          <w:lang w:val="fr-FR" w:eastAsia="fr-BE"/>
        </w:rPr>
        <w:t>ê</w:t>
      </w:r>
      <w:r w:rsidRPr="005859D3">
        <w:rPr>
          <w:rFonts w:eastAsia="Arial" w:cs="Arial"/>
          <w:bdr w:val="nil"/>
          <w:lang w:val="fr-FR" w:eastAsia="fr-BE"/>
        </w:rPr>
        <w:t xml:space="preserve">tre </w:t>
      </w:r>
      <w:r>
        <w:rPr>
          <w:rFonts w:eastAsia="Arial" w:cs="Arial"/>
          <w:bdr w:val="nil"/>
          <w:lang w:val="fr-FR" w:eastAsia="fr-BE"/>
        </w:rPr>
        <w:t>é</w:t>
      </w:r>
      <w:r w:rsidRPr="005859D3">
        <w:rPr>
          <w:rFonts w:eastAsia="Arial" w:cs="Arial"/>
          <w:bdr w:val="nil"/>
          <w:lang w:val="fr-FR" w:eastAsia="fr-BE"/>
        </w:rPr>
        <w:t xml:space="preserve">tablies par </w:t>
      </w:r>
      <w:r>
        <w:rPr>
          <w:rFonts w:eastAsia="Arial" w:cs="Arial"/>
          <w:bdr w:val="nil"/>
          <w:lang w:val="fr-FR" w:eastAsia="fr-BE"/>
        </w:rPr>
        <w:t>é</w:t>
      </w:r>
      <w:r w:rsidRPr="005859D3">
        <w:rPr>
          <w:rFonts w:eastAsia="Arial" w:cs="Arial"/>
          <w:bdr w:val="nil"/>
          <w:lang w:val="fr-FR" w:eastAsia="fr-BE"/>
        </w:rPr>
        <w:t xml:space="preserve">crit et mises </w:t>
      </w:r>
      <w:r>
        <w:rPr>
          <w:rFonts w:eastAsia="Arial" w:cs="Arial"/>
          <w:bdr w:val="nil"/>
          <w:lang w:val="fr-FR" w:eastAsia="fr-BE"/>
        </w:rPr>
        <w:t xml:space="preserve">à </w:t>
      </w:r>
      <w:r w:rsidRPr="005859D3">
        <w:rPr>
          <w:rFonts w:eastAsia="Arial" w:cs="Arial"/>
          <w:bdr w:val="nil"/>
          <w:lang w:val="fr-FR" w:eastAsia="fr-BE"/>
        </w:rPr>
        <w:t xml:space="preserve">la disposition </w:t>
      </w:r>
      <w:r>
        <w:rPr>
          <w:rFonts w:eastAsia="Arial" w:cs="Arial"/>
          <w:bdr w:val="nil"/>
          <w:lang w:val="fr-FR" w:eastAsia="fr-BE"/>
        </w:rPr>
        <w:t xml:space="preserve">de l’autorité de contrôle et </w:t>
      </w:r>
      <w:r w:rsidRPr="005859D3">
        <w:rPr>
          <w:rFonts w:eastAsia="Arial" w:cs="Arial"/>
          <w:bdr w:val="nil"/>
          <w:lang w:val="fr-FR" w:eastAsia="fr-BE"/>
        </w:rPr>
        <w:t>des r</w:t>
      </w:r>
      <w:r>
        <w:rPr>
          <w:rFonts w:eastAsia="Arial" w:cs="Arial"/>
          <w:bdr w:val="nil"/>
          <w:lang w:val="fr-FR" w:eastAsia="fr-BE"/>
        </w:rPr>
        <w:t>é</w:t>
      </w:r>
      <w:r w:rsidRPr="005859D3">
        <w:rPr>
          <w:rFonts w:eastAsia="Arial" w:cs="Arial"/>
          <w:bdr w:val="nil"/>
          <w:lang w:val="fr-FR" w:eastAsia="fr-BE"/>
        </w:rPr>
        <w:t>viseurs.</w:t>
      </w:r>
      <w:r>
        <w:rPr>
          <w:rFonts w:eastAsia="Arial" w:cs="Arial"/>
          <w:bdr w:val="nil"/>
          <w:lang w:val="fr-FR" w:eastAsia="fr-BE"/>
        </w:rPr>
        <w:t xml:space="preserve"> </w:t>
      </w:r>
    </w:p>
    <w:p w:rsidR="000E5C0D" w:rsidRDefault="000E5C0D" w:rsidP="000E5C0D">
      <w:pPr>
        <w:tabs>
          <w:tab w:val="clear" w:pos="284"/>
        </w:tabs>
        <w:jc w:val="both"/>
        <w:rPr>
          <w:rFonts w:eastAsia="Arial" w:cs="Arial"/>
          <w:bdr w:val="nil"/>
          <w:lang w:val="fr-FR" w:eastAsia="fr-BE"/>
        </w:rPr>
      </w:pPr>
    </w:p>
    <w:p w:rsidR="000E5C0D" w:rsidRDefault="000E5C0D" w:rsidP="000E5C0D">
      <w:pPr>
        <w:tabs>
          <w:tab w:val="clear" w:pos="284"/>
        </w:tabs>
        <w:jc w:val="both"/>
        <w:rPr>
          <w:rFonts w:eastAsia="Arial" w:cs="Arial"/>
          <w:bdr w:val="nil"/>
          <w:lang w:val="fr-FR" w:eastAsia="fr-BE"/>
        </w:rPr>
      </w:pPr>
      <w:r w:rsidRPr="00500B7D">
        <w:rPr>
          <w:rFonts w:eastAsia="Arial" w:cs="Arial"/>
          <w:bdr w:val="nil"/>
          <w:lang w:val="fr-FR" w:eastAsia="fr-BE"/>
        </w:rPr>
        <w:lastRenderedPageBreak/>
        <w:t xml:space="preserve">Les établissements de crédit et les </w:t>
      </w:r>
      <w:r>
        <w:rPr>
          <w:rFonts w:eastAsia="Arial" w:cs="Arial"/>
          <w:bdr w:val="nil"/>
          <w:lang w:val="fr-FR" w:eastAsia="fr-BE"/>
        </w:rPr>
        <w:t xml:space="preserve">entreprises </w:t>
      </w:r>
      <w:r w:rsidRPr="00500B7D">
        <w:rPr>
          <w:rFonts w:eastAsia="Arial" w:cs="Arial"/>
          <w:bdr w:val="nil"/>
          <w:lang w:val="fr-FR" w:eastAsia="fr-BE"/>
        </w:rPr>
        <w:t xml:space="preserve">d'assurance sont </w:t>
      </w:r>
      <w:r>
        <w:rPr>
          <w:rFonts w:eastAsia="Arial" w:cs="Arial"/>
          <w:bdr w:val="nil"/>
          <w:lang w:val="fr-FR" w:eastAsia="fr-BE"/>
        </w:rPr>
        <w:t xml:space="preserve">légalement </w:t>
      </w:r>
      <w:r w:rsidRPr="00500B7D">
        <w:rPr>
          <w:rFonts w:eastAsia="Arial" w:cs="Arial"/>
          <w:bdr w:val="nil"/>
          <w:lang w:val="fr-FR" w:eastAsia="fr-BE"/>
        </w:rPr>
        <w:t xml:space="preserve">tenus </w:t>
      </w:r>
      <w:r>
        <w:rPr>
          <w:rFonts w:eastAsia="Arial" w:cs="Arial"/>
          <w:bdr w:val="nil"/>
          <w:lang w:val="fr-FR" w:eastAsia="fr-BE"/>
        </w:rPr>
        <w:t xml:space="preserve">de porter à la connaissance de leur </w:t>
      </w:r>
      <w:r w:rsidRPr="00DA5B8A">
        <w:rPr>
          <w:lang w:val="fr-FR"/>
        </w:rPr>
        <w:t xml:space="preserve">organe légal d’administration </w:t>
      </w:r>
      <w:r>
        <w:rPr>
          <w:lang w:val="fr-FR"/>
        </w:rPr>
        <w:t xml:space="preserve">et </w:t>
      </w:r>
      <w:r>
        <w:rPr>
          <w:rFonts w:eastAsia="Arial" w:cs="Arial"/>
          <w:bdr w:val="nil"/>
          <w:lang w:val="fr-FR" w:eastAsia="fr-BE"/>
        </w:rPr>
        <w:t xml:space="preserve">de l’autorité de contrôle </w:t>
      </w:r>
      <w:r w:rsidRPr="00500B7D">
        <w:rPr>
          <w:rFonts w:eastAsia="Arial" w:cs="Arial"/>
          <w:bdr w:val="nil"/>
          <w:lang w:val="fr-FR" w:eastAsia="fr-BE"/>
        </w:rPr>
        <w:t xml:space="preserve">les </w:t>
      </w:r>
      <w:r w:rsidRPr="005859D3">
        <w:rPr>
          <w:rFonts w:eastAsia="Arial" w:cs="Arial"/>
          <w:bdr w:val="nil"/>
          <w:lang w:val="fr-FR" w:eastAsia="fr-BE"/>
        </w:rPr>
        <w:t>prêts, crédits et garanties accordés</w:t>
      </w:r>
      <w:r>
        <w:rPr>
          <w:rFonts w:eastAsia="Arial" w:cs="Arial"/>
          <w:bdr w:val="nil"/>
          <w:lang w:val="fr-FR" w:eastAsia="fr-BE"/>
        </w:rPr>
        <w:t xml:space="preserve">. Ce </w:t>
      </w:r>
      <w:proofErr w:type="spellStart"/>
      <w:r>
        <w:rPr>
          <w:rFonts w:eastAsia="Arial" w:cs="Arial"/>
          <w:bdr w:val="nil"/>
          <w:lang w:val="fr-FR" w:eastAsia="fr-BE"/>
        </w:rPr>
        <w:t>reporting</w:t>
      </w:r>
      <w:proofErr w:type="spellEnd"/>
      <w:r>
        <w:rPr>
          <w:rFonts w:eastAsia="Arial" w:cs="Arial"/>
          <w:bdr w:val="nil"/>
          <w:lang w:val="fr-FR" w:eastAsia="fr-BE"/>
        </w:rPr>
        <w:t xml:space="preserve"> n’a toutefois pas lieu d’être lorsque l’ensemble des </w:t>
      </w:r>
      <w:r w:rsidRPr="005859D3">
        <w:rPr>
          <w:rFonts w:eastAsia="Arial" w:cs="Arial"/>
          <w:bdr w:val="nil"/>
          <w:lang w:val="fr-FR" w:eastAsia="fr-BE"/>
        </w:rPr>
        <w:t>prêts, crédits et garanties accordés</w:t>
      </w:r>
      <w:r>
        <w:rPr>
          <w:rFonts w:eastAsia="Arial" w:cs="Arial"/>
          <w:bdr w:val="nil"/>
          <w:lang w:val="fr-FR" w:eastAsia="fr-BE"/>
        </w:rPr>
        <w:t xml:space="preserve"> à une personne, une entreprise ou une institution donnée ne dépasse pas le montant de 100 000 euros. Le plafond global applicable p</w:t>
      </w:r>
      <w:r w:rsidRPr="00500B7D">
        <w:rPr>
          <w:rFonts w:eastAsia="Arial" w:cs="Arial"/>
          <w:bdr w:val="nil"/>
          <w:lang w:val="fr-FR" w:eastAsia="fr-BE"/>
        </w:rPr>
        <w:t xml:space="preserve">ar personne, entreprise ou </w:t>
      </w:r>
      <w:r>
        <w:rPr>
          <w:rFonts w:eastAsia="Arial" w:cs="Arial"/>
          <w:bdr w:val="nil"/>
          <w:lang w:val="fr-FR" w:eastAsia="fr-BE"/>
        </w:rPr>
        <w:t>institution s’élève à</w:t>
      </w:r>
      <w:r w:rsidRPr="00500B7D">
        <w:rPr>
          <w:rFonts w:eastAsia="Arial" w:cs="Arial"/>
          <w:bdr w:val="nil"/>
          <w:lang w:val="fr-FR" w:eastAsia="fr-BE"/>
        </w:rPr>
        <w:t xml:space="preserve"> 100</w:t>
      </w:r>
      <w:r>
        <w:rPr>
          <w:rFonts w:eastAsia="Arial" w:cs="Arial"/>
          <w:bdr w:val="nil"/>
          <w:lang w:val="fr-FR" w:eastAsia="fr-BE"/>
        </w:rPr>
        <w:t> </w:t>
      </w:r>
      <w:r w:rsidRPr="00500B7D">
        <w:rPr>
          <w:rFonts w:eastAsia="Arial" w:cs="Arial"/>
          <w:bdr w:val="nil"/>
          <w:lang w:val="fr-FR" w:eastAsia="fr-BE"/>
        </w:rPr>
        <w:t>000</w:t>
      </w:r>
      <w:r>
        <w:rPr>
          <w:rFonts w:eastAsia="Arial" w:cs="Arial"/>
          <w:bdr w:val="nil"/>
          <w:lang w:val="fr-FR" w:eastAsia="fr-BE"/>
        </w:rPr>
        <w:t> euros</w:t>
      </w:r>
      <w:r w:rsidRPr="00500B7D">
        <w:rPr>
          <w:rFonts w:eastAsia="Arial" w:cs="Arial"/>
          <w:bdr w:val="nil"/>
          <w:lang w:val="fr-FR" w:eastAsia="fr-BE"/>
        </w:rPr>
        <w:t xml:space="preserve">. Il </w:t>
      </w:r>
      <w:r>
        <w:rPr>
          <w:rFonts w:eastAsia="Arial" w:cs="Arial"/>
          <w:bdr w:val="nil"/>
          <w:lang w:val="fr-FR" w:eastAsia="fr-BE"/>
        </w:rPr>
        <w:t xml:space="preserve">convient de </w:t>
      </w:r>
      <w:r w:rsidRPr="00500B7D">
        <w:rPr>
          <w:rFonts w:eastAsia="Arial" w:cs="Arial"/>
          <w:bdr w:val="nil"/>
          <w:lang w:val="fr-FR" w:eastAsia="fr-BE"/>
        </w:rPr>
        <w:t xml:space="preserve">noter que les opérations </w:t>
      </w:r>
      <w:r>
        <w:rPr>
          <w:rFonts w:eastAsia="Arial" w:cs="Arial"/>
          <w:bdr w:val="nil"/>
          <w:lang w:val="fr-FR" w:eastAsia="fr-BE"/>
        </w:rPr>
        <w:t xml:space="preserve">doivent, indépendamment de </w:t>
      </w:r>
      <w:r w:rsidRPr="00500B7D">
        <w:rPr>
          <w:rFonts w:eastAsia="Arial" w:cs="Arial"/>
          <w:bdr w:val="nil"/>
          <w:lang w:val="fr-FR" w:eastAsia="fr-BE"/>
        </w:rPr>
        <w:t xml:space="preserve">leur montant, toujours </w:t>
      </w:r>
      <w:r>
        <w:rPr>
          <w:rFonts w:eastAsia="Arial" w:cs="Arial"/>
          <w:bdr w:val="nil"/>
          <w:lang w:val="fr-FR" w:eastAsia="fr-BE"/>
        </w:rPr>
        <w:t xml:space="preserve">être conclues aux </w:t>
      </w:r>
      <w:r w:rsidRPr="00500B7D">
        <w:rPr>
          <w:rFonts w:eastAsia="Arial" w:cs="Arial"/>
          <w:bdr w:val="nil"/>
          <w:lang w:val="fr-FR" w:eastAsia="fr-BE"/>
        </w:rPr>
        <w:t>conditions normales d</w:t>
      </w:r>
      <w:r>
        <w:rPr>
          <w:rFonts w:eastAsia="Arial" w:cs="Arial"/>
          <w:bdr w:val="nil"/>
          <w:lang w:val="fr-FR" w:eastAsia="fr-BE"/>
        </w:rPr>
        <w:t>u</w:t>
      </w:r>
      <w:r w:rsidRPr="00500B7D">
        <w:rPr>
          <w:rFonts w:eastAsia="Arial" w:cs="Arial"/>
          <w:bdr w:val="nil"/>
          <w:lang w:val="fr-FR" w:eastAsia="fr-BE"/>
        </w:rPr>
        <w:t xml:space="preserve"> marché.</w:t>
      </w:r>
    </w:p>
    <w:p w:rsidR="000E5C0D" w:rsidRPr="00500B7D" w:rsidRDefault="000E5C0D" w:rsidP="000E5C0D">
      <w:pPr>
        <w:tabs>
          <w:tab w:val="clear" w:pos="284"/>
        </w:tabs>
        <w:jc w:val="both"/>
        <w:rPr>
          <w:rFonts w:cs="Arial"/>
          <w:lang w:val="fr-FR"/>
        </w:rPr>
      </w:pPr>
    </w:p>
    <w:p w:rsidR="000E5C0D" w:rsidRPr="00500B7D" w:rsidRDefault="000E5C0D" w:rsidP="000E5C0D">
      <w:pPr>
        <w:tabs>
          <w:tab w:val="clear" w:pos="284"/>
        </w:tabs>
        <w:jc w:val="both"/>
        <w:rPr>
          <w:rFonts w:cs="Arial"/>
          <w:u w:val="single"/>
          <w:lang w:val="fr-FR"/>
        </w:rPr>
      </w:pPr>
      <w:r w:rsidRPr="00500B7D">
        <w:rPr>
          <w:rFonts w:eastAsia="Arial" w:cs="Arial"/>
          <w:u w:val="single"/>
          <w:bdr w:val="nil"/>
          <w:lang w:val="fr-FR"/>
        </w:rPr>
        <w:t>Notification à l'autorité de contrôle</w:t>
      </w:r>
    </w:p>
    <w:p w:rsidR="000E5C0D" w:rsidRPr="00500B7D" w:rsidRDefault="000E5C0D" w:rsidP="000E5C0D">
      <w:pPr>
        <w:tabs>
          <w:tab w:val="clear" w:pos="284"/>
        </w:tabs>
        <w:jc w:val="both"/>
        <w:rPr>
          <w:rFonts w:cs="Arial"/>
          <w:lang w:val="fr-FR"/>
        </w:rPr>
      </w:pPr>
    </w:p>
    <w:p w:rsidR="000E5C0D" w:rsidRPr="00500B7D" w:rsidRDefault="000E5C0D" w:rsidP="000E5C0D">
      <w:pPr>
        <w:tabs>
          <w:tab w:val="clear" w:pos="284"/>
        </w:tabs>
        <w:jc w:val="both"/>
        <w:rPr>
          <w:lang w:val="fr-FR"/>
        </w:rPr>
      </w:pPr>
      <w:r>
        <w:rPr>
          <w:rFonts w:eastAsia="Arial" w:cs="Arial"/>
          <w:bdr w:val="nil"/>
          <w:lang w:val="fr-FR"/>
        </w:rPr>
        <w:t>Pour porter les opérations à la connaissance de l’autorité de contrôle</w:t>
      </w:r>
      <w:r w:rsidRPr="00500B7D">
        <w:rPr>
          <w:rFonts w:eastAsia="Arial" w:cs="Arial"/>
          <w:bdr w:val="nil"/>
          <w:lang w:val="fr-FR"/>
        </w:rPr>
        <w:t xml:space="preserve">, les </w:t>
      </w:r>
      <w:r>
        <w:rPr>
          <w:rFonts w:eastAsia="Arial" w:cs="Arial"/>
          <w:bdr w:val="nil"/>
          <w:lang w:val="fr-FR"/>
        </w:rPr>
        <w:t xml:space="preserve">établissements </w:t>
      </w:r>
      <w:r w:rsidRPr="00500B7D">
        <w:rPr>
          <w:rFonts w:eastAsia="Arial" w:cs="Arial"/>
          <w:bdr w:val="nil"/>
          <w:lang w:val="fr-FR"/>
        </w:rPr>
        <w:t xml:space="preserve">de crédit et </w:t>
      </w:r>
      <w:r>
        <w:rPr>
          <w:rFonts w:eastAsia="Arial" w:cs="Arial"/>
          <w:bdr w:val="nil"/>
          <w:lang w:val="fr-FR"/>
        </w:rPr>
        <w:t xml:space="preserve">les entreprises </w:t>
      </w:r>
      <w:r w:rsidRPr="00500B7D">
        <w:rPr>
          <w:rFonts w:eastAsia="Arial" w:cs="Arial"/>
          <w:bdr w:val="nil"/>
          <w:lang w:val="fr-FR"/>
        </w:rPr>
        <w:t xml:space="preserve">d'assurance utilisent les tableaux </w:t>
      </w:r>
      <w:r>
        <w:rPr>
          <w:rFonts w:eastAsia="Arial" w:cs="Arial"/>
          <w:bdr w:val="nil"/>
          <w:lang w:val="fr-FR"/>
        </w:rPr>
        <w:t xml:space="preserve">joints en </w:t>
      </w:r>
      <w:r w:rsidRPr="006661EE">
        <w:rPr>
          <w:rFonts w:eastAsia="Arial" w:cs="Arial"/>
          <w:bdr w:val="nil"/>
          <w:lang w:val="fr-FR"/>
        </w:rPr>
        <w:t>annexe. Ces tableaux doivent être remplis chaque année sur la base de la situation au 31 décembre</w:t>
      </w:r>
      <w:r w:rsidR="006661EE" w:rsidRPr="00F52B47">
        <w:rPr>
          <w:rFonts w:eastAsia="Arial" w:cs="Arial"/>
          <w:bdr w:val="nil"/>
          <w:lang w:val="fr-FR"/>
        </w:rPr>
        <w:t xml:space="preserve">. Les </w:t>
      </w:r>
      <w:proofErr w:type="spellStart"/>
      <w:r w:rsidR="006661EE" w:rsidRPr="00F52B47">
        <w:rPr>
          <w:rFonts w:eastAsia="Arial" w:cs="Arial"/>
          <w:bdr w:val="nil"/>
          <w:lang w:val="fr-FR"/>
        </w:rPr>
        <w:t>établisments</w:t>
      </w:r>
      <w:proofErr w:type="spellEnd"/>
      <w:r w:rsidR="006661EE" w:rsidRPr="00F52B47">
        <w:rPr>
          <w:rFonts w:eastAsia="Arial" w:cs="Arial"/>
          <w:bdr w:val="nil"/>
          <w:lang w:val="fr-FR"/>
        </w:rPr>
        <w:t xml:space="preserve"> de crédit </w:t>
      </w:r>
      <w:r w:rsidR="006661EE">
        <w:rPr>
          <w:rFonts w:eastAsia="Arial" w:cs="Arial"/>
          <w:bdr w:val="nil"/>
          <w:lang w:val="fr-FR"/>
        </w:rPr>
        <w:t>doivent les</w:t>
      </w:r>
      <w:r w:rsidRPr="006661EE">
        <w:rPr>
          <w:rFonts w:eastAsia="Arial" w:cs="Arial"/>
          <w:bdr w:val="nil"/>
          <w:lang w:val="fr-FR"/>
        </w:rPr>
        <w:t xml:space="preserve"> communiqu</w:t>
      </w:r>
      <w:r w:rsidR="006661EE">
        <w:rPr>
          <w:rFonts w:eastAsia="Arial" w:cs="Arial"/>
          <w:bdr w:val="nil"/>
          <w:lang w:val="fr-FR"/>
        </w:rPr>
        <w:t>er</w:t>
      </w:r>
      <w:r w:rsidRPr="006661EE">
        <w:rPr>
          <w:rFonts w:eastAsia="Arial" w:cs="Arial"/>
          <w:bdr w:val="nil"/>
          <w:lang w:val="fr-FR"/>
        </w:rPr>
        <w:t xml:space="preserve"> à l’autorité de </w:t>
      </w:r>
      <w:proofErr w:type="spellStart"/>
      <w:r w:rsidRPr="006661EE">
        <w:rPr>
          <w:rFonts w:eastAsia="Arial" w:cs="Arial"/>
          <w:bdr w:val="nil"/>
          <w:lang w:val="fr-FR"/>
        </w:rPr>
        <w:t>contrôleavant</w:t>
      </w:r>
      <w:proofErr w:type="spellEnd"/>
      <w:r w:rsidRPr="006661EE">
        <w:rPr>
          <w:rFonts w:eastAsia="Arial" w:cs="Arial"/>
          <w:bdr w:val="nil"/>
          <w:lang w:val="fr-FR"/>
        </w:rPr>
        <w:t xml:space="preserve"> la fin du mois de février de l'année suivante</w:t>
      </w:r>
      <w:r w:rsidR="006661EE">
        <w:rPr>
          <w:rFonts w:eastAsia="Arial" w:cs="Arial"/>
          <w:bdr w:val="nil"/>
          <w:lang w:val="fr-FR"/>
        </w:rPr>
        <w:t xml:space="preserve">. Les </w:t>
      </w:r>
      <w:r w:rsidRPr="006661EE">
        <w:rPr>
          <w:rFonts w:eastAsia="Arial" w:cs="Arial"/>
          <w:bdr w:val="nil"/>
          <w:lang w:val="fr-FR"/>
        </w:rPr>
        <w:t>entreprises d’assurance</w:t>
      </w:r>
      <w:r w:rsidR="006661EE">
        <w:rPr>
          <w:rFonts w:eastAsia="Arial" w:cs="Arial"/>
          <w:bdr w:val="nil"/>
          <w:lang w:val="fr-FR"/>
        </w:rPr>
        <w:t xml:space="preserve"> doivent communiquer ces tableaux</w:t>
      </w:r>
      <w:r w:rsidRPr="006661EE">
        <w:rPr>
          <w:rFonts w:eastAsia="Arial" w:cs="Arial"/>
          <w:bdr w:val="nil"/>
          <w:lang w:val="fr-FR"/>
        </w:rPr>
        <w:t xml:space="preserve"> de manière </w:t>
      </w:r>
      <w:proofErr w:type="spellStart"/>
      <w:r w:rsidRPr="006661EE">
        <w:rPr>
          <w:rFonts w:eastAsia="Arial" w:cs="Arial"/>
          <w:bdr w:val="nil"/>
          <w:lang w:val="fr-FR"/>
        </w:rPr>
        <w:t>concommitante</w:t>
      </w:r>
      <w:proofErr w:type="spellEnd"/>
      <w:r w:rsidRPr="006661EE">
        <w:rPr>
          <w:rFonts w:eastAsia="Arial" w:cs="Arial"/>
          <w:bdr w:val="nil"/>
          <w:lang w:val="fr-FR"/>
        </w:rPr>
        <w:t xml:space="preserve"> à la mise à jour du mémorandum de </w:t>
      </w:r>
      <w:r w:rsidRPr="00834D31">
        <w:rPr>
          <w:rFonts w:eastAsia="Arial" w:cs="Arial"/>
          <w:bdr w:val="nil"/>
          <w:lang w:val="fr-FR"/>
        </w:rPr>
        <w:t xml:space="preserve">gouvernance </w:t>
      </w:r>
      <w:r w:rsidR="006661EE" w:rsidRPr="00834D31">
        <w:rPr>
          <w:rFonts w:eastAsia="Arial" w:cs="Arial"/>
          <w:bdr w:val="nil"/>
          <w:lang w:val="fr-FR"/>
        </w:rPr>
        <w:t xml:space="preserve">en veillant à respecter les échéances prévues dans la circulaire </w:t>
      </w:r>
      <w:proofErr w:type="spellStart"/>
      <w:r w:rsidR="006661EE" w:rsidRPr="00834D31">
        <w:rPr>
          <w:rFonts w:eastAsia="Arial" w:cs="Arial"/>
          <w:bdr w:val="nil"/>
          <w:lang w:val="fr-FR"/>
        </w:rPr>
        <w:t>eCorporate</w:t>
      </w:r>
      <w:proofErr w:type="spellEnd"/>
      <w:r w:rsidR="006661EE" w:rsidRPr="00834D31">
        <w:rPr>
          <w:rFonts w:eastAsia="Arial" w:cs="Arial"/>
          <w:bdr w:val="nil"/>
          <w:lang w:val="fr-FR"/>
        </w:rPr>
        <w:t xml:space="preserve"> 2016/40</w:t>
      </w:r>
      <w:r w:rsidRPr="006661EE">
        <w:rPr>
          <w:rFonts w:eastAsia="Arial" w:cs="Arial"/>
          <w:bdr w:val="nil"/>
          <w:lang w:val="fr-FR"/>
        </w:rPr>
        <w:t xml:space="preserve">. Le </w:t>
      </w:r>
      <w:proofErr w:type="spellStart"/>
      <w:r w:rsidRPr="006661EE">
        <w:rPr>
          <w:rFonts w:eastAsia="Arial" w:cs="Arial"/>
          <w:bdr w:val="nil"/>
          <w:lang w:val="fr-FR"/>
        </w:rPr>
        <w:t>reporting</w:t>
      </w:r>
      <w:proofErr w:type="spellEnd"/>
      <w:r w:rsidRPr="006661EE">
        <w:rPr>
          <w:rFonts w:eastAsia="Arial" w:cs="Arial"/>
          <w:bdr w:val="nil"/>
          <w:lang w:val="fr-FR"/>
        </w:rPr>
        <w:t xml:space="preserve"> doit porter sur tous les prêts, crédits et garanties en cours pendant l'année civile écoulée</w:t>
      </w:r>
      <w:r w:rsidRPr="00500B7D">
        <w:rPr>
          <w:rFonts w:eastAsia="Arial" w:cs="Arial"/>
          <w:bdr w:val="nil"/>
          <w:lang w:val="fr-FR"/>
        </w:rPr>
        <w:t xml:space="preserve"> </w:t>
      </w:r>
      <w:r>
        <w:rPr>
          <w:rFonts w:eastAsia="Arial" w:cs="Arial"/>
          <w:bdr w:val="nil"/>
          <w:lang w:val="fr-FR"/>
        </w:rPr>
        <w:t xml:space="preserve">dès l’instant où </w:t>
      </w:r>
      <w:r w:rsidRPr="00500B7D">
        <w:rPr>
          <w:rFonts w:eastAsia="Arial" w:cs="Arial"/>
          <w:bdr w:val="nil"/>
          <w:lang w:val="fr-FR"/>
        </w:rPr>
        <w:t>le seuil global de 100</w:t>
      </w:r>
      <w:r>
        <w:rPr>
          <w:rFonts w:eastAsia="Arial" w:cs="Arial"/>
          <w:bdr w:val="nil"/>
          <w:lang w:val="fr-FR"/>
        </w:rPr>
        <w:t> </w:t>
      </w:r>
      <w:r w:rsidRPr="00500B7D">
        <w:rPr>
          <w:rFonts w:eastAsia="Arial" w:cs="Arial"/>
          <w:bdr w:val="nil"/>
          <w:lang w:val="fr-FR"/>
        </w:rPr>
        <w:t>000</w:t>
      </w:r>
      <w:r>
        <w:rPr>
          <w:rFonts w:eastAsia="Arial" w:cs="Arial"/>
          <w:bdr w:val="nil"/>
          <w:lang w:val="fr-FR"/>
        </w:rPr>
        <w:t> euros est dépassé</w:t>
      </w:r>
      <w:r w:rsidRPr="00500B7D">
        <w:rPr>
          <w:rFonts w:eastAsia="Arial" w:cs="Arial"/>
          <w:bdr w:val="nil"/>
          <w:lang w:val="fr-FR"/>
        </w:rPr>
        <w:t xml:space="preserve">. </w:t>
      </w:r>
      <w:r>
        <w:rPr>
          <w:rFonts w:eastAsia="Arial" w:cs="Arial"/>
          <w:bdr w:val="nil"/>
          <w:lang w:val="fr-FR"/>
        </w:rPr>
        <w:t>Les o</w:t>
      </w:r>
      <w:r w:rsidRPr="00500B7D">
        <w:rPr>
          <w:rFonts w:eastAsia="Arial" w:cs="Arial"/>
          <w:bdr w:val="nil"/>
          <w:lang w:val="fr-FR"/>
        </w:rPr>
        <w:t xml:space="preserve">pérations </w:t>
      </w:r>
      <w:r>
        <w:rPr>
          <w:rFonts w:eastAsia="Arial" w:cs="Arial"/>
          <w:bdr w:val="nil"/>
          <w:lang w:val="fr-FR"/>
        </w:rPr>
        <w:t>d’</w:t>
      </w:r>
      <w:r w:rsidRPr="00500B7D">
        <w:rPr>
          <w:rFonts w:eastAsia="Arial" w:cs="Arial"/>
          <w:bdr w:val="nil"/>
          <w:lang w:val="fr-FR"/>
        </w:rPr>
        <w:t xml:space="preserve">échéance </w:t>
      </w:r>
      <w:r>
        <w:rPr>
          <w:rFonts w:eastAsia="Arial" w:cs="Arial"/>
          <w:bdr w:val="nil"/>
          <w:lang w:val="fr-FR"/>
        </w:rPr>
        <w:t xml:space="preserve">inférieure à </w:t>
      </w:r>
      <w:r w:rsidRPr="00500B7D">
        <w:rPr>
          <w:rFonts w:eastAsia="Arial" w:cs="Arial"/>
          <w:bdr w:val="nil"/>
          <w:lang w:val="fr-FR"/>
        </w:rPr>
        <w:t xml:space="preserve">un an </w:t>
      </w:r>
      <w:r>
        <w:rPr>
          <w:rFonts w:eastAsia="Arial" w:cs="Arial"/>
          <w:bdr w:val="nil"/>
          <w:lang w:val="fr-FR"/>
        </w:rPr>
        <w:t xml:space="preserve">qui ne sont plus en cours au </w:t>
      </w:r>
      <w:r w:rsidRPr="00500B7D">
        <w:rPr>
          <w:rFonts w:eastAsia="Arial" w:cs="Arial"/>
          <w:bdr w:val="nil"/>
          <w:lang w:val="fr-FR"/>
        </w:rPr>
        <w:t>31</w:t>
      </w:r>
      <w:r>
        <w:rPr>
          <w:rFonts w:eastAsia="Arial" w:cs="Arial"/>
          <w:bdr w:val="nil"/>
          <w:lang w:val="fr-FR"/>
        </w:rPr>
        <w:t> d</w:t>
      </w:r>
      <w:r w:rsidRPr="00500B7D">
        <w:rPr>
          <w:rFonts w:eastAsia="Arial" w:cs="Arial"/>
          <w:bdr w:val="nil"/>
          <w:lang w:val="fr-FR"/>
        </w:rPr>
        <w:t xml:space="preserve">écembre </w:t>
      </w:r>
      <w:r>
        <w:rPr>
          <w:rFonts w:eastAsia="Arial" w:cs="Arial"/>
          <w:bdr w:val="nil"/>
          <w:lang w:val="fr-FR"/>
        </w:rPr>
        <w:t xml:space="preserve">doivent dès lors également figurer </w:t>
      </w:r>
      <w:r w:rsidRPr="00500B7D">
        <w:rPr>
          <w:rFonts w:eastAsia="Arial" w:cs="Arial"/>
          <w:bdr w:val="nil"/>
          <w:lang w:val="fr-FR"/>
        </w:rPr>
        <w:t>dans les tableaux.</w:t>
      </w:r>
    </w:p>
    <w:p w:rsidR="000E5C0D" w:rsidRPr="00500B7D" w:rsidRDefault="000E5C0D" w:rsidP="000E5C0D">
      <w:pPr>
        <w:tabs>
          <w:tab w:val="clear" w:pos="284"/>
        </w:tabs>
        <w:jc w:val="both"/>
        <w:rPr>
          <w:rFonts w:cs="Arial"/>
          <w:lang w:val="fr-FR"/>
        </w:rPr>
      </w:pPr>
    </w:p>
    <w:p w:rsidR="000E5C0D" w:rsidRPr="00500B7D" w:rsidRDefault="000E5C0D" w:rsidP="000E5C0D">
      <w:pPr>
        <w:tabs>
          <w:tab w:val="clear" w:pos="284"/>
        </w:tabs>
        <w:jc w:val="both"/>
        <w:rPr>
          <w:i/>
          <w:lang w:val="fr-FR"/>
        </w:rPr>
      </w:pPr>
      <w:r w:rsidRPr="00500B7D">
        <w:rPr>
          <w:rFonts w:eastAsia="Arial" w:cs="Arial"/>
          <w:i/>
          <w:iCs/>
          <w:bdr w:val="nil"/>
          <w:lang w:val="fr-FR"/>
        </w:rPr>
        <w:t>Instructions pour l’introduction des données dans les tableaux</w:t>
      </w:r>
    </w:p>
    <w:p w:rsidR="000E5C0D" w:rsidRPr="00500B7D" w:rsidRDefault="000E5C0D" w:rsidP="000E5C0D">
      <w:pPr>
        <w:pStyle w:val="ListParagraph"/>
        <w:numPr>
          <w:ilvl w:val="0"/>
          <w:numId w:val="33"/>
        </w:numPr>
        <w:tabs>
          <w:tab w:val="clear" w:pos="284"/>
        </w:tabs>
        <w:spacing w:before="120"/>
        <w:contextualSpacing w:val="0"/>
        <w:jc w:val="both"/>
        <w:rPr>
          <w:lang w:val="fr-FR"/>
        </w:rPr>
      </w:pPr>
      <w:r w:rsidRPr="00500B7D">
        <w:rPr>
          <w:lang w:val="fr-FR"/>
        </w:rPr>
        <w:t xml:space="preserve">La colonne </w:t>
      </w:r>
      <w:r w:rsidR="001F7F81">
        <w:rPr>
          <w:lang w:val="fr-FR"/>
        </w:rPr>
        <w:t>1</w:t>
      </w:r>
      <w:r w:rsidR="00D21CB8">
        <w:rPr>
          <w:lang w:val="fr-FR"/>
        </w:rPr>
        <w:t xml:space="preserve"> </w:t>
      </w:r>
      <w:r w:rsidRPr="00500B7D">
        <w:rPr>
          <w:lang w:val="fr-FR"/>
        </w:rPr>
        <w:t xml:space="preserve">sert à l’identification du bénéficiaire direct du prêt, du crédit ou de la garantie. Le nom de la personne dirigeante (visée </w:t>
      </w:r>
      <w:r>
        <w:rPr>
          <w:lang w:val="fr-FR"/>
        </w:rPr>
        <w:t xml:space="preserve">aux </w:t>
      </w:r>
      <w:r w:rsidRPr="00500B7D">
        <w:rPr>
          <w:lang w:val="fr-FR"/>
        </w:rPr>
        <w:t>article</w:t>
      </w:r>
      <w:r>
        <w:rPr>
          <w:lang w:val="fr-FR"/>
        </w:rPr>
        <w:t>s</w:t>
      </w:r>
      <w:r w:rsidRPr="00500B7D">
        <w:rPr>
          <w:lang w:val="fr-FR"/>
        </w:rPr>
        <w:t xml:space="preserve"> 72, §</w:t>
      </w:r>
      <w:r>
        <w:rPr>
          <w:lang w:val="fr-FR"/>
        </w:rPr>
        <w:t> </w:t>
      </w:r>
      <w:r w:rsidRPr="00500B7D">
        <w:rPr>
          <w:lang w:val="fr-FR"/>
        </w:rPr>
        <w:t>1</w:t>
      </w:r>
      <w:r w:rsidRPr="007F05E2">
        <w:rPr>
          <w:vertAlign w:val="superscript"/>
          <w:lang w:val="fr-FR"/>
        </w:rPr>
        <w:t>er</w:t>
      </w:r>
      <w:r w:rsidRPr="00500B7D">
        <w:rPr>
          <w:lang w:val="fr-FR"/>
        </w:rPr>
        <w:t>, 1°</w:t>
      </w:r>
      <w:r>
        <w:rPr>
          <w:lang w:val="fr-FR"/>
        </w:rPr>
        <w:t>,</w:t>
      </w:r>
      <w:r w:rsidRPr="00500B7D">
        <w:rPr>
          <w:lang w:val="fr-FR"/>
        </w:rPr>
        <w:t xml:space="preserve"> de la loi bancaire et 93, §</w:t>
      </w:r>
      <w:r>
        <w:rPr>
          <w:lang w:val="fr-FR"/>
        </w:rPr>
        <w:t> </w:t>
      </w:r>
      <w:r w:rsidRPr="00500B7D">
        <w:rPr>
          <w:lang w:val="fr-FR"/>
        </w:rPr>
        <w:t>1</w:t>
      </w:r>
      <w:r w:rsidRPr="007F05E2">
        <w:rPr>
          <w:vertAlign w:val="superscript"/>
          <w:lang w:val="fr-FR"/>
        </w:rPr>
        <w:t>er</w:t>
      </w:r>
      <w:r w:rsidRPr="00500B7D">
        <w:rPr>
          <w:lang w:val="fr-FR"/>
        </w:rPr>
        <w:t xml:space="preserve">, </w:t>
      </w:r>
      <w:r w:rsidRPr="00500B7D">
        <w:rPr>
          <w:rFonts w:eastAsia="Arial" w:cs="Arial"/>
          <w:bdr w:val="nil"/>
          <w:lang w:val="fr-FR" w:eastAsia="fr-BE"/>
        </w:rPr>
        <w:t>alinéa</w:t>
      </w:r>
      <w:r>
        <w:rPr>
          <w:rFonts w:eastAsia="Arial" w:cs="Arial"/>
          <w:bdr w:val="nil"/>
          <w:lang w:val="fr-FR" w:eastAsia="fr-BE"/>
        </w:rPr>
        <w:t> 1</w:t>
      </w:r>
      <w:r w:rsidRPr="000B3CBD">
        <w:rPr>
          <w:rFonts w:eastAsia="Arial" w:cs="Arial"/>
          <w:bdr w:val="nil"/>
          <w:vertAlign w:val="superscript"/>
          <w:lang w:val="fr-FR" w:eastAsia="fr-BE"/>
        </w:rPr>
        <w:t>er</w:t>
      </w:r>
      <w:r w:rsidRPr="00500B7D">
        <w:rPr>
          <w:rFonts w:eastAsia="Arial" w:cs="Arial"/>
          <w:bdr w:val="nil"/>
          <w:lang w:val="fr-FR" w:eastAsia="fr-BE"/>
        </w:rPr>
        <w:t xml:space="preserve">, </w:t>
      </w:r>
      <w:r w:rsidRPr="00500B7D">
        <w:rPr>
          <w:lang w:val="fr-FR"/>
        </w:rPr>
        <w:t>1°</w:t>
      </w:r>
      <w:r>
        <w:rPr>
          <w:lang w:val="fr-FR"/>
        </w:rPr>
        <w:t>,</w:t>
      </w:r>
      <w:r w:rsidRPr="00500B7D">
        <w:rPr>
          <w:lang w:val="fr-FR"/>
        </w:rPr>
        <w:t xml:space="preserve"> de la loi Solvabilité</w:t>
      </w:r>
      <w:r>
        <w:rPr>
          <w:lang w:val="fr-FR"/>
        </w:rPr>
        <w:t> </w:t>
      </w:r>
      <w:r w:rsidRPr="00500B7D">
        <w:rPr>
          <w:lang w:val="fr-FR"/>
        </w:rPr>
        <w:t>II) indirectement concernée devra également être mentionné (</w:t>
      </w:r>
      <w:r w:rsidR="001F7F81">
        <w:rPr>
          <w:lang w:val="fr-FR"/>
        </w:rPr>
        <w:t xml:space="preserve">dans la </w:t>
      </w:r>
      <w:r w:rsidRPr="00500B7D">
        <w:rPr>
          <w:lang w:val="fr-FR"/>
        </w:rPr>
        <w:t>colonne</w:t>
      </w:r>
      <w:r w:rsidR="001F7F81">
        <w:rPr>
          <w:lang w:val="fr-FR"/>
        </w:rPr>
        <w:t xml:space="preserve"> </w:t>
      </w:r>
      <w:r w:rsidRPr="00500B7D">
        <w:rPr>
          <w:lang w:val="fr-FR"/>
        </w:rPr>
        <w:t xml:space="preserve">1) lorsque le prêt, le crédit ou la garantie a été octroyé soit à une entreprise ou </w:t>
      </w:r>
      <w:r w:rsidRPr="00C637F0">
        <w:rPr>
          <w:lang w:val="fr-FR"/>
        </w:rPr>
        <w:t xml:space="preserve">institution </w:t>
      </w:r>
      <w:r w:rsidRPr="00500B7D">
        <w:rPr>
          <w:lang w:val="fr-FR"/>
        </w:rPr>
        <w:t xml:space="preserve">dans laquelle la personne dirigeante </w:t>
      </w:r>
      <w:r w:rsidR="001F7F81">
        <w:rPr>
          <w:lang w:val="fr-FR"/>
        </w:rPr>
        <w:t xml:space="preserve">concernée </w:t>
      </w:r>
      <w:r w:rsidRPr="00500B7D">
        <w:rPr>
          <w:lang w:val="fr-FR"/>
        </w:rPr>
        <w:t xml:space="preserve">détient une participation qualifiée ou exerce une fonction visée </w:t>
      </w:r>
      <w:r>
        <w:rPr>
          <w:lang w:val="fr-FR"/>
        </w:rPr>
        <w:t xml:space="preserve">aux </w:t>
      </w:r>
      <w:r w:rsidRPr="00500B7D">
        <w:rPr>
          <w:lang w:val="fr-FR"/>
        </w:rPr>
        <w:t>article</w:t>
      </w:r>
      <w:r>
        <w:rPr>
          <w:lang w:val="fr-FR"/>
        </w:rPr>
        <w:t>s </w:t>
      </w:r>
      <w:r w:rsidRPr="00500B7D">
        <w:rPr>
          <w:lang w:val="fr-FR"/>
        </w:rPr>
        <w:t>72, §</w:t>
      </w:r>
      <w:r>
        <w:rPr>
          <w:lang w:val="fr-FR"/>
        </w:rPr>
        <w:t> </w:t>
      </w:r>
      <w:r w:rsidRPr="00500B7D">
        <w:rPr>
          <w:lang w:val="fr-FR"/>
        </w:rPr>
        <w:t>1</w:t>
      </w:r>
      <w:r w:rsidRPr="007F05E2">
        <w:rPr>
          <w:vertAlign w:val="superscript"/>
          <w:lang w:val="fr-FR"/>
        </w:rPr>
        <w:t>er</w:t>
      </w:r>
      <w:r w:rsidRPr="00500B7D">
        <w:rPr>
          <w:lang w:val="fr-FR"/>
        </w:rPr>
        <w:t>, 1°</w:t>
      </w:r>
      <w:r>
        <w:rPr>
          <w:lang w:val="fr-FR"/>
        </w:rPr>
        <w:t>,</w:t>
      </w:r>
      <w:r w:rsidRPr="00500B7D">
        <w:rPr>
          <w:lang w:val="fr-FR"/>
        </w:rPr>
        <w:t xml:space="preserve"> et 93, §</w:t>
      </w:r>
      <w:r>
        <w:rPr>
          <w:lang w:val="fr-FR"/>
        </w:rPr>
        <w:t> </w:t>
      </w:r>
      <w:r w:rsidRPr="00500B7D">
        <w:rPr>
          <w:lang w:val="fr-FR"/>
        </w:rPr>
        <w:t>1</w:t>
      </w:r>
      <w:r w:rsidRPr="007F05E2">
        <w:rPr>
          <w:vertAlign w:val="superscript"/>
          <w:lang w:val="fr-FR"/>
        </w:rPr>
        <w:t>er</w:t>
      </w:r>
      <w:r w:rsidRPr="00500B7D">
        <w:rPr>
          <w:lang w:val="fr-FR"/>
        </w:rPr>
        <w:t xml:space="preserve">, </w:t>
      </w:r>
      <w:r w:rsidRPr="00500B7D">
        <w:rPr>
          <w:rFonts w:eastAsia="Arial" w:cs="Arial"/>
          <w:bdr w:val="nil"/>
          <w:lang w:val="fr-FR" w:eastAsia="fr-BE"/>
        </w:rPr>
        <w:t>alinéa</w:t>
      </w:r>
      <w:r>
        <w:rPr>
          <w:rFonts w:eastAsia="Arial" w:cs="Arial"/>
          <w:bdr w:val="nil"/>
          <w:lang w:val="fr-FR" w:eastAsia="fr-BE"/>
        </w:rPr>
        <w:t> 1</w:t>
      </w:r>
      <w:r w:rsidRPr="000B3CBD">
        <w:rPr>
          <w:rFonts w:eastAsia="Arial" w:cs="Arial"/>
          <w:bdr w:val="nil"/>
          <w:vertAlign w:val="superscript"/>
          <w:lang w:val="fr-FR" w:eastAsia="fr-BE"/>
        </w:rPr>
        <w:t>er</w:t>
      </w:r>
      <w:r w:rsidRPr="00500B7D">
        <w:rPr>
          <w:rFonts w:eastAsia="Arial" w:cs="Arial"/>
          <w:bdr w:val="nil"/>
          <w:lang w:val="fr-FR" w:eastAsia="fr-BE"/>
        </w:rPr>
        <w:t xml:space="preserve">, </w:t>
      </w:r>
      <w:r w:rsidRPr="00500B7D">
        <w:rPr>
          <w:lang w:val="fr-FR"/>
        </w:rPr>
        <w:t xml:space="preserve">1°, soit à une personne apparentée à cette personne dirigeante. Les personnes physiques seront identifiées au moyen de leur nom de famille suivi de leur(s) prénom(s). L’identification des personnes morales </w:t>
      </w:r>
      <w:r w:rsidR="001F7F81">
        <w:rPr>
          <w:lang w:val="fr-FR"/>
        </w:rPr>
        <w:t xml:space="preserve">se fera </w:t>
      </w:r>
      <w:r w:rsidRPr="00500B7D">
        <w:rPr>
          <w:lang w:val="fr-FR"/>
        </w:rPr>
        <w:t xml:space="preserve">au moyen de leur </w:t>
      </w:r>
      <w:r>
        <w:rPr>
          <w:lang w:val="fr-FR"/>
        </w:rPr>
        <w:t xml:space="preserve">dénomination </w:t>
      </w:r>
      <w:r w:rsidRPr="00500B7D">
        <w:rPr>
          <w:lang w:val="fr-FR"/>
        </w:rPr>
        <w:t xml:space="preserve">sociale </w:t>
      </w:r>
      <w:r w:rsidR="001F7F81">
        <w:rPr>
          <w:lang w:val="fr-FR"/>
        </w:rPr>
        <w:t xml:space="preserve">et de leur forme juridique ainsi que, pour les personnes morales de droit belge, </w:t>
      </w:r>
      <w:r w:rsidR="00D21CB8">
        <w:rPr>
          <w:lang w:val="fr-FR"/>
        </w:rPr>
        <w:t>au moyen de</w:t>
      </w:r>
      <w:r w:rsidR="001F7F81">
        <w:rPr>
          <w:lang w:val="fr-FR"/>
        </w:rPr>
        <w:t xml:space="preserve"> leur numéro d’entreprise</w:t>
      </w:r>
      <w:r w:rsidRPr="00500B7D">
        <w:rPr>
          <w:lang w:val="fr-FR"/>
        </w:rPr>
        <w:t>.</w:t>
      </w:r>
    </w:p>
    <w:p w:rsidR="000E5C0D" w:rsidRPr="00500B7D" w:rsidRDefault="000E5C0D" w:rsidP="000E5C0D">
      <w:pPr>
        <w:pStyle w:val="ListParagraph"/>
        <w:numPr>
          <w:ilvl w:val="0"/>
          <w:numId w:val="33"/>
        </w:numPr>
        <w:tabs>
          <w:tab w:val="clear" w:pos="284"/>
        </w:tabs>
        <w:spacing w:before="120"/>
        <w:ind w:left="714" w:hanging="357"/>
        <w:contextualSpacing w:val="0"/>
        <w:jc w:val="both"/>
        <w:rPr>
          <w:lang w:val="fr-FR"/>
        </w:rPr>
      </w:pPr>
      <w:r w:rsidRPr="00500B7D">
        <w:rPr>
          <w:lang w:val="fr-FR"/>
        </w:rPr>
        <w:t xml:space="preserve">La nature du prêt, crédit ou garantie (par exemple, crédit hypothécaire, crédit </w:t>
      </w:r>
      <w:r>
        <w:rPr>
          <w:lang w:val="fr-FR"/>
        </w:rPr>
        <w:t xml:space="preserve">à la </w:t>
      </w:r>
      <w:r w:rsidRPr="00500B7D">
        <w:rPr>
          <w:lang w:val="fr-FR"/>
        </w:rPr>
        <w:t>consommation,</w:t>
      </w:r>
      <w:r>
        <w:rPr>
          <w:lang w:val="fr-FR"/>
        </w:rPr>
        <w:t> </w:t>
      </w:r>
      <w:r w:rsidRPr="00500B7D">
        <w:rPr>
          <w:lang w:val="fr-FR"/>
        </w:rPr>
        <w:t xml:space="preserve">…) sera mentionnée dans la colonne </w:t>
      </w:r>
      <w:r w:rsidR="001F7F81">
        <w:rPr>
          <w:lang w:val="fr-FR"/>
        </w:rPr>
        <w:t xml:space="preserve">2 </w:t>
      </w:r>
      <w:r w:rsidRPr="00500B7D">
        <w:rPr>
          <w:lang w:val="fr-FR"/>
        </w:rPr>
        <w:t xml:space="preserve">en utilisant une ligne séparée pour chaque opération. </w:t>
      </w:r>
      <w:r w:rsidR="001F7F81">
        <w:rPr>
          <w:lang w:val="fr-FR"/>
        </w:rPr>
        <w:t xml:space="preserve">Lorsque le dossier </w:t>
      </w:r>
      <w:r w:rsidR="00D21CB8">
        <w:rPr>
          <w:lang w:val="fr-FR"/>
        </w:rPr>
        <w:t>d’ouverture de</w:t>
      </w:r>
      <w:r w:rsidR="001F7F81">
        <w:rPr>
          <w:lang w:val="fr-FR"/>
        </w:rPr>
        <w:t xml:space="preserve"> crédit </w:t>
      </w:r>
      <w:r w:rsidR="0033556D">
        <w:rPr>
          <w:rFonts w:cs="Arial"/>
          <w:color w:val="222222"/>
          <w:lang w:val="fr-FR"/>
        </w:rPr>
        <w:t>comprend plusieurs crédits</w:t>
      </w:r>
      <w:r w:rsidR="00D21CB8">
        <w:rPr>
          <w:rFonts w:cs="Arial"/>
          <w:color w:val="222222"/>
          <w:lang w:val="fr-FR"/>
        </w:rPr>
        <w:t xml:space="preserve"> </w:t>
      </w:r>
      <w:r w:rsidR="00403406">
        <w:rPr>
          <w:rFonts w:cs="Arial"/>
          <w:color w:val="222222"/>
          <w:lang w:val="fr-FR"/>
        </w:rPr>
        <w:t>sous-jacents</w:t>
      </w:r>
      <w:r w:rsidR="001F7F81">
        <w:rPr>
          <w:rFonts w:cs="Arial"/>
          <w:color w:val="222222"/>
          <w:lang w:val="fr-FR"/>
        </w:rPr>
        <w:t xml:space="preserve">, chacun de ces crédits </w:t>
      </w:r>
      <w:r w:rsidR="00403406">
        <w:rPr>
          <w:rFonts w:cs="Arial"/>
          <w:color w:val="222222"/>
          <w:lang w:val="fr-FR"/>
        </w:rPr>
        <w:t xml:space="preserve">sous-jacents </w:t>
      </w:r>
      <w:r w:rsidR="0033556D">
        <w:rPr>
          <w:rFonts w:cs="Arial"/>
          <w:color w:val="222222"/>
          <w:lang w:val="fr-FR"/>
        </w:rPr>
        <w:t xml:space="preserve">doit être indiqué comme une </w:t>
      </w:r>
      <w:r w:rsidR="001F7F81">
        <w:rPr>
          <w:rFonts w:cs="Arial"/>
          <w:color w:val="222222"/>
          <w:lang w:val="fr-FR"/>
        </w:rPr>
        <w:t>ligne séparée.</w:t>
      </w:r>
    </w:p>
    <w:p w:rsidR="0033556D" w:rsidRDefault="0033556D" w:rsidP="000E5C0D">
      <w:pPr>
        <w:pStyle w:val="ListParagraph"/>
        <w:numPr>
          <w:ilvl w:val="0"/>
          <w:numId w:val="33"/>
        </w:numPr>
        <w:tabs>
          <w:tab w:val="clear" w:pos="284"/>
        </w:tabs>
        <w:spacing w:before="120"/>
        <w:ind w:left="714" w:hanging="357"/>
        <w:contextualSpacing w:val="0"/>
        <w:jc w:val="both"/>
        <w:rPr>
          <w:lang w:val="fr-FR"/>
        </w:rPr>
      </w:pPr>
      <w:r>
        <w:rPr>
          <w:rFonts w:cs="Arial"/>
          <w:color w:val="222222"/>
          <w:lang w:val="fr-FR"/>
        </w:rPr>
        <w:t xml:space="preserve">La date d'attribution initiale doit être indiquée dans la colonne 3. Il s’agit de la date de la décision </w:t>
      </w:r>
      <w:r w:rsidR="00403406">
        <w:rPr>
          <w:rFonts w:cs="Arial"/>
          <w:color w:val="222222"/>
          <w:lang w:val="fr-FR"/>
        </w:rPr>
        <w:t xml:space="preserve">initiale d’octroi du </w:t>
      </w:r>
      <w:r>
        <w:rPr>
          <w:rFonts w:cs="Arial"/>
          <w:color w:val="222222"/>
          <w:lang w:val="fr-FR"/>
        </w:rPr>
        <w:t>prêt, crédit ou garantie visé. Si la durée du prêt est prolongée, la date d’attribution initial</w:t>
      </w:r>
      <w:r w:rsidR="00403406">
        <w:rPr>
          <w:rFonts w:cs="Arial"/>
          <w:color w:val="222222"/>
          <w:lang w:val="fr-FR"/>
        </w:rPr>
        <w:t>e</w:t>
      </w:r>
      <w:r>
        <w:rPr>
          <w:rFonts w:cs="Arial"/>
          <w:color w:val="222222"/>
          <w:lang w:val="fr-FR"/>
        </w:rPr>
        <w:t xml:space="preserve"> reste la même (seule la prolongation est </w:t>
      </w:r>
      <w:r w:rsidR="00403406">
        <w:rPr>
          <w:rFonts w:cs="Arial"/>
          <w:color w:val="222222"/>
          <w:lang w:val="fr-FR"/>
        </w:rPr>
        <w:t xml:space="preserve">alors </w:t>
      </w:r>
      <w:r>
        <w:rPr>
          <w:rFonts w:cs="Arial"/>
          <w:color w:val="222222"/>
          <w:lang w:val="fr-FR"/>
        </w:rPr>
        <w:t>à indiquer dans la colonne 5). Si un prêt, un crédit ou une garantie est remboursé et remplacé par un nouveau prêt, crédit ou garantie, une nouvelle ligne doit alors être ajoutée avec comme « date d’attribution initiale » la date à laquelle le nouveau prêt, crédit ou garantie</w:t>
      </w:r>
      <w:r w:rsidR="000E5B6D">
        <w:rPr>
          <w:rFonts w:cs="Arial"/>
          <w:color w:val="222222"/>
          <w:lang w:val="fr-FR"/>
        </w:rPr>
        <w:t xml:space="preserve"> a été </w:t>
      </w:r>
      <w:r w:rsidR="00403406">
        <w:rPr>
          <w:rFonts w:cs="Arial"/>
          <w:color w:val="222222"/>
          <w:lang w:val="fr-FR"/>
        </w:rPr>
        <w:t>accordé</w:t>
      </w:r>
      <w:r>
        <w:rPr>
          <w:rFonts w:cs="Arial"/>
          <w:color w:val="222222"/>
          <w:lang w:val="fr-FR"/>
        </w:rPr>
        <w:t>.</w:t>
      </w:r>
    </w:p>
    <w:p w:rsidR="000320BF" w:rsidRDefault="000E5C0D" w:rsidP="00A4587C">
      <w:pPr>
        <w:pStyle w:val="ListParagraph"/>
        <w:numPr>
          <w:ilvl w:val="0"/>
          <w:numId w:val="33"/>
        </w:numPr>
        <w:tabs>
          <w:tab w:val="clear" w:pos="284"/>
        </w:tabs>
        <w:spacing w:before="120"/>
        <w:ind w:left="714" w:hanging="357"/>
        <w:contextualSpacing w:val="0"/>
        <w:jc w:val="both"/>
        <w:rPr>
          <w:lang w:val="fr-FR"/>
        </w:rPr>
      </w:pPr>
      <w:r w:rsidRPr="000E5B6D">
        <w:rPr>
          <w:lang w:val="fr-FR"/>
        </w:rPr>
        <w:t>Les adaptations visées à la colonne</w:t>
      </w:r>
      <w:r w:rsidR="000E5B6D" w:rsidRPr="000E5B6D">
        <w:rPr>
          <w:lang w:val="fr-FR"/>
        </w:rPr>
        <w:t xml:space="preserve"> 4</w:t>
      </w:r>
      <w:r w:rsidRPr="000E5B6D">
        <w:rPr>
          <w:lang w:val="fr-FR"/>
        </w:rPr>
        <w:t xml:space="preserve"> incluent toutes les modifications apportées</w:t>
      </w:r>
      <w:r w:rsidR="000E5B6D" w:rsidRPr="000E5B6D">
        <w:rPr>
          <w:lang w:val="fr-FR"/>
        </w:rPr>
        <w:t xml:space="preserve"> durant cette p</w:t>
      </w:r>
      <w:r w:rsidR="00403406">
        <w:rPr>
          <w:lang w:val="fr-FR"/>
        </w:rPr>
        <w:t>é</w:t>
      </w:r>
      <w:r w:rsidR="000E5B6D" w:rsidRPr="000E5B6D">
        <w:rPr>
          <w:lang w:val="fr-FR"/>
        </w:rPr>
        <w:t>riode</w:t>
      </w:r>
      <w:r w:rsidRPr="00403406">
        <w:rPr>
          <w:lang w:val="fr-FR"/>
        </w:rPr>
        <w:t xml:space="preserve"> aux conditions et modalités de l’opération</w:t>
      </w:r>
      <w:r w:rsidR="000E5B6D" w:rsidRPr="00403406">
        <w:rPr>
          <w:lang w:val="fr-FR"/>
        </w:rPr>
        <w:t xml:space="preserve"> </w:t>
      </w:r>
      <w:r w:rsidRPr="00D06004">
        <w:rPr>
          <w:lang w:val="fr-FR"/>
        </w:rPr>
        <w:t>(augmentation, réduction, annulation, modification des conditions</w:t>
      </w:r>
      <w:r w:rsidRPr="000E5B6D">
        <w:rPr>
          <w:lang w:val="fr-FR"/>
        </w:rPr>
        <w:t>, …</w:t>
      </w:r>
      <w:r w:rsidR="000E5B6D" w:rsidRPr="000E5B6D">
        <w:rPr>
          <w:lang w:val="fr-FR"/>
        </w:rPr>
        <w:t>)</w:t>
      </w:r>
      <w:r w:rsidRPr="00500B7D">
        <w:rPr>
          <w:rStyle w:val="FootnoteReference"/>
          <w:lang w:val="fr-FR"/>
        </w:rPr>
        <w:footnoteReference w:id="6"/>
      </w:r>
      <w:r w:rsidRPr="000E5B6D">
        <w:rPr>
          <w:lang w:val="fr-FR"/>
        </w:rPr>
        <w:t xml:space="preserve">. </w:t>
      </w:r>
    </w:p>
    <w:p w:rsidR="00ED60A8" w:rsidRPr="00A4587C" w:rsidRDefault="000E5B6D" w:rsidP="00A4587C">
      <w:pPr>
        <w:pStyle w:val="ListParagraph"/>
        <w:numPr>
          <w:ilvl w:val="0"/>
          <w:numId w:val="33"/>
        </w:numPr>
        <w:tabs>
          <w:tab w:val="clear" w:pos="284"/>
        </w:tabs>
        <w:spacing w:before="120"/>
        <w:ind w:left="714" w:hanging="357"/>
        <w:contextualSpacing w:val="0"/>
        <w:jc w:val="both"/>
        <w:rPr>
          <w:lang w:val="fr-FR"/>
        </w:rPr>
      </w:pPr>
      <w:r>
        <w:rPr>
          <w:rFonts w:cs="Arial"/>
          <w:color w:val="222222"/>
          <w:lang w:val="fr-FR"/>
        </w:rPr>
        <w:t>Dans la c</w:t>
      </w:r>
      <w:r w:rsidR="00A4587C">
        <w:rPr>
          <w:rFonts w:cs="Arial"/>
          <w:color w:val="222222"/>
          <w:lang w:val="fr-FR"/>
        </w:rPr>
        <w:t xml:space="preserve">olonne 5 (côté </w:t>
      </w:r>
      <w:r>
        <w:rPr>
          <w:rFonts w:cs="Arial"/>
          <w:color w:val="222222"/>
          <w:lang w:val="fr-FR"/>
        </w:rPr>
        <w:t xml:space="preserve">gauche) l'encours de crédit à la fin de la période doit être </w:t>
      </w:r>
      <w:r w:rsidR="00403406">
        <w:rPr>
          <w:rFonts w:cs="Arial"/>
          <w:color w:val="222222"/>
          <w:lang w:val="fr-FR"/>
        </w:rPr>
        <w:t>indiqué</w:t>
      </w:r>
      <w:r>
        <w:rPr>
          <w:rFonts w:cs="Arial"/>
          <w:color w:val="222222"/>
          <w:lang w:val="fr-FR"/>
        </w:rPr>
        <w:t xml:space="preserve">. Il s’agit ici par exemple du montant total du crédit de caisse ou de l'encours </w:t>
      </w:r>
      <w:r w:rsidR="00403406">
        <w:rPr>
          <w:rFonts w:cs="Arial"/>
          <w:color w:val="222222"/>
          <w:lang w:val="fr-FR"/>
        </w:rPr>
        <w:t xml:space="preserve">ouvert </w:t>
      </w:r>
      <w:r>
        <w:rPr>
          <w:rFonts w:cs="Arial"/>
          <w:color w:val="222222"/>
          <w:lang w:val="fr-FR"/>
        </w:rPr>
        <w:t xml:space="preserve">du crédit hypothécaire à la fin de la période. Le cas échéant, le montant </w:t>
      </w:r>
      <w:r w:rsidR="00ED60A8">
        <w:rPr>
          <w:rFonts w:cs="Arial"/>
          <w:color w:val="222222"/>
          <w:lang w:val="fr-FR"/>
        </w:rPr>
        <w:t xml:space="preserve">éventuel </w:t>
      </w:r>
      <w:r w:rsidR="00403406">
        <w:rPr>
          <w:rFonts w:cs="Arial"/>
          <w:color w:val="222222"/>
          <w:lang w:val="fr-FR"/>
        </w:rPr>
        <w:t>encore disponible</w:t>
      </w:r>
      <w:r w:rsidR="00ED60A8">
        <w:rPr>
          <w:rFonts w:cs="Arial"/>
          <w:color w:val="222222"/>
          <w:lang w:val="fr-FR"/>
        </w:rPr>
        <w:t xml:space="preserve"> </w:t>
      </w:r>
      <w:r>
        <w:rPr>
          <w:rFonts w:cs="Arial"/>
          <w:color w:val="222222"/>
          <w:lang w:val="fr-FR"/>
        </w:rPr>
        <w:t xml:space="preserve">(à la fin de la période) </w:t>
      </w:r>
      <w:r w:rsidR="00403406">
        <w:rPr>
          <w:rFonts w:cs="Arial"/>
          <w:color w:val="222222"/>
          <w:lang w:val="fr-FR"/>
        </w:rPr>
        <w:t xml:space="preserve">est à </w:t>
      </w:r>
      <w:r w:rsidR="00ED60A8">
        <w:rPr>
          <w:rFonts w:cs="Arial"/>
          <w:color w:val="222222"/>
          <w:lang w:val="fr-FR"/>
        </w:rPr>
        <w:t>indiqu</w:t>
      </w:r>
      <w:r w:rsidR="00403406">
        <w:rPr>
          <w:rFonts w:cs="Arial"/>
          <w:color w:val="222222"/>
          <w:lang w:val="fr-FR"/>
        </w:rPr>
        <w:t>er</w:t>
      </w:r>
      <w:r w:rsidR="00ED60A8">
        <w:rPr>
          <w:rFonts w:cs="Arial"/>
          <w:color w:val="222222"/>
          <w:lang w:val="fr-FR"/>
        </w:rPr>
        <w:t xml:space="preserve"> </w:t>
      </w:r>
      <w:r>
        <w:rPr>
          <w:rFonts w:cs="Arial"/>
          <w:color w:val="222222"/>
          <w:lang w:val="fr-FR"/>
        </w:rPr>
        <w:t>dans la colonne 5 (</w:t>
      </w:r>
      <w:r w:rsidR="00A4587C">
        <w:rPr>
          <w:rFonts w:cs="Arial"/>
          <w:color w:val="222222"/>
          <w:lang w:val="fr-FR"/>
        </w:rPr>
        <w:t>côté</w:t>
      </w:r>
      <w:r>
        <w:rPr>
          <w:rFonts w:cs="Arial"/>
          <w:color w:val="222222"/>
          <w:lang w:val="fr-FR"/>
        </w:rPr>
        <w:t xml:space="preserve"> droit).</w:t>
      </w:r>
    </w:p>
    <w:p w:rsidR="00D21CB8" w:rsidRPr="00F52B47" w:rsidRDefault="00D21CB8" w:rsidP="000E5B6D">
      <w:pPr>
        <w:pStyle w:val="ListParagraph"/>
        <w:numPr>
          <w:ilvl w:val="0"/>
          <w:numId w:val="33"/>
        </w:numPr>
        <w:tabs>
          <w:tab w:val="clear" w:pos="284"/>
        </w:tabs>
        <w:spacing w:before="120"/>
        <w:ind w:left="714" w:hanging="357"/>
        <w:contextualSpacing w:val="0"/>
        <w:jc w:val="both"/>
        <w:rPr>
          <w:lang w:val="fr-FR"/>
        </w:rPr>
      </w:pPr>
      <w:r>
        <w:rPr>
          <w:rFonts w:cs="Arial"/>
          <w:color w:val="222222"/>
          <w:lang w:val="fr-FR"/>
        </w:rPr>
        <w:lastRenderedPageBreak/>
        <w:t>Dans la colonne 6, il faut indiquer le taux d’intérêt qui est d’application à la fin de la période.</w:t>
      </w:r>
    </w:p>
    <w:p w:rsidR="00403406" w:rsidRPr="00F52B47" w:rsidRDefault="00D21CB8" w:rsidP="000E5C0D">
      <w:pPr>
        <w:pStyle w:val="ListParagraph"/>
        <w:numPr>
          <w:ilvl w:val="0"/>
          <w:numId w:val="33"/>
        </w:numPr>
        <w:tabs>
          <w:tab w:val="clear" w:pos="284"/>
        </w:tabs>
        <w:spacing w:before="120"/>
        <w:ind w:left="714" w:hanging="357"/>
        <w:contextualSpacing w:val="0"/>
        <w:jc w:val="both"/>
        <w:rPr>
          <w:lang w:val="fr-FR"/>
        </w:rPr>
      </w:pPr>
      <w:r>
        <w:rPr>
          <w:rFonts w:cs="Arial"/>
          <w:color w:val="222222"/>
          <w:lang w:val="fr-FR"/>
        </w:rPr>
        <w:t>Dans la colonne 7, il faut indiquer la durée restante jusqu’à la fin de la période.</w:t>
      </w:r>
    </w:p>
    <w:p w:rsidR="000E5C0D" w:rsidRPr="00500B7D" w:rsidRDefault="00403406" w:rsidP="000E5C0D">
      <w:pPr>
        <w:pStyle w:val="ListParagraph"/>
        <w:numPr>
          <w:ilvl w:val="0"/>
          <w:numId w:val="33"/>
        </w:numPr>
        <w:tabs>
          <w:tab w:val="clear" w:pos="284"/>
        </w:tabs>
        <w:spacing w:before="120"/>
        <w:ind w:left="714" w:hanging="357"/>
        <w:contextualSpacing w:val="0"/>
        <w:jc w:val="both"/>
        <w:rPr>
          <w:lang w:val="fr-FR"/>
        </w:rPr>
      </w:pPr>
      <w:r>
        <w:rPr>
          <w:rFonts w:cs="Arial"/>
          <w:color w:val="222222"/>
          <w:lang w:val="fr-FR"/>
        </w:rPr>
        <w:t>Dans l</w:t>
      </w:r>
      <w:r w:rsidR="00D21CB8">
        <w:rPr>
          <w:rFonts w:cs="Arial"/>
          <w:color w:val="222222"/>
          <w:lang w:val="fr-FR"/>
        </w:rPr>
        <w:t>a colonne 8 (paiements prévus conformément aux conditions contractuelles)</w:t>
      </w:r>
      <w:r>
        <w:rPr>
          <w:rFonts w:cs="Arial"/>
          <w:color w:val="222222"/>
          <w:lang w:val="fr-FR"/>
        </w:rPr>
        <w:t xml:space="preserve">, il faut répondre </w:t>
      </w:r>
      <w:r w:rsidR="00D21CB8">
        <w:rPr>
          <w:rFonts w:cs="Arial"/>
          <w:color w:val="222222"/>
          <w:lang w:val="fr-FR"/>
        </w:rPr>
        <w:t xml:space="preserve">par « oui » ou « non » en prenant </w:t>
      </w:r>
      <w:r>
        <w:rPr>
          <w:rFonts w:cs="Arial"/>
          <w:color w:val="222222"/>
          <w:lang w:val="fr-FR"/>
        </w:rPr>
        <w:t xml:space="preserve">uniquement </w:t>
      </w:r>
      <w:r w:rsidR="000320BF">
        <w:rPr>
          <w:rFonts w:cs="Arial"/>
          <w:color w:val="222222"/>
          <w:lang w:val="fr-FR"/>
        </w:rPr>
        <w:t>en compte</w:t>
      </w:r>
      <w:r w:rsidR="00D21CB8">
        <w:rPr>
          <w:rFonts w:cs="Arial"/>
          <w:color w:val="222222"/>
          <w:lang w:val="fr-FR"/>
        </w:rPr>
        <w:t xml:space="preserve"> les éléments matériels.</w:t>
      </w:r>
      <w:r w:rsidR="000E5C0D" w:rsidRPr="00500B7D">
        <w:rPr>
          <w:lang w:val="fr-FR"/>
        </w:rPr>
        <w:t xml:space="preserve">  </w:t>
      </w:r>
    </w:p>
    <w:p w:rsidR="000E5C0D" w:rsidRPr="00500B7D" w:rsidRDefault="000E5C0D" w:rsidP="000E5C0D">
      <w:pPr>
        <w:tabs>
          <w:tab w:val="clear" w:pos="284"/>
        </w:tabs>
        <w:jc w:val="both"/>
        <w:rPr>
          <w:lang w:val="fr-FR"/>
        </w:rPr>
      </w:pPr>
    </w:p>
    <w:p w:rsidR="000E5C0D" w:rsidRPr="00500B7D" w:rsidRDefault="000E5C0D" w:rsidP="000E5C0D">
      <w:pPr>
        <w:tabs>
          <w:tab w:val="clear" w:pos="284"/>
        </w:tabs>
        <w:jc w:val="both"/>
        <w:rPr>
          <w:u w:val="single"/>
          <w:lang w:val="fr-FR"/>
        </w:rPr>
      </w:pPr>
      <w:r w:rsidRPr="00500B7D">
        <w:rPr>
          <w:u w:val="single"/>
          <w:lang w:val="fr-FR"/>
        </w:rPr>
        <w:t>Succursales</w:t>
      </w:r>
    </w:p>
    <w:p w:rsidR="000E5C0D" w:rsidRPr="00500B7D" w:rsidRDefault="000E5C0D" w:rsidP="000E5C0D">
      <w:pPr>
        <w:tabs>
          <w:tab w:val="clear" w:pos="284"/>
        </w:tabs>
        <w:jc w:val="both"/>
        <w:rPr>
          <w:lang w:val="fr-FR"/>
        </w:rPr>
      </w:pPr>
    </w:p>
    <w:p w:rsidR="000E5C0D" w:rsidRPr="00500B7D" w:rsidRDefault="000E5C0D" w:rsidP="000E5C0D">
      <w:pPr>
        <w:tabs>
          <w:tab w:val="clear" w:pos="284"/>
        </w:tabs>
        <w:jc w:val="both"/>
        <w:rPr>
          <w:lang w:val="fr-FR"/>
        </w:rPr>
      </w:pPr>
      <w:r w:rsidRPr="00500B7D">
        <w:rPr>
          <w:rFonts w:eastAsia="Arial" w:cs="Arial"/>
          <w:bdr w:val="nil"/>
          <w:lang w:val="fr-FR"/>
        </w:rPr>
        <w:t>Le régime de l'article</w:t>
      </w:r>
      <w:r>
        <w:rPr>
          <w:rFonts w:eastAsia="Arial" w:cs="Arial"/>
          <w:bdr w:val="nil"/>
          <w:lang w:val="fr-FR"/>
        </w:rPr>
        <w:t> </w:t>
      </w:r>
      <w:r w:rsidRPr="00500B7D">
        <w:rPr>
          <w:rFonts w:eastAsia="Arial" w:cs="Arial"/>
          <w:bdr w:val="nil"/>
          <w:lang w:val="fr-FR"/>
        </w:rPr>
        <w:t xml:space="preserve">72 de la loi bancaire et de l'article 93 de </w:t>
      </w:r>
      <w:r w:rsidRPr="00F81B7D">
        <w:rPr>
          <w:rFonts w:eastAsia="Arial" w:cs="Arial"/>
          <w:bdr w:val="nil"/>
          <w:lang w:val="fr-FR"/>
        </w:rPr>
        <w:t xml:space="preserve">la </w:t>
      </w:r>
      <w:r w:rsidRPr="007F05E2">
        <w:rPr>
          <w:rFonts w:eastAsia="Arial" w:cs="Arial"/>
          <w:bdr w:val="nil"/>
          <w:lang w:val="fr-FR"/>
        </w:rPr>
        <w:t>loi Solvabilité II</w:t>
      </w:r>
      <w:r w:rsidRPr="00F81B7D">
        <w:rPr>
          <w:rFonts w:eastAsia="Arial" w:cs="Arial"/>
          <w:bdr w:val="nil"/>
          <w:lang w:val="fr-FR"/>
        </w:rPr>
        <w:t xml:space="preserve"> est</w:t>
      </w:r>
      <w:r w:rsidRPr="00500B7D">
        <w:rPr>
          <w:rFonts w:eastAsia="Arial" w:cs="Arial"/>
          <w:bdr w:val="nil"/>
          <w:lang w:val="fr-FR"/>
        </w:rPr>
        <w:t xml:space="preserve"> également applicable dans le contexte des </w:t>
      </w:r>
      <w:r>
        <w:rPr>
          <w:rFonts w:eastAsia="Arial" w:cs="Arial"/>
          <w:bdr w:val="nil"/>
          <w:lang w:val="fr-FR"/>
        </w:rPr>
        <w:t>succursales</w:t>
      </w:r>
      <w:r w:rsidRPr="00500B7D">
        <w:rPr>
          <w:rFonts w:eastAsia="Arial" w:cs="Arial"/>
          <w:bdr w:val="nil"/>
          <w:lang w:val="fr-FR"/>
        </w:rPr>
        <w:t>.</w:t>
      </w:r>
    </w:p>
    <w:p w:rsidR="000E5C0D" w:rsidRPr="00500B7D" w:rsidRDefault="000E5C0D" w:rsidP="000E5C0D">
      <w:pPr>
        <w:tabs>
          <w:tab w:val="clear" w:pos="284"/>
        </w:tabs>
        <w:jc w:val="both"/>
        <w:rPr>
          <w:lang w:val="fr-FR"/>
        </w:rPr>
      </w:pPr>
    </w:p>
    <w:p w:rsidR="000E5C0D" w:rsidRPr="00500B7D" w:rsidRDefault="000E5C0D" w:rsidP="000E5C0D">
      <w:pPr>
        <w:pStyle w:val="ListParagraph"/>
        <w:numPr>
          <w:ilvl w:val="0"/>
          <w:numId w:val="34"/>
        </w:numPr>
        <w:jc w:val="both"/>
        <w:rPr>
          <w:lang w:val="fr-FR"/>
        </w:rPr>
      </w:pPr>
      <w:r w:rsidRPr="00500B7D">
        <w:rPr>
          <w:rFonts w:eastAsia="Arial" w:cs="Arial"/>
          <w:bdr w:val="nil"/>
          <w:lang w:val="fr-FR"/>
        </w:rPr>
        <w:t>Succursales étrangères d</w:t>
      </w:r>
      <w:r>
        <w:rPr>
          <w:rFonts w:eastAsia="Arial" w:cs="Arial"/>
          <w:bdr w:val="nil"/>
          <w:lang w:val="fr-FR"/>
        </w:rPr>
        <w:t>’</w:t>
      </w:r>
      <w:r w:rsidRPr="00500B7D">
        <w:rPr>
          <w:rFonts w:eastAsia="Arial" w:cs="Arial"/>
          <w:bdr w:val="nil"/>
          <w:lang w:val="fr-FR"/>
        </w:rPr>
        <w:t>établissements de crédit et</w:t>
      </w:r>
      <w:r w:rsidRPr="00500B7D">
        <w:rPr>
          <w:bdr w:val="nil"/>
          <w:lang w:val="fr-FR"/>
        </w:rPr>
        <w:t xml:space="preserve"> </w:t>
      </w:r>
      <w:r w:rsidRPr="00500B7D">
        <w:rPr>
          <w:rFonts w:eastAsia="Arial" w:cs="Arial"/>
          <w:bdr w:val="nil"/>
          <w:lang w:val="fr-FR"/>
        </w:rPr>
        <w:t>entreprises d'assurance</w:t>
      </w:r>
      <w:r w:rsidRPr="004C336B">
        <w:rPr>
          <w:rFonts w:eastAsia="Arial" w:cs="Arial"/>
          <w:bdr w:val="nil"/>
          <w:lang w:val="fr-FR"/>
        </w:rPr>
        <w:t xml:space="preserve"> </w:t>
      </w:r>
      <w:r w:rsidRPr="00500B7D">
        <w:rPr>
          <w:rFonts w:eastAsia="Arial" w:cs="Arial"/>
          <w:bdr w:val="nil"/>
          <w:lang w:val="fr-FR"/>
        </w:rPr>
        <w:t>belges</w:t>
      </w:r>
    </w:p>
    <w:p w:rsidR="000E5C0D" w:rsidRPr="00500B7D" w:rsidRDefault="000E5C0D" w:rsidP="000E5C0D">
      <w:pPr>
        <w:jc w:val="both"/>
        <w:rPr>
          <w:lang w:val="fr-FR"/>
        </w:rPr>
      </w:pPr>
    </w:p>
    <w:p w:rsidR="000E5C0D" w:rsidRPr="00500B7D" w:rsidRDefault="000E5C0D" w:rsidP="000E5C0D">
      <w:pPr>
        <w:jc w:val="both"/>
        <w:rPr>
          <w:lang w:val="fr-FR"/>
        </w:rPr>
      </w:pPr>
      <w:r w:rsidRPr="00500B7D">
        <w:rPr>
          <w:rFonts w:eastAsia="Arial" w:cs="Arial"/>
          <w:bdr w:val="nil"/>
          <w:lang w:val="fr-FR" w:eastAsia="fr-BE"/>
        </w:rPr>
        <w:t xml:space="preserve">Les prêts, crédits et garanties </w:t>
      </w:r>
      <w:r>
        <w:rPr>
          <w:rFonts w:eastAsia="Arial" w:cs="Arial"/>
          <w:bdr w:val="nil"/>
          <w:lang w:val="fr-FR" w:eastAsia="fr-BE"/>
        </w:rPr>
        <w:t xml:space="preserve">figurant </w:t>
      </w:r>
      <w:r w:rsidRPr="00500B7D">
        <w:rPr>
          <w:rFonts w:eastAsia="Arial" w:cs="Arial"/>
          <w:bdr w:val="nil"/>
          <w:lang w:val="fr-FR" w:eastAsia="fr-BE"/>
        </w:rPr>
        <w:t>dans l</w:t>
      </w:r>
      <w:r>
        <w:rPr>
          <w:rFonts w:eastAsia="Arial" w:cs="Arial"/>
          <w:bdr w:val="nil"/>
          <w:lang w:val="fr-FR" w:eastAsia="fr-BE"/>
        </w:rPr>
        <w:t xml:space="preserve">a comptabilité </w:t>
      </w:r>
      <w:r w:rsidRPr="00500B7D">
        <w:rPr>
          <w:rFonts w:eastAsia="Arial" w:cs="Arial"/>
          <w:bdr w:val="nil"/>
          <w:lang w:val="fr-FR" w:eastAsia="fr-BE"/>
        </w:rPr>
        <w:t xml:space="preserve">d'une </w:t>
      </w:r>
      <w:r>
        <w:rPr>
          <w:rFonts w:eastAsia="Arial" w:cs="Arial"/>
          <w:bdr w:val="nil"/>
          <w:lang w:val="fr-FR" w:eastAsia="fr-BE"/>
        </w:rPr>
        <w:t>succursale étrangère d'un</w:t>
      </w:r>
      <w:r w:rsidRPr="00500B7D">
        <w:rPr>
          <w:rFonts w:eastAsia="Arial" w:cs="Arial"/>
          <w:bdr w:val="nil"/>
          <w:lang w:val="fr-FR" w:eastAsia="fr-BE"/>
        </w:rPr>
        <w:t xml:space="preserve"> établissement de crédit ou </w:t>
      </w:r>
      <w:r>
        <w:rPr>
          <w:rFonts w:eastAsia="Arial" w:cs="Arial"/>
          <w:bdr w:val="nil"/>
          <w:lang w:val="fr-FR" w:eastAsia="fr-BE"/>
        </w:rPr>
        <w:t xml:space="preserve">entreprise </w:t>
      </w:r>
      <w:r w:rsidRPr="00500B7D">
        <w:rPr>
          <w:rFonts w:eastAsia="Arial" w:cs="Arial"/>
          <w:bdr w:val="nil"/>
          <w:lang w:val="fr-FR" w:eastAsia="fr-BE"/>
        </w:rPr>
        <w:t xml:space="preserve">d'assurance belge et </w:t>
      </w:r>
      <w:r>
        <w:rPr>
          <w:rFonts w:eastAsia="Arial" w:cs="Arial"/>
          <w:bdr w:val="nil"/>
          <w:lang w:val="fr-FR" w:eastAsia="fr-BE"/>
        </w:rPr>
        <w:t>accordés à des personnes</w:t>
      </w:r>
      <w:r w:rsidRPr="00500B7D">
        <w:rPr>
          <w:rFonts w:eastAsia="Arial" w:cs="Arial"/>
          <w:bdr w:val="nil"/>
          <w:lang w:val="fr-FR" w:eastAsia="fr-BE"/>
        </w:rPr>
        <w:t xml:space="preserve">, entreprises ou </w:t>
      </w:r>
      <w:r>
        <w:rPr>
          <w:rFonts w:eastAsia="Arial" w:cs="Arial"/>
          <w:bdr w:val="nil"/>
          <w:lang w:val="fr-FR" w:eastAsia="fr-BE"/>
        </w:rPr>
        <w:t xml:space="preserve">institutions visées à </w:t>
      </w:r>
      <w:r w:rsidRPr="00500B7D">
        <w:rPr>
          <w:rFonts w:eastAsia="Arial" w:cs="Arial"/>
          <w:bdr w:val="nil"/>
          <w:lang w:val="fr-FR" w:eastAsia="fr-BE"/>
        </w:rPr>
        <w:t>l'article</w:t>
      </w:r>
      <w:r>
        <w:rPr>
          <w:rFonts w:eastAsia="Arial" w:cs="Arial"/>
          <w:bdr w:val="nil"/>
          <w:lang w:val="fr-FR" w:eastAsia="fr-BE"/>
        </w:rPr>
        <w:t> </w:t>
      </w:r>
      <w:r w:rsidRPr="00500B7D">
        <w:rPr>
          <w:rFonts w:eastAsia="Arial" w:cs="Arial"/>
          <w:bdr w:val="nil"/>
          <w:lang w:val="fr-FR" w:eastAsia="fr-BE"/>
        </w:rPr>
        <w:t>72, §</w:t>
      </w:r>
      <w:r>
        <w:rPr>
          <w:rFonts w:eastAsia="Arial" w:cs="Arial"/>
          <w:bdr w:val="nil"/>
          <w:lang w:val="fr-FR" w:eastAsia="fr-BE"/>
        </w:rPr>
        <w:t> </w:t>
      </w:r>
      <w:r w:rsidRPr="00500B7D">
        <w:rPr>
          <w:rFonts w:eastAsia="Arial" w:cs="Arial"/>
          <w:bdr w:val="nil"/>
          <w:lang w:val="fr-FR" w:eastAsia="fr-BE"/>
        </w:rPr>
        <w:t>1</w:t>
      </w:r>
      <w:r w:rsidRPr="004C336B">
        <w:rPr>
          <w:rFonts w:eastAsia="Arial" w:cs="Arial"/>
          <w:bdr w:val="nil"/>
          <w:vertAlign w:val="superscript"/>
          <w:lang w:val="fr-FR" w:eastAsia="fr-BE"/>
        </w:rPr>
        <w:t>er</w:t>
      </w:r>
      <w:r w:rsidRPr="00500B7D">
        <w:rPr>
          <w:rFonts w:eastAsia="Arial" w:cs="Arial"/>
          <w:bdr w:val="nil"/>
          <w:lang w:val="fr-FR" w:eastAsia="fr-BE"/>
        </w:rPr>
        <w:t xml:space="preserve">, 1° </w:t>
      </w:r>
      <w:r>
        <w:rPr>
          <w:rFonts w:eastAsia="Arial" w:cs="Arial"/>
          <w:bdr w:val="nil"/>
          <w:lang w:val="fr-FR" w:eastAsia="fr-BE"/>
        </w:rPr>
        <w:t>à</w:t>
      </w:r>
      <w:r w:rsidRPr="00500B7D">
        <w:rPr>
          <w:rFonts w:eastAsia="Arial" w:cs="Arial"/>
          <w:bdr w:val="nil"/>
          <w:lang w:val="fr-FR" w:eastAsia="fr-BE"/>
        </w:rPr>
        <w:t xml:space="preserve"> 4° de la loi bancaire et </w:t>
      </w:r>
      <w:r>
        <w:rPr>
          <w:rFonts w:eastAsia="Arial" w:cs="Arial"/>
          <w:bdr w:val="nil"/>
          <w:lang w:val="fr-FR" w:eastAsia="fr-BE"/>
        </w:rPr>
        <w:t xml:space="preserve">à </w:t>
      </w:r>
      <w:r w:rsidRPr="00500B7D">
        <w:rPr>
          <w:rFonts w:eastAsia="Arial" w:cs="Arial"/>
          <w:bdr w:val="nil"/>
          <w:lang w:val="fr-FR" w:eastAsia="fr-BE"/>
        </w:rPr>
        <w:t>l'article</w:t>
      </w:r>
      <w:r>
        <w:rPr>
          <w:rFonts w:eastAsia="Arial" w:cs="Arial"/>
          <w:bdr w:val="nil"/>
          <w:lang w:val="fr-FR" w:eastAsia="fr-BE"/>
        </w:rPr>
        <w:t> </w:t>
      </w:r>
      <w:r w:rsidRPr="00500B7D">
        <w:rPr>
          <w:rFonts w:eastAsia="Arial" w:cs="Arial"/>
          <w:bdr w:val="nil"/>
          <w:lang w:val="fr-FR" w:eastAsia="fr-BE"/>
        </w:rPr>
        <w:t>93</w:t>
      </w:r>
      <w:r>
        <w:rPr>
          <w:rFonts w:eastAsia="Arial" w:cs="Arial"/>
          <w:bdr w:val="nil"/>
          <w:lang w:val="fr-FR" w:eastAsia="fr-BE"/>
        </w:rPr>
        <w:t>,</w:t>
      </w:r>
      <w:r w:rsidRPr="00500B7D">
        <w:rPr>
          <w:rFonts w:eastAsia="Arial" w:cs="Arial"/>
          <w:bdr w:val="nil"/>
          <w:lang w:val="fr-FR" w:eastAsia="fr-BE"/>
        </w:rPr>
        <w:t xml:space="preserve"> §</w:t>
      </w:r>
      <w:r>
        <w:rPr>
          <w:rFonts w:eastAsia="Arial" w:cs="Arial"/>
          <w:bdr w:val="nil"/>
          <w:lang w:val="fr-FR" w:eastAsia="fr-BE"/>
        </w:rPr>
        <w:t> </w:t>
      </w:r>
      <w:r w:rsidRPr="00500B7D">
        <w:rPr>
          <w:rFonts w:eastAsia="Arial" w:cs="Arial"/>
          <w:bdr w:val="nil"/>
          <w:lang w:val="fr-FR" w:eastAsia="fr-BE"/>
        </w:rPr>
        <w:t>1</w:t>
      </w:r>
      <w:r w:rsidRPr="004C336B">
        <w:rPr>
          <w:rFonts w:eastAsia="Arial" w:cs="Arial"/>
          <w:bdr w:val="nil"/>
          <w:vertAlign w:val="superscript"/>
          <w:lang w:val="fr-FR" w:eastAsia="fr-BE"/>
        </w:rPr>
        <w:t>er</w:t>
      </w:r>
      <w:r w:rsidRPr="00500B7D">
        <w:rPr>
          <w:rFonts w:eastAsia="Arial" w:cs="Arial"/>
          <w:bdr w:val="nil"/>
          <w:lang w:val="fr-FR" w:eastAsia="fr-BE"/>
        </w:rPr>
        <w:t>, alinéa</w:t>
      </w:r>
      <w:r>
        <w:rPr>
          <w:rFonts w:eastAsia="Arial" w:cs="Arial"/>
          <w:bdr w:val="nil"/>
          <w:lang w:val="fr-FR" w:eastAsia="fr-BE"/>
        </w:rPr>
        <w:t> 1</w:t>
      </w:r>
      <w:r w:rsidRPr="000B3CBD">
        <w:rPr>
          <w:rFonts w:eastAsia="Arial" w:cs="Arial"/>
          <w:bdr w:val="nil"/>
          <w:vertAlign w:val="superscript"/>
          <w:lang w:val="fr-FR" w:eastAsia="fr-BE"/>
        </w:rPr>
        <w:t>er</w:t>
      </w:r>
      <w:r w:rsidRPr="00500B7D">
        <w:rPr>
          <w:rFonts w:eastAsia="Arial" w:cs="Arial"/>
          <w:bdr w:val="nil"/>
          <w:lang w:val="fr-FR" w:eastAsia="fr-BE"/>
        </w:rPr>
        <w:t xml:space="preserve">, 1° </w:t>
      </w:r>
      <w:r>
        <w:rPr>
          <w:rFonts w:eastAsia="Arial" w:cs="Arial"/>
          <w:bdr w:val="nil"/>
          <w:lang w:val="fr-FR" w:eastAsia="fr-BE"/>
        </w:rPr>
        <w:t xml:space="preserve">à </w:t>
      </w:r>
      <w:r w:rsidRPr="00500B7D">
        <w:rPr>
          <w:rFonts w:eastAsia="Arial" w:cs="Arial"/>
          <w:bdr w:val="nil"/>
          <w:lang w:val="fr-FR" w:eastAsia="fr-BE"/>
        </w:rPr>
        <w:t>4°</w:t>
      </w:r>
      <w:r>
        <w:rPr>
          <w:rFonts w:eastAsia="Arial" w:cs="Arial"/>
          <w:bdr w:val="nil"/>
          <w:lang w:val="fr-FR" w:eastAsia="fr-BE"/>
        </w:rPr>
        <w:t>,</w:t>
      </w:r>
      <w:r w:rsidRPr="00500B7D">
        <w:rPr>
          <w:rFonts w:eastAsia="Arial" w:cs="Arial"/>
          <w:bdr w:val="nil"/>
          <w:lang w:val="fr-FR" w:eastAsia="fr-BE"/>
        </w:rPr>
        <w:t xml:space="preserve"> de la l</w:t>
      </w:r>
      <w:r>
        <w:rPr>
          <w:rFonts w:eastAsia="Arial" w:cs="Arial"/>
          <w:bdr w:val="nil"/>
          <w:lang w:val="fr-FR" w:eastAsia="fr-BE"/>
        </w:rPr>
        <w:t xml:space="preserve">oi </w:t>
      </w:r>
      <w:r w:rsidRPr="00500B7D">
        <w:rPr>
          <w:rFonts w:eastAsia="Arial" w:cs="Arial"/>
          <w:bdr w:val="nil"/>
          <w:lang w:val="fr-FR" w:eastAsia="fr-BE"/>
        </w:rPr>
        <w:t>Solvabilité</w:t>
      </w:r>
      <w:r>
        <w:rPr>
          <w:rFonts w:eastAsia="Arial" w:cs="Arial"/>
          <w:bdr w:val="nil"/>
          <w:lang w:val="fr-FR" w:eastAsia="fr-BE"/>
        </w:rPr>
        <w:t> </w:t>
      </w:r>
      <w:r w:rsidRPr="00500B7D">
        <w:rPr>
          <w:rFonts w:eastAsia="Arial" w:cs="Arial"/>
          <w:bdr w:val="nil"/>
          <w:lang w:val="fr-FR" w:eastAsia="fr-BE"/>
        </w:rPr>
        <w:t xml:space="preserve">II </w:t>
      </w:r>
      <w:r>
        <w:rPr>
          <w:rFonts w:eastAsia="Arial" w:cs="Arial"/>
          <w:bdr w:val="nil"/>
          <w:lang w:val="fr-FR" w:eastAsia="fr-BE"/>
        </w:rPr>
        <w:t>relèvent également des dispositions précitées</w:t>
      </w:r>
      <w:r w:rsidRPr="00500B7D">
        <w:rPr>
          <w:rFonts w:eastAsia="Arial" w:cs="Arial"/>
          <w:bdr w:val="nil"/>
          <w:lang w:val="fr-FR" w:eastAsia="fr-BE"/>
        </w:rPr>
        <w:t>.</w:t>
      </w:r>
    </w:p>
    <w:p w:rsidR="000E5C0D" w:rsidRPr="00500B7D" w:rsidRDefault="000E5C0D" w:rsidP="000E5C0D">
      <w:pPr>
        <w:jc w:val="both"/>
        <w:rPr>
          <w:lang w:val="fr-FR"/>
        </w:rPr>
      </w:pPr>
    </w:p>
    <w:p w:rsidR="000E5C0D" w:rsidRPr="00500B7D" w:rsidRDefault="000E5C0D" w:rsidP="000E5C0D">
      <w:pPr>
        <w:pStyle w:val="ListParagraph"/>
        <w:numPr>
          <w:ilvl w:val="0"/>
          <w:numId w:val="34"/>
        </w:numPr>
        <w:jc w:val="both"/>
        <w:rPr>
          <w:lang w:val="fr-FR"/>
        </w:rPr>
      </w:pPr>
      <w:r w:rsidRPr="00500B7D">
        <w:rPr>
          <w:lang w:val="fr-FR"/>
        </w:rPr>
        <w:t xml:space="preserve">Succursales </w:t>
      </w:r>
      <w:r w:rsidRPr="00500B7D">
        <w:rPr>
          <w:rFonts w:eastAsia="Arial" w:cs="Arial"/>
          <w:bdr w:val="nil"/>
          <w:lang w:val="fr-FR"/>
        </w:rPr>
        <w:t xml:space="preserve">en Belgique d'établissements de crédit </w:t>
      </w:r>
      <w:r w:rsidR="00F739D1">
        <w:rPr>
          <w:rFonts w:eastAsia="Arial" w:cs="Arial"/>
          <w:bdr w:val="nil"/>
          <w:lang w:val="fr-FR"/>
        </w:rPr>
        <w:t>et d’</w:t>
      </w:r>
      <w:proofErr w:type="spellStart"/>
      <w:r w:rsidR="00F739D1">
        <w:rPr>
          <w:rFonts w:eastAsia="Arial" w:cs="Arial"/>
          <w:bdr w:val="nil"/>
          <w:lang w:val="fr-FR"/>
        </w:rPr>
        <w:t>entreproises</w:t>
      </w:r>
      <w:proofErr w:type="spellEnd"/>
      <w:r w:rsidR="00F739D1">
        <w:rPr>
          <w:rFonts w:eastAsia="Arial" w:cs="Arial"/>
          <w:bdr w:val="nil"/>
          <w:lang w:val="fr-FR"/>
        </w:rPr>
        <w:t xml:space="preserve"> d’assurance </w:t>
      </w:r>
      <w:r w:rsidRPr="00500B7D">
        <w:rPr>
          <w:rFonts w:eastAsia="Arial" w:cs="Arial"/>
          <w:bdr w:val="nil"/>
          <w:lang w:val="fr-FR"/>
        </w:rPr>
        <w:t>de pays tiers</w:t>
      </w:r>
    </w:p>
    <w:p w:rsidR="000E5C0D" w:rsidRPr="00500B7D" w:rsidRDefault="000E5C0D" w:rsidP="000E5C0D">
      <w:pPr>
        <w:jc w:val="both"/>
        <w:rPr>
          <w:lang w:val="fr-FR"/>
        </w:rPr>
      </w:pPr>
    </w:p>
    <w:p w:rsidR="000E5C0D" w:rsidRPr="00500B7D" w:rsidRDefault="000E5C0D" w:rsidP="000E5C0D">
      <w:pPr>
        <w:jc w:val="both"/>
        <w:rPr>
          <w:lang w:val="fr-FR"/>
        </w:rPr>
      </w:pPr>
      <w:r>
        <w:rPr>
          <w:rFonts w:eastAsia="Arial" w:cs="Arial"/>
          <w:bdr w:val="nil"/>
          <w:lang w:val="fr-FR" w:eastAsia="fr-BE"/>
        </w:rPr>
        <w:t>Les p</w:t>
      </w:r>
      <w:r w:rsidRPr="00500B7D">
        <w:rPr>
          <w:rFonts w:eastAsia="Arial" w:cs="Arial"/>
          <w:bdr w:val="nil"/>
          <w:lang w:val="fr-FR" w:eastAsia="fr-BE"/>
        </w:rPr>
        <w:t xml:space="preserve">rêts, crédits et garanties </w:t>
      </w:r>
      <w:r>
        <w:rPr>
          <w:rFonts w:eastAsia="Arial" w:cs="Arial"/>
          <w:bdr w:val="nil"/>
          <w:lang w:val="fr-FR" w:eastAsia="fr-BE"/>
        </w:rPr>
        <w:t xml:space="preserve">figurant </w:t>
      </w:r>
      <w:r w:rsidRPr="00500B7D">
        <w:rPr>
          <w:rFonts w:eastAsia="Arial" w:cs="Arial"/>
          <w:bdr w:val="nil"/>
          <w:lang w:val="fr-FR" w:eastAsia="fr-BE"/>
        </w:rPr>
        <w:t>dans l</w:t>
      </w:r>
      <w:r>
        <w:rPr>
          <w:rFonts w:eastAsia="Arial" w:cs="Arial"/>
          <w:bdr w:val="nil"/>
          <w:lang w:val="fr-FR" w:eastAsia="fr-BE"/>
        </w:rPr>
        <w:t xml:space="preserve">a comptabilité </w:t>
      </w:r>
      <w:r w:rsidRPr="00500B7D">
        <w:rPr>
          <w:rFonts w:eastAsia="Arial" w:cs="Arial"/>
          <w:bdr w:val="nil"/>
          <w:lang w:val="fr-FR" w:eastAsia="fr-BE"/>
        </w:rPr>
        <w:t xml:space="preserve">d'une </w:t>
      </w:r>
      <w:r>
        <w:rPr>
          <w:rFonts w:eastAsia="Arial" w:cs="Arial"/>
          <w:bdr w:val="nil"/>
          <w:lang w:val="fr-FR" w:eastAsia="fr-BE"/>
        </w:rPr>
        <w:t>succursale belge d'un</w:t>
      </w:r>
      <w:r w:rsidRPr="00500B7D">
        <w:rPr>
          <w:rFonts w:eastAsia="Arial" w:cs="Arial"/>
          <w:bdr w:val="nil"/>
          <w:lang w:val="fr-FR" w:eastAsia="fr-BE"/>
        </w:rPr>
        <w:t xml:space="preserve"> établissement de crédit ou </w:t>
      </w:r>
      <w:r>
        <w:rPr>
          <w:rFonts w:eastAsia="Arial" w:cs="Arial"/>
          <w:bdr w:val="nil"/>
          <w:lang w:val="fr-FR" w:eastAsia="fr-BE"/>
        </w:rPr>
        <w:t xml:space="preserve">entreprise </w:t>
      </w:r>
      <w:r w:rsidRPr="00500B7D">
        <w:rPr>
          <w:rFonts w:eastAsia="Arial" w:cs="Arial"/>
          <w:bdr w:val="nil"/>
          <w:lang w:val="fr-FR" w:eastAsia="fr-BE"/>
        </w:rPr>
        <w:t xml:space="preserve">d'assurance </w:t>
      </w:r>
      <w:r>
        <w:rPr>
          <w:rFonts w:eastAsia="Arial" w:cs="Arial"/>
          <w:bdr w:val="nil"/>
          <w:lang w:val="fr-FR" w:eastAsia="fr-BE"/>
        </w:rPr>
        <w:t xml:space="preserve">d’un </w:t>
      </w:r>
      <w:r w:rsidRPr="00500B7D">
        <w:rPr>
          <w:rFonts w:eastAsia="Arial" w:cs="Arial"/>
          <w:bdr w:val="nil"/>
          <w:lang w:val="fr-FR"/>
        </w:rPr>
        <w:t>pays tiers</w:t>
      </w:r>
      <w:r w:rsidRPr="00500B7D">
        <w:rPr>
          <w:rFonts w:eastAsia="Arial" w:cs="Arial"/>
          <w:bdr w:val="nil"/>
          <w:lang w:val="fr-FR" w:eastAsia="fr-BE"/>
        </w:rPr>
        <w:t xml:space="preserve"> et </w:t>
      </w:r>
      <w:r>
        <w:rPr>
          <w:rFonts w:eastAsia="Arial" w:cs="Arial"/>
          <w:bdr w:val="nil"/>
          <w:lang w:val="fr-FR" w:eastAsia="fr-BE"/>
        </w:rPr>
        <w:t>accordés à des personnes</w:t>
      </w:r>
      <w:r w:rsidRPr="00500B7D">
        <w:rPr>
          <w:rFonts w:eastAsia="Arial" w:cs="Arial"/>
          <w:bdr w:val="nil"/>
          <w:lang w:val="fr-FR" w:eastAsia="fr-BE"/>
        </w:rPr>
        <w:t xml:space="preserve">, entreprises ou </w:t>
      </w:r>
      <w:r>
        <w:rPr>
          <w:rFonts w:eastAsia="Arial" w:cs="Arial"/>
          <w:bdr w:val="nil"/>
          <w:lang w:val="fr-FR" w:eastAsia="fr-BE"/>
        </w:rPr>
        <w:t xml:space="preserve">institutions visées à </w:t>
      </w:r>
      <w:r w:rsidRPr="00500B7D">
        <w:rPr>
          <w:rFonts w:eastAsia="Arial" w:cs="Arial"/>
          <w:bdr w:val="nil"/>
          <w:lang w:val="fr-FR" w:eastAsia="fr-BE"/>
        </w:rPr>
        <w:t>l'article</w:t>
      </w:r>
      <w:r>
        <w:rPr>
          <w:rFonts w:eastAsia="Arial" w:cs="Arial"/>
          <w:bdr w:val="nil"/>
          <w:lang w:val="fr-FR" w:eastAsia="fr-BE"/>
        </w:rPr>
        <w:t> </w:t>
      </w:r>
      <w:r w:rsidRPr="00500B7D">
        <w:rPr>
          <w:rFonts w:eastAsia="Arial" w:cs="Arial"/>
          <w:bdr w:val="nil"/>
          <w:lang w:val="fr-FR" w:eastAsia="fr-BE"/>
        </w:rPr>
        <w:t>72, §</w:t>
      </w:r>
      <w:r>
        <w:rPr>
          <w:rFonts w:eastAsia="Arial" w:cs="Arial"/>
          <w:bdr w:val="nil"/>
          <w:lang w:val="fr-FR" w:eastAsia="fr-BE"/>
        </w:rPr>
        <w:t> </w:t>
      </w:r>
      <w:r w:rsidRPr="00500B7D">
        <w:rPr>
          <w:rFonts w:eastAsia="Arial" w:cs="Arial"/>
          <w:bdr w:val="nil"/>
          <w:lang w:val="fr-FR" w:eastAsia="fr-BE"/>
        </w:rPr>
        <w:t>1</w:t>
      </w:r>
      <w:r w:rsidRPr="004C336B">
        <w:rPr>
          <w:rFonts w:eastAsia="Arial" w:cs="Arial"/>
          <w:bdr w:val="nil"/>
          <w:vertAlign w:val="superscript"/>
          <w:lang w:val="fr-FR" w:eastAsia="fr-BE"/>
        </w:rPr>
        <w:t>er</w:t>
      </w:r>
      <w:r w:rsidRPr="00500B7D">
        <w:rPr>
          <w:rFonts w:eastAsia="Arial" w:cs="Arial"/>
          <w:bdr w:val="nil"/>
          <w:lang w:val="fr-FR" w:eastAsia="fr-BE"/>
        </w:rPr>
        <w:t xml:space="preserve">, 1° </w:t>
      </w:r>
      <w:r>
        <w:rPr>
          <w:rFonts w:eastAsia="Arial" w:cs="Arial"/>
          <w:bdr w:val="nil"/>
          <w:lang w:val="fr-FR" w:eastAsia="fr-BE"/>
        </w:rPr>
        <w:t>à</w:t>
      </w:r>
      <w:r w:rsidRPr="00500B7D">
        <w:rPr>
          <w:rFonts w:eastAsia="Arial" w:cs="Arial"/>
          <w:bdr w:val="nil"/>
          <w:lang w:val="fr-FR" w:eastAsia="fr-BE"/>
        </w:rPr>
        <w:t xml:space="preserve"> 4°</w:t>
      </w:r>
      <w:r>
        <w:rPr>
          <w:rFonts w:eastAsia="Arial" w:cs="Arial"/>
          <w:bdr w:val="nil"/>
          <w:lang w:val="fr-FR" w:eastAsia="fr-BE"/>
        </w:rPr>
        <w:t>,</w:t>
      </w:r>
      <w:r w:rsidRPr="00500B7D">
        <w:rPr>
          <w:rFonts w:eastAsia="Arial" w:cs="Arial"/>
          <w:bdr w:val="nil"/>
          <w:lang w:val="fr-FR" w:eastAsia="fr-BE"/>
        </w:rPr>
        <w:t xml:space="preserve"> de la loi bancaire et </w:t>
      </w:r>
      <w:r>
        <w:rPr>
          <w:rFonts w:eastAsia="Arial" w:cs="Arial"/>
          <w:bdr w:val="nil"/>
          <w:lang w:val="fr-FR" w:eastAsia="fr-BE"/>
        </w:rPr>
        <w:t xml:space="preserve">à </w:t>
      </w:r>
      <w:r w:rsidRPr="00500B7D">
        <w:rPr>
          <w:rFonts w:eastAsia="Arial" w:cs="Arial"/>
          <w:bdr w:val="nil"/>
          <w:lang w:val="fr-FR" w:eastAsia="fr-BE"/>
        </w:rPr>
        <w:t>l'article</w:t>
      </w:r>
      <w:r>
        <w:rPr>
          <w:rFonts w:eastAsia="Arial" w:cs="Arial"/>
          <w:bdr w:val="nil"/>
          <w:lang w:val="fr-FR" w:eastAsia="fr-BE"/>
        </w:rPr>
        <w:t> </w:t>
      </w:r>
      <w:r w:rsidRPr="00500B7D">
        <w:rPr>
          <w:rFonts w:eastAsia="Arial" w:cs="Arial"/>
          <w:bdr w:val="nil"/>
          <w:lang w:val="fr-FR" w:eastAsia="fr-BE"/>
        </w:rPr>
        <w:t>93</w:t>
      </w:r>
      <w:r>
        <w:rPr>
          <w:rFonts w:eastAsia="Arial" w:cs="Arial"/>
          <w:bdr w:val="nil"/>
          <w:lang w:val="fr-FR" w:eastAsia="fr-BE"/>
        </w:rPr>
        <w:t>,</w:t>
      </w:r>
      <w:r w:rsidRPr="00500B7D">
        <w:rPr>
          <w:rFonts w:eastAsia="Arial" w:cs="Arial"/>
          <w:bdr w:val="nil"/>
          <w:lang w:val="fr-FR" w:eastAsia="fr-BE"/>
        </w:rPr>
        <w:t xml:space="preserve"> §</w:t>
      </w:r>
      <w:r>
        <w:rPr>
          <w:rFonts w:eastAsia="Arial" w:cs="Arial"/>
          <w:bdr w:val="nil"/>
          <w:lang w:val="fr-FR" w:eastAsia="fr-BE"/>
        </w:rPr>
        <w:t> </w:t>
      </w:r>
      <w:r w:rsidRPr="00500B7D">
        <w:rPr>
          <w:rFonts w:eastAsia="Arial" w:cs="Arial"/>
          <w:bdr w:val="nil"/>
          <w:lang w:val="fr-FR" w:eastAsia="fr-BE"/>
        </w:rPr>
        <w:t>1</w:t>
      </w:r>
      <w:r w:rsidRPr="004C336B">
        <w:rPr>
          <w:rFonts w:eastAsia="Arial" w:cs="Arial"/>
          <w:bdr w:val="nil"/>
          <w:vertAlign w:val="superscript"/>
          <w:lang w:val="fr-FR" w:eastAsia="fr-BE"/>
        </w:rPr>
        <w:t>er</w:t>
      </w:r>
      <w:r w:rsidRPr="00500B7D">
        <w:rPr>
          <w:rFonts w:eastAsia="Arial" w:cs="Arial"/>
          <w:bdr w:val="nil"/>
          <w:lang w:val="fr-FR" w:eastAsia="fr-BE"/>
        </w:rPr>
        <w:t>, alinéa</w:t>
      </w:r>
      <w:r>
        <w:rPr>
          <w:rFonts w:eastAsia="Arial" w:cs="Arial"/>
          <w:bdr w:val="nil"/>
          <w:lang w:val="fr-FR" w:eastAsia="fr-BE"/>
        </w:rPr>
        <w:t> 1</w:t>
      </w:r>
      <w:r w:rsidRPr="000B3CBD">
        <w:rPr>
          <w:rFonts w:eastAsia="Arial" w:cs="Arial"/>
          <w:bdr w:val="nil"/>
          <w:vertAlign w:val="superscript"/>
          <w:lang w:val="fr-FR" w:eastAsia="fr-BE"/>
        </w:rPr>
        <w:t>er</w:t>
      </w:r>
      <w:r w:rsidRPr="00500B7D">
        <w:rPr>
          <w:rFonts w:eastAsia="Arial" w:cs="Arial"/>
          <w:bdr w:val="nil"/>
          <w:lang w:val="fr-FR" w:eastAsia="fr-BE"/>
        </w:rPr>
        <w:t xml:space="preserve">, 1° </w:t>
      </w:r>
      <w:r>
        <w:rPr>
          <w:rFonts w:eastAsia="Arial" w:cs="Arial"/>
          <w:bdr w:val="nil"/>
          <w:lang w:val="fr-FR" w:eastAsia="fr-BE"/>
        </w:rPr>
        <w:t xml:space="preserve">à </w:t>
      </w:r>
      <w:r w:rsidRPr="00500B7D">
        <w:rPr>
          <w:rFonts w:eastAsia="Arial" w:cs="Arial"/>
          <w:bdr w:val="nil"/>
          <w:lang w:val="fr-FR" w:eastAsia="fr-BE"/>
        </w:rPr>
        <w:t>4°</w:t>
      </w:r>
      <w:r>
        <w:rPr>
          <w:rFonts w:eastAsia="Arial" w:cs="Arial"/>
          <w:bdr w:val="nil"/>
          <w:lang w:val="fr-FR" w:eastAsia="fr-BE"/>
        </w:rPr>
        <w:t>,</w:t>
      </w:r>
      <w:r w:rsidRPr="00500B7D">
        <w:rPr>
          <w:rFonts w:eastAsia="Arial" w:cs="Arial"/>
          <w:bdr w:val="nil"/>
          <w:lang w:val="fr-FR" w:eastAsia="fr-BE"/>
        </w:rPr>
        <w:t xml:space="preserve"> de la l</w:t>
      </w:r>
      <w:r>
        <w:rPr>
          <w:rFonts w:eastAsia="Arial" w:cs="Arial"/>
          <w:bdr w:val="nil"/>
          <w:lang w:val="fr-FR" w:eastAsia="fr-BE"/>
        </w:rPr>
        <w:t xml:space="preserve">oi </w:t>
      </w:r>
      <w:r w:rsidRPr="00500B7D">
        <w:rPr>
          <w:rFonts w:eastAsia="Arial" w:cs="Arial"/>
          <w:bdr w:val="nil"/>
          <w:lang w:val="fr-FR" w:eastAsia="fr-BE"/>
        </w:rPr>
        <w:t>Solvabilité</w:t>
      </w:r>
      <w:r>
        <w:rPr>
          <w:rFonts w:eastAsia="Arial" w:cs="Arial"/>
          <w:bdr w:val="nil"/>
          <w:lang w:val="fr-FR" w:eastAsia="fr-BE"/>
        </w:rPr>
        <w:t> </w:t>
      </w:r>
      <w:r w:rsidRPr="00500B7D">
        <w:rPr>
          <w:rFonts w:eastAsia="Arial" w:cs="Arial"/>
          <w:bdr w:val="nil"/>
          <w:lang w:val="fr-FR" w:eastAsia="fr-BE"/>
        </w:rPr>
        <w:t xml:space="preserve">II </w:t>
      </w:r>
      <w:r>
        <w:rPr>
          <w:rFonts w:eastAsia="Arial" w:cs="Arial"/>
          <w:bdr w:val="nil"/>
          <w:lang w:val="fr-FR" w:eastAsia="fr-BE"/>
        </w:rPr>
        <w:t xml:space="preserve">relèvent également de ce régime, étant entendu que conformément </w:t>
      </w:r>
      <w:r w:rsidRPr="00500B7D">
        <w:rPr>
          <w:rFonts w:eastAsia="Arial" w:cs="Arial"/>
          <w:bdr w:val="nil"/>
          <w:lang w:val="fr-FR" w:eastAsia="fr-BE"/>
        </w:rPr>
        <w:t>à l'article</w:t>
      </w:r>
      <w:r>
        <w:rPr>
          <w:rFonts w:eastAsia="Arial" w:cs="Arial"/>
          <w:bdr w:val="nil"/>
          <w:lang w:val="fr-FR" w:eastAsia="fr-BE"/>
        </w:rPr>
        <w:t> </w:t>
      </w:r>
      <w:r w:rsidRPr="00500B7D">
        <w:rPr>
          <w:rFonts w:eastAsia="Arial" w:cs="Arial"/>
          <w:bdr w:val="nil"/>
          <w:lang w:val="fr-FR" w:eastAsia="fr-BE"/>
        </w:rPr>
        <w:t xml:space="preserve">335, 4°, de la </w:t>
      </w:r>
      <w:r>
        <w:rPr>
          <w:rFonts w:eastAsia="Arial" w:cs="Arial"/>
          <w:bdr w:val="nil"/>
          <w:lang w:val="fr-FR" w:eastAsia="fr-BE"/>
        </w:rPr>
        <w:t xml:space="preserve">loi bancaire </w:t>
      </w:r>
      <w:r w:rsidRPr="00500B7D">
        <w:rPr>
          <w:rFonts w:eastAsia="Arial" w:cs="Arial"/>
          <w:bdr w:val="nil"/>
          <w:lang w:val="fr-FR" w:eastAsia="fr-BE"/>
        </w:rPr>
        <w:t xml:space="preserve">et </w:t>
      </w:r>
      <w:r>
        <w:rPr>
          <w:rFonts w:eastAsia="Arial" w:cs="Arial"/>
          <w:bdr w:val="nil"/>
          <w:lang w:val="fr-FR" w:eastAsia="fr-BE"/>
        </w:rPr>
        <w:t xml:space="preserve">à </w:t>
      </w:r>
      <w:r w:rsidRPr="00500B7D">
        <w:rPr>
          <w:rFonts w:eastAsia="Arial" w:cs="Arial"/>
          <w:bdr w:val="nil"/>
          <w:lang w:val="fr-FR" w:eastAsia="fr-BE"/>
        </w:rPr>
        <w:t>l'article</w:t>
      </w:r>
      <w:r>
        <w:rPr>
          <w:rFonts w:eastAsia="Arial" w:cs="Arial"/>
          <w:bdr w:val="nil"/>
          <w:lang w:val="fr-FR" w:eastAsia="fr-BE"/>
        </w:rPr>
        <w:t> </w:t>
      </w:r>
      <w:r w:rsidRPr="00500B7D">
        <w:rPr>
          <w:rFonts w:eastAsia="Arial" w:cs="Arial"/>
          <w:bdr w:val="nil"/>
          <w:lang w:val="fr-FR" w:eastAsia="fr-BE"/>
        </w:rPr>
        <w:t>587</w:t>
      </w:r>
      <w:r>
        <w:rPr>
          <w:rFonts w:eastAsia="Arial" w:cs="Arial"/>
          <w:bdr w:val="nil"/>
          <w:lang w:val="fr-FR" w:eastAsia="fr-BE"/>
        </w:rPr>
        <w:t>,</w:t>
      </w:r>
      <w:r w:rsidRPr="00500B7D">
        <w:rPr>
          <w:rFonts w:eastAsia="Arial" w:cs="Arial"/>
          <w:bdr w:val="nil"/>
          <w:lang w:val="fr-FR" w:eastAsia="fr-BE"/>
        </w:rPr>
        <w:t xml:space="preserve"> 3</w:t>
      </w:r>
      <w:r w:rsidRPr="00F81B7D">
        <w:rPr>
          <w:rFonts w:eastAsia="Arial" w:cs="Arial"/>
          <w:bdr w:val="nil"/>
          <w:lang w:val="fr-FR" w:eastAsia="fr-BE"/>
        </w:rPr>
        <w:t xml:space="preserve">°, </w:t>
      </w:r>
      <w:r w:rsidRPr="007F05E2">
        <w:rPr>
          <w:rFonts w:eastAsia="Arial" w:cs="Arial"/>
          <w:bdr w:val="nil"/>
          <w:lang w:val="fr-FR"/>
        </w:rPr>
        <w:t>de la loi Solvabilité II</w:t>
      </w:r>
      <w:r w:rsidRPr="00F81B7D">
        <w:rPr>
          <w:rFonts w:eastAsia="Arial" w:cs="Arial"/>
          <w:bdr w:val="nil"/>
          <w:lang w:val="fr-FR"/>
        </w:rPr>
        <w:t>, les</w:t>
      </w:r>
      <w:r>
        <w:rPr>
          <w:rFonts w:eastAsia="Arial" w:cs="Arial"/>
          <w:bdr w:val="nil"/>
          <w:lang w:val="fr-FR"/>
        </w:rPr>
        <w:t xml:space="preserve"> dirigeants de la succursale </w:t>
      </w:r>
      <w:r>
        <w:rPr>
          <w:rFonts w:eastAsia="Arial" w:cs="Arial"/>
          <w:bdr w:val="nil"/>
          <w:lang w:val="fr-FR" w:eastAsia="fr-BE"/>
        </w:rPr>
        <w:t>doivent également être considérés</w:t>
      </w:r>
      <w:r w:rsidRPr="00500B7D">
        <w:rPr>
          <w:rFonts w:eastAsia="Arial" w:cs="Arial"/>
          <w:bdr w:val="nil"/>
          <w:lang w:val="fr-FR" w:eastAsia="fr-BE"/>
        </w:rPr>
        <w:t xml:space="preserve"> </w:t>
      </w:r>
      <w:r>
        <w:rPr>
          <w:rFonts w:eastAsia="Arial" w:cs="Arial"/>
          <w:bdr w:val="nil"/>
          <w:lang w:val="fr-FR" w:eastAsia="fr-BE"/>
        </w:rPr>
        <w:t xml:space="preserve">comme </w:t>
      </w:r>
      <w:r w:rsidRPr="00500B7D">
        <w:rPr>
          <w:rFonts w:eastAsia="Arial" w:cs="Arial"/>
          <w:bdr w:val="nil"/>
          <w:lang w:val="fr-FR" w:eastAsia="fr-BE"/>
        </w:rPr>
        <w:t>membres de l'organe lég</w:t>
      </w:r>
      <w:r>
        <w:rPr>
          <w:rFonts w:eastAsia="Arial" w:cs="Arial"/>
          <w:bdr w:val="nil"/>
          <w:lang w:val="fr-FR" w:eastAsia="fr-BE"/>
        </w:rPr>
        <w:t>al d’administration</w:t>
      </w:r>
      <w:r w:rsidRPr="00500B7D">
        <w:rPr>
          <w:rFonts w:eastAsia="Arial" w:cs="Arial"/>
          <w:bdr w:val="nil"/>
          <w:lang w:val="fr-FR" w:eastAsia="fr-BE"/>
        </w:rPr>
        <w:t>.</w:t>
      </w:r>
    </w:p>
    <w:p w:rsidR="000E5C0D" w:rsidRPr="00500B7D" w:rsidRDefault="000E5C0D" w:rsidP="000E5C0D">
      <w:pPr>
        <w:tabs>
          <w:tab w:val="clear" w:pos="284"/>
        </w:tabs>
        <w:jc w:val="both"/>
        <w:rPr>
          <w:lang w:val="fr-FR"/>
        </w:rPr>
      </w:pPr>
    </w:p>
    <w:p w:rsidR="000E5C0D" w:rsidRPr="00500B7D" w:rsidRDefault="000E5C0D" w:rsidP="000E5C0D">
      <w:pPr>
        <w:tabs>
          <w:tab w:val="clear" w:pos="284"/>
        </w:tabs>
        <w:jc w:val="both"/>
        <w:rPr>
          <w:u w:val="single"/>
          <w:lang w:val="fr-FR"/>
        </w:rPr>
      </w:pPr>
      <w:r w:rsidRPr="00500B7D">
        <w:rPr>
          <w:u w:val="single"/>
          <w:lang w:val="fr-FR"/>
        </w:rPr>
        <w:t>Sociétés de bourse</w:t>
      </w:r>
    </w:p>
    <w:p w:rsidR="000E5C0D" w:rsidRPr="00500B7D" w:rsidRDefault="000E5C0D" w:rsidP="000E5C0D">
      <w:pPr>
        <w:tabs>
          <w:tab w:val="clear" w:pos="284"/>
        </w:tabs>
        <w:jc w:val="both"/>
        <w:rPr>
          <w:lang w:val="fr-FR"/>
        </w:rPr>
      </w:pPr>
    </w:p>
    <w:p w:rsidR="000E5C0D" w:rsidRPr="001F7F81" w:rsidRDefault="000E5C0D" w:rsidP="000E5C0D">
      <w:pPr>
        <w:tabs>
          <w:tab w:val="clear" w:pos="284"/>
        </w:tabs>
        <w:jc w:val="both"/>
        <w:rPr>
          <w:lang w:val="fr-FR"/>
        </w:rPr>
      </w:pPr>
      <w:r w:rsidRPr="00500B7D">
        <w:rPr>
          <w:rFonts w:eastAsia="Arial" w:cs="Arial"/>
          <w:bdr w:val="nil"/>
          <w:lang w:val="fr-FR" w:eastAsia="fr-BE"/>
        </w:rPr>
        <w:t xml:space="preserve">Les </w:t>
      </w:r>
      <w:r>
        <w:rPr>
          <w:rFonts w:eastAsia="Arial" w:cs="Arial"/>
          <w:bdr w:val="nil"/>
          <w:lang w:val="fr-FR" w:eastAsia="fr-BE"/>
        </w:rPr>
        <w:t xml:space="preserve">dispositions exposées </w:t>
      </w:r>
      <w:r w:rsidRPr="00500B7D">
        <w:rPr>
          <w:rFonts w:eastAsia="Arial" w:cs="Arial"/>
          <w:bdr w:val="nil"/>
          <w:lang w:val="fr-FR" w:eastAsia="fr-BE"/>
        </w:rPr>
        <w:t>ci</w:t>
      </w:r>
      <w:r>
        <w:rPr>
          <w:rFonts w:ascii="Times New Roman" w:hAnsi="Times New Roman"/>
          <w:sz w:val="24"/>
          <w:szCs w:val="24"/>
          <w:bdr w:val="nil"/>
          <w:lang w:val="fr-FR" w:eastAsia="fr-BE"/>
        </w:rPr>
        <w:noBreakHyphen/>
      </w:r>
      <w:r w:rsidRPr="00500B7D">
        <w:rPr>
          <w:rFonts w:eastAsia="Arial" w:cs="Arial"/>
          <w:bdr w:val="nil"/>
          <w:lang w:val="fr-FR" w:eastAsia="fr-BE"/>
        </w:rPr>
        <w:t>dessus sont</w:t>
      </w:r>
      <w:r>
        <w:rPr>
          <w:rFonts w:eastAsia="Arial" w:cs="Arial"/>
          <w:bdr w:val="nil"/>
          <w:lang w:val="fr-FR" w:eastAsia="fr-BE"/>
        </w:rPr>
        <w:t xml:space="preserve">, conformément </w:t>
      </w:r>
      <w:r w:rsidRPr="00137508">
        <w:rPr>
          <w:rFonts w:eastAsia="Arial" w:cs="Arial"/>
          <w:bdr w:val="nil"/>
          <w:lang w:val="fr-FR" w:eastAsia="fr-BE"/>
        </w:rPr>
        <w:t>l’article</w:t>
      </w:r>
      <w:r>
        <w:rPr>
          <w:rFonts w:eastAsia="Arial" w:cs="Arial"/>
          <w:bdr w:val="nil"/>
          <w:lang w:val="fr-FR" w:eastAsia="fr-BE"/>
        </w:rPr>
        <w:t> 5</w:t>
      </w:r>
      <w:r w:rsidRPr="00137508">
        <w:rPr>
          <w:rFonts w:eastAsia="Arial" w:cs="Arial"/>
          <w:bdr w:val="nil"/>
          <w:lang w:val="fr-FR" w:eastAsia="fr-BE"/>
        </w:rPr>
        <w:t xml:space="preserve">35 de la loi </w:t>
      </w:r>
      <w:r>
        <w:rPr>
          <w:rFonts w:eastAsia="Arial" w:cs="Arial"/>
          <w:bdr w:val="nil"/>
          <w:lang w:val="fr-FR" w:eastAsia="fr-BE"/>
        </w:rPr>
        <w:t xml:space="preserve">bancaire, </w:t>
      </w:r>
      <w:r w:rsidRPr="00500B7D">
        <w:rPr>
          <w:rFonts w:eastAsia="Arial" w:cs="Arial"/>
          <w:bdr w:val="nil"/>
          <w:lang w:val="fr-FR" w:eastAsia="fr-BE"/>
        </w:rPr>
        <w:t xml:space="preserve">également </w:t>
      </w:r>
      <w:r>
        <w:rPr>
          <w:rFonts w:eastAsia="Arial" w:cs="Arial"/>
          <w:bdr w:val="nil"/>
          <w:lang w:val="fr-FR" w:eastAsia="fr-BE"/>
        </w:rPr>
        <w:t xml:space="preserve">d’application </w:t>
      </w:r>
      <w:r w:rsidRPr="00500B7D">
        <w:rPr>
          <w:rFonts w:eastAsia="Arial" w:cs="Arial"/>
          <w:bdr w:val="nil"/>
          <w:lang w:val="fr-FR" w:eastAsia="fr-BE"/>
        </w:rPr>
        <w:t xml:space="preserve">aux prêts, crédits et garanties accordés par les </w:t>
      </w:r>
      <w:r>
        <w:rPr>
          <w:rFonts w:eastAsia="Arial" w:cs="Arial"/>
          <w:bdr w:val="nil"/>
          <w:lang w:val="fr-FR" w:eastAsia="fr-BE"/>
        </w:rPr>
        <w:t>sociétés de bourse</w:t>
      </w:r>
      <w:r w:rsidRPr="00500B7D">
        <w:rPr>
          <w:rFonts w:eastAsia="Arial" w:cs="Arial"/>
          <w:bdr w:val="nil"/>
          <w:lang w:val="fr-FR" w:eastAsia="fr-BE"/>
        </w:rPr>
        <w:t>,</w:t>
      </w:r>
      <w:r>
        <w:rPr>
          <w:rFonts w:ascii="Times New Roman" w:hAnsi="Times New Roman"/>
          <w:sz w:val="24"/>
          <w:szCs w:val="24"/>
          <w:bdr w:val="nil"/>
          <w:lang w:val="fr-FR" w:eastAsia="fr-BE"/>
        </w:rPr>
        <w:t xml:space="preserve"> </w:t>
      </w:r>
      <w:r w:rsidRPr="006B279B">
        <w:rPr>
          <w:rFonts w:eastAsia="Arial" w:cs="Arial"/>
          <w:bdr w:val="nil"/>
          <w:lang w:val="fr-FR" w:eastAsia="fr-BE"/>
        </w:rPr>
        <w:t>étant entendu que</w:t>
      </w:r>
      <w:r w:rsidRPr="00500B7D">
        <w:rPr>
          <w:rFonts w:eastAsia="Arial" w:cs="Arial"/>
          <w:bdr w:val="nil"/>
          <w:lang w:val="fr-FR" w:eastAsia="fr-BE"/>
        </w:rPr>
        <w:t xml:space="preserve"> </w:t>
      </w:r>
      <w:r>
        <w:rPr>
          <w:rFonts w:eastAsia="Arial" w:cs="Arial"/>
          <w:bdr w:val="nil"/>
          <w:lang w:val="fr-FR" w:eastAsia="fr-BE"/>
        </w:rPr>
        <w:t xml:space="preserve">pour ces établissements s’applique </w:t>
      </w:r>
      <w:r w:rsidRPr="00500B7D">
        <w:rPr>
          <w:rFonts w:eastAsia="Arial" w:cs="Arial"/>
          <w:bdr w:val="nil"/>
          <w:lang w:val="fr-FR" w:eastAsia="fr-BE"/>
        </w:rPr>
        <w:t>un plafond de 25</w:t>
      </w:r>
      <w:r>
        <w:rPr>
          <w:rFonts w:eastAsia="Arial" w:cs="Arial"/>
          <w:bdr w:val="nil"/>
          <w:lang w:val="fr-FR" w:eastAsia="fr-BE"/>
        </w:rPr>
        <w:t> </w:t>
      </w:r>
      <w:r w:rsidRPr="00500B7D">
        <w:rPr>
          <w:rFonts w:eastAsia="Arial" w:cs="Arial"/>
          <w:bdr w:val="nil"/>
          <w:lang w:val="fr-FR" w:eastAsia="fr-BE"/>
        </w:rPr>
        <w:t>000</w:t>
      </w:r>
      <w:r>
        <w:rPr>
          <w:rFonts w:eastAsia="Arial" w:cs="Arial"/>
          <w:bdr w:val="nil"/>
          <w:lang w:val="fr-FR" w:eastAsia="fr-BE"/>
        </w:rPr>
        <w:t> </w:t>
      </w:r>
      <w:r w:rsidRPr="00500B7D">
        <w:rPr>
          <w:rFonts w:eastAsia="Arial" w:cs="Arial"/>
          <w:bdr w:val="nil"/>
          <w:lang w:val="fr-FR" w:eastAsia="fr-BE"/>
        </w:rPr>
        <w:t xml:space="preserve">euros pour l'obligation de notification. Les sociétés </w:t>
      </w:r>
      <w:r>
        <w:rPr>
          <w:rFonts w:eastAsia="Arial" w:cs="Arial"/>
          <w:bdr w:val="nil"/>
          <w:lang w:val="fr-FR" w:eastAsia="fr-BE"/>
        </w:rPr>
        <w:t xml:space="preserve">de bourse </w:t>
      </w:r>
      <w:r w:rsidRPr="00500B7D">
        <w:rPr>
          <w:rFonts w:eastAsia="Arial" w:cs="Arial"/>
          <w:bdr w:val="nil"/>
          <w:lang w:val="fr-FR" w:eastAsia="fr-BE"/>
        </w:rPr>
        <w:t xml:space="preserve">ne </w:t>
      </w:r>
      <w:r w:rsidRPr="00834D31">
        <w:rPr>
          <w:rFonts w:eastAsia="Arial" w:cs="Arial"/>
          <w:bdr w:val="nil"/>
          <w:lang w:val="fr-FR" w:eastAsia="fr-BE"/>
        </w:rPr>
        <w:t xml:space="preserve">peuvent accorder de prêts ou crédits </w:t>
      </w:r>
      <w:r w:rsidRPr="001F7F81">
        <w:rPr>
          <w:rFonts w:eastAsia="Arial" w:cs="Arial"/>
          <w:bdr w:val="nil"/>
          <w:lang w:val="fr-FR" w:eastAsia="fr-BE"/>
        </w:rPr>
        <w:t>que dans les limites prévues à l'article 534 de la loi bancaire.</w:t>
      </w:r>
    </w:p>
    <w:p w:rsidR="000E5C0D" w:rsidRPr="001F7F81" w:rsidRDefault="000E5C0D" w:rsidP="000E5C0D">
      <w:pPr>
        <w:tabs>
          <w:tab w:val="clear" w:pos="284"/>
        </w:tabs>
        <w:jc w:val="both"/>
        <w:rPr>
          <w:lang w:val="fr-FR"/>
        </w:rPr>
      </w:pPr>
    </w:p>
    <w:p w:rsidR="000E5C0D" w:rsidRPr="0033556D" w:rsidRDefault="000E5C0D" w:rsidP="000E5C0D">
      <w:pPr>
        <w:tabs>
          <w:tab w:val="clear" w:pos="284"/>
        </w:tabs>
        <w:jc w:val="both"/>
        <w:rPr>
          <w:u w:val="single"/>
          <w:lang w:val="fr-FR"/>
        </w:rPr>
      </w:pPr>
      <w:r w:rsidRPr="0033556D">
        <w:rPr>
          <w:u w:val="single"/>
          <w:lang w:val="fr-FR"/>
        </w:rPr>
        <w:t>Sociétés holding d’assurance et compagnies financières mixtes</w:t>
      </w:r>
      <w:r w:rsidR="008D392C" w:rsidRPr="0033556D">
        <w:rPr>
          <w:u w:val="single"/>
          <w:lang w:val="fr-FR"/>
        </w:rPr>
        <w:t xml:space="preserve"> de droit belge à la tête d’un groupe d’assurance et de réassurance</w:t>
      </w:r>
    </w:p>
    <w:p w:rsidR="000E5C0D" w:rsidRPr="0033556D" w:rsidRDefault="000E5C0D" w:rsidP="000E5C0D">
      <w:pPr>
        <w:tabs>
          <w:tab w:val="clear" w:pos="284"/>
        </w:tabs>
        <w:jc w:val="both"/>
        <w:rPr>
          <w:lang w:val="fr-FR"/>
        </w:rPr>
      </w:pPr>
    </w:p>
    <w:p w:rsidR="000E5C0D" w:rsidRPr="00500B7D" w:rsidRDefault="000E5C0D" w:rsidP="000E5C0D">
      <w:pPr>
        <w:tabs>
          <w:tab w:val="clear" w:pos="284"/>
        </w:tabs>
        <w:jc w:val="both"/>
        <w:rPr>
          <w:lang w:val="fr-FR"/>
        </w:rPr>
      </w:pPr>
      <w:r w:rsidRPr="0033556D">
        <w:rPr>
          <w:lang w:val="fr-FR"/>
        </w:rPr>
        <w:t>L’ensemble des prescriptions reprises ci-dessus s’appliquent également, conformément à l’article 443, alinéa 1</w:t>
      </w:r>
      <w:r w:rsidRPr="0033556D">
        <w:rPr>
          <w:vertAlign w:val="superscript"/>
          <w:lang w:val="fr-FR"/>
        </w:rPr>
        <w:t>er</w:t>
      </w:r>
      <w:r w:rsidRPr="0033556D">
        <w:rPr>
          <w:lang w:val="fr-FR"/>
        </w:rPr>
        <w:t>, de la loi Solvabilité II, aux sociétés holdings d’assurance de droit belge et aux compagnies financières mixtes de droit belge qui sont à la tête d’un groupe d’assurance et de réassurance au sens des articles 33</w:t>
      </w:r>
      <w:r w:rsidR="008D392C" w:rsidRPr="0033556D">
        <w:rPr>
          <w:lang w:val="fr-FR"/>
        </w:rPr>
        <w:t>8</w:t>
      </w:r>
      <w:r w:rsidRPr="0033556D">
        <w:rPr>
          <w:lang w:val="fr-FR"/>
        </w:rPr>
        <w:t xml:space="preserve"> et 343 de la</w:t>
      </w:r>
      <w:r w:rsidRPr="00500B7D">
        <w:rPr>
          <w:lang w:val="fr-FR"/>
        </w:rPr>
        <w:t xml:space="preserve"> loi Solvabilité</w:t>
      </w:r>
      <w:r>
        <w:rPr>
          <w:lang w:val="fr-FR"/>
        </w:rPr>
        <w:t> </w:t>
      </w:r>
      <w:r w:rsidRPr="00500B7D">
        <w:rPr>
          <w:lang w:val="fr-FR"/>
        </w:rPr>
        <w:t>II</w:t>
      </w:r>
      <w:r>
        <w:rPr>
          <w:lang w:val="fr-FR"/>
        </w:rPr>
        <w:t xml:space="preserve"> soumis au contrôle de la Banque</w:t>
      </w:r>
      <w:r w:rsidRPr="00500B7D">
        <w:rPr>
          <w:lang w:val="fr-FR"/>
        </w:rPr>
        <w:t>.</w:t>
      </w:r>
    </w:p>
    <w:p w:rsidR="000E5C0D" w:rsidRPr="00500B7D" w:rsidRDefault="000E5C0D" w:rsidP="000E5C0D">
      <w:pPr>
        <w:tabs>
          <w:tab w:val="clear" w:pos="284"/>
        </w:tabs>
        <w:jc w:val="both"/>
        <w:rPr>
          <w:lang w:val="fr-FR"/>
        </w:rPr>
      </w:pPr>
    </w:p>
    <w:p w:rsidR="000E5C0D" w:rsidRPr="00500B7D" w:rsidRDefault="000E5C0D" w:rsidP="000E5C0D">
      <w:pPr>
        <w:tabs>
          <w:tab w:val="clear" w:pos="284"/>
        </w:tabs>
        <w:jc w:val="both"/>
        <w:rPr>
          <w:rFonts w:cs="Arial"/>
          <w:lang w:val="fr-FR"/>
        </w:rPr>
      </w:pPr>
      <w:r w:rsidRPr="00500B7D">
        <w:rPr>
          <w:rFonts w:eastAsia="Arial" w:cs="Arial"/>
          <w:bdr w:val="nil"/>
          <w:lang w:val="fr-FR"/>
        </w:rPr>
        <w:t>La présente circulaire annule et remplace la circulaire D1 94/5 du 28</w:t>
      </w:r>
      <w:r>
        <w:rPr>
          <w:rFonts w:eastAsia="Arial" w:cs="Arial"/>
          <w:bdr w:val="nil"/>
          <w:lang w:val="fr-FR"/>
        </w:rPr>
        <w:t> n</w:t>
      </w:r>
      <w:r w:rsidRPr="00500B7D">
        <w:rPr>
          <w:rFonts w:eastAsia="Arial" w:cs="Arial"/>
          <w:bdr w:val="nil"/>
          <w:lang w:val="fr-FR"/>
        </w:rPr>
        <w:t>ovembre</w:t>
      </w:r>
      <w:r>
        <w:rPr>
          <w:rFonts w:eastAsia="Arial" w:cs="Arial"/>
          <w:bdr w:val="nil"/>
          <w:lang w:val="fr-FR"/>
        </w:rPr>
        <w:t> </w:t>
      </w:r>
      <w:r w:rsidRPr="00500B7D">
        <w:rPr>
          <w:rFonts w:eastAsia="Arial" w:cs="Arial"/>
          <w:bdr w:val="nil"/>
          <w:lang w:val="fr-FR"/>
        </w:rPr>
        <w:t>1994.</w:t>
      </w:r>
    </w:p>
    <w:p w:rsidR="000E5C0D" w:rsidRPr="00500B7D" w:rsidRDefault="000E5C0D" w:rsidP="000E5C0D">
      <w:pPr>
        <w:tabs>
          <w:tab w:val="clear" w:pos="284"/>
        </w:tabs>
        <w:jc w:val="both"/>
        <w:rPr>
          <w:rFonts w:cs="Arial"/>
          <w:lang w:val="fr-FR"/>
        </w:rPr>
      </w:pPr>
    </w:p>
    <w:p w:rsidR="000E5C0D" w:rsidRDefault="000E5C0D" w:rsidP="000E5C0D">
      <w:pPr>
        <w:tabs>
          <w:tab w:val="clear" w:pos="284"/>
        </w:tabs>
        <w:jc w:val="both"/>
        <w:rPr>
          <w:rFonts w:eastAsia="Arial" w:cs="Arial"/>
          <w:bdr w:val="nil"/>
          <w:lang w:val="fr-FR" w:eastAsia="fr-BE"/>
        </w:rPr>
      </w:pPr>
      <w:r w:rsidRPr="00500B7D">
        <w:rPr>
          <w:rFonts w:eastAsia="Arial" w:cs="Arial"/>
          <w:bdr w:val="nil"/>
          <w:lang w:val="fr-FR" w:eastAsia="fr-BE"/>
        </w:rPr>
        <w:t xml:space="preserve">Une copie de </w:t>
      </w:r>
      <w:r>
        <w:rPr>
          <w:rFonts w:eastAsia="Arial" w:cs="Arial"/>
          <w:bdr w:val="nil"/>
          <w:lang w:val="fr-FR" w:eastAsia="fr-BE"/>
        </w:rPr>
        <w:t xml:space="preserve">la présente </w:t>
      </w:r>
      <w:r w:rsidRPr="00500B7D">
        <w:rPr>
          <w:rFonts w:eastAsia="Arial" w:cs="Arial"/>
          <w:bdr w:val="nil"/>
          <w:lang w:val="fr-FR" w:eastAsia="fr-BE"/>
        </w:rPr>
        <w:t xml:space="preserve">circulaire est </w:t>
      </w:r>
      <w:r>
        <w:rPr>
          <w:rFonts w:eastAsia="Arial" w:cs="Arial"/>
          <w:bdr w:val="nil"/>
          <w:lang w:val="fr-FR" w:eastAsia="fr-BE"/>
        </w:rPr>
        <w:t>adressée au réviseur de votre établissement ou entreprise</w:t>
      </w:r>
      <w:r w:rsidRPr="00500B7D">
        <w:rPr>
          <w:rFonts w:eastAsia="Arial" w:cs="Arial"/>
          <w:bdr w:val="nil"/>
          <w:lang w:val="fr-FR" w:eastAsia="fr-BE"/>
        </w:rPr>
        <w:t>.</w:t>
      </w:r>
    </w:p>
    <w:p w:rsidR="00F963CB" w:rsidRDefault="00F963CB" w:rsidP="000E5C0D">
      <w:pPr>
        <w:tabs>
          <w:tab w:val="clear" w:pos="284"/>
        </w:tabs>
        <w:jc w:val="both"/>
        <w:rPr>
          <w:rFonts w:eastAsia="Arial" w:cs="Arial"/>
          <w:bdr w:val="nil"/>
          <w:lang w:val="fr-FR" w:eastAsia="fr-BE"/>
        </w:rPr>
      </w:pPr>
    </w:p>
    <w:p w:rsidR="00F963CB" w:rsidRDefault="00F963CB" w:rsidP="00F963CB">
      <w:pPr>
        <w:spacing w:after="120"/>
        <w:jc w:val="both"/>
        <w:rPr>
          <w:lang w:val="fr-FR"/>
        </w:rPr>
      </w:pPr>
      <w:r w:rsidRPr="005E197B">
        <w:rPr>
          <w:lang w:val="fr-FR"/>
        </w:rPr>
        <w:t>Je vous prie de croire, Madame, Monsieur, en l’assurance de ma considération distinguée.</w:t>
      </w:r>
    </w:p>
    <w:p w:rsidR="00985F14" w:rsidRDefault="00985F14" w:rsidP="000E5C0D">
      <w:pPr>
        <w:tabs>
          <w:tab w:val="clear" w:pos="284"/>
        </w:tabs>
        <w:spacing w:line="240" w:lineRule="auto"/>
        <w:rPr>
          <w:lang w:val="fr-FR"/>
        </w:rPr>
      </w:pPr>
      <w:bookmarkStart w:id="0" w:name="_GoBack"/>
      <w:bookmarkEnd w:id="0"/>
    </w:p>
    <w:p w:rsidR="00985F14" w:rsidRDefault="00985F14" w:rsidP="000E5C0D">
      <w:pPr>
        <w:tabs>
          <w:tab w:val="clear" w:pos="284"/>
        </w:tabs>
        <w:spacing w:line="240" w:lineRule="auto"/>
        <w:rPr>
          <w:lang w:val="fr-FR"/>
        </w:rPr>
      </w:pPr>
    </w:p>
    <w:p w:rsidR="00985F14" w:rsidRPr="00500B7D" w:rsidRDefault="00985F14" w:rsidP="000E5C0D">
      <w:pPr>
        <w:tabs>
          <w:tab w:val="clear" w:pos="284"/>
        </w:tabs>
        <w:spacing w:line="240" w:lineRule="auto"/>
        <w:rPr>
          <w:lang w:val="fr-FR"/>
        </w:rPr>
      </w:pPr>
    </w:p>
    <w:p w:rsidR="000E5C0D" w:rsidRPr="00500B7D" w:rsidRDefault="000E5C0D" w:rsidP="000E5C0D">
      <w:pPr>
        <w:tabs>
          <w:tab w:val="clear" w:pos="284"/>
        </w:tabs>
        <w:spacing w:line="240" w:lineRule="auto"/>
        <w:rPr>
          <w:lang w:val="fr-FR"/>
        </w:rPr>
      </w:pPr>
      <w:r w:rsidRPr="00500B7D">
        <w:rPr>
          <w:lang w:val="fr-FR"/>
        </w:rPr>
        <w:t>Jan Smets</w:t>
      </w:r>
    </w:p>
    <w:p w:rsidR="004C0334" w:rsidRDefault="000E5C0D" w:rsidP="004C0334">
      <w:pPr>
        <w:tabs>
          <w:tab w:val="clear" w:pos="284"/>
        </w:tabs>
        <w:spacing w:line="240" w:lineRule="auto"/>
        <w:rPr>
          <w:lang w:val="fr-FR"/>
        </w:rPr>
      </w:pPr>
      <w:r w:rsidRPr="00500B7D">
        <w:rPr>
          <w:lang w:val="fr-FR"/>
        </w:rPr>
        <w:t>Gouverneur</w:t>
      </w:r>
    </w:p>
    <w:p w:rsidR="00985F14" w:rsidRDefault="00985F14" w:rsidP="004C0334">
      <w:pPr>
        <w:tabs>
          <w:tab w:val="clear" w:pos="284"/>
        </w:tabs>
        <w:spacing w:line="240" w:lineRule="auto"/>
        <w:rPr>
          <w:lang w:val="fr-FR"/>
        </w:rPr>
      </w:pPr>
    </w:p>
    <w:p w:rsidR="000E5C0D" w:rsidRPr="006E45EE" w:rsidRDefault="00985F14" w:rsidP="00985F14">
      <w:pPr>
        <w:tabs>
          <w:tab w:val="clear" w:pos="284"/>
        </w:tabs>
        <w:spacing w:line="240" w:lineRule="auto"/>
        <w:rPr>
          <w:i/>
          <w:lang w:val="fr-FR"/>
        </w:rPr>
      </w:pPr>
      <w:r w:rsidRPr="006E45EE">
        <w:rPr>
          <w:i/>
          <w:lang w:val="fr-FR"/>
        </w:rPr>
        <w:t xml:space="preserve">Annexe : </w:t>
      </w:r>
      <w:r w:rsidR="00F52B47" w:rsidRPr="006E45EE">
        <w:rPr>
          <w:rFonts w:cs="Arial"/>
          <w:i/>
          <w:lang w:val="fr-FR"/>
        </w:rPr>
        <w:t xml:space="preserve">Tableau de </w:t>
      </w:r>
      <w:proofErr w:type="spellStart"/>
      <w:r w:rsidR="00F52B47" w:rsidRPr="006E45EE">
        <w:rPr>
          <w:rFonts w:cs="Arial"/>
          <w:i/>
          <w:lang w:val="fr-FR"/>
        </w:rPr>
        <w:t>reporting</w:t>
      </w:r>
      <w:proofErr w:type="spellEnd"/>
    </w:p>
    <w:sectPr w:rsidR="000E5C0D" w:rsidRPr="006E45EE"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65" w:rsidRDefault="00465F65">
      <w:r>
        <w:separator/>
      </w:r>
    </w:p>
  </w:endnote>
  <w:endnote w:type="continuationSeparator" w:id="0">
    <w:p w:rsidR="00465F65" w:rsidRDefault="0046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76" w:rsidRPr="000E5C0D" w:rsidRDefault="000E5C0D" w:rsidP="00E87276">
    <w:pPr>
      <w:pStyle w:val="Footer"/>
      <w:pBdr>
        <w:top w:val="single" w:sz="4" w:space="1" w:color="auto"/>
      </w:pBdr>
      <w:rPr>
        <w:b/>
        <w:sz w:val="16"/>
        <w:szCs w:val="16"/>
        <w:lang w:val="nl-BE"/>
      </w:rPr>
    </w:pPr>
    <w:r>
      <w:rPr>
        <w:b/>
        <w:sz w:val="16"/>
        <w:szCs w:val="16"/>
        <w:lang w:val="nl-BE"/>
      </w:rPr>
      <w:t>C</w:t>
    </w:r>
    <w:r w:rsidR="0070517E">
      <w:rPr>
        <w:b/>
        <w:sz w:val="16"/>
        <w:szCs w:val="16"/>
        <w:lang w:val="nl-BE"/>
      </w:rPr>
      <w:t>irculaire</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0331CE">
      <w:rPr>
        <w:b/>
        <w:noProof/>
        <w:sz w:val="16"/>
        <w:szCs w:val="16"/>
        <w:lang w:val="nl-BE"/>
      </w:rPr>
      <w:t>4</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0331CE">
      <w:rPr>
        <w:b/>
        <w:noProof/>
        <w:sz w:val="16"/>
        <w:szCs w:val="16"/>
        <w:lang w:val="nl-BE"/>
      </w:rPr>
      <w:t>4</w:t>
    </w:r>
    <w:r>
      <w:rPr>
        <w:b/>
        <w:sz w:val="16"/>
        <w:szCs w:val="16"/>
        <w:lang w:val="nl-BE"/>
      </w:rPr>
      <w:fldChar w:fldCharType="end"/>
    </w:r>
    <w:r>
      <w:rPr>
        <w:b/>
        <w:sz w:val="16"/>
        <w:szCs w:val="16"/>
        <w:lang w:val="nl-BE"/>
      </w:rPr>
      <w:tab/>
    </w:r>
    <w:r>
      <w:rPr>
        <w:sz w:val="14"/>
        <w:szCs w:val="16"/>
        <w:lang w:val="nl-BE"/>
      </w:rPr>
      <w:t>NBB_2017</w:t>
    </w:r>
    <w:r w:rsidR="000320BF">
      <w:rPr>
        <w:sz w:val="14"/>
        <w:szCs w:val="16"/>
        <w:lang w:val="nl-BE"/>
      </w:rPr>
      <w:t>_21</w:t>
    </w:r>
    <w:r>
      <w:rPr>
        <w:rFonts w:cs="Arial"/>
        <w:sz w:val="14"/>
        <w:szCs w:val="16"/>
        <w:lang w:val="nl-BE"/>
      </w:rPr>
      <w:t> </w:t>
    </w:r>
    <w:r>
      <w:rPr>
        <w:rFonts w:cs="Arial"/>
        <w:sz w:val="14"/>
        <w:szCs w:val="16"/>
        <w:lang w:val="nl-BE"/>
      </w:rPr>
      <w:t>–</w:t>
    </w:r>
    <w:r>
      <w:rPr>
        <w:rFonts w:cs="Arial"/>
        <w:sz w:val="14"/>
        <w:szCs w:val="16"/>
        <w:lang w:val="nl-BE"/>
      </w:rPr>
      <w:t> </w:t>
    </w:r>
    <w:r w:rsidR="00F963CB">
      <w:rPr>
        <w:sz w:val="14"/>
        <w:szCs w:val="16"/>
        <w:lang w:val="nl-BE"/>
      </w:rPr>
      <w:t>7</w:t>
    </w:r>
    <w:r w:rsidR="00275CDE">
      <w:rPr>
        <w:sz w:val="14"/>
        <w:szCs w:val="16"/>
        <w:lang w:val="nl-BE"/>
      </w:rPr>
      <w:t xml:space="preserve"> </w:t>
    </w:r>
    <w:proofErr w:type="spellStart"/>
    <w:r w:rsidR="00275CDE">
      <w:rPr>
        <w:sz w:val="14"/>
        <w:szCs w:val="16"/>
        <w:lang w:val="nl-BE"/>
      </w:rPr>
      <w:t>juillet</w:t>
    </w:r>
    <w:proofErr w:type="spellEnd"/>
    <w:r>
      <w:rPr>
        <w:sz w:val="14"/>
        <w:szCs w:val="16"/>
        <w:lang w:val="nl-BE"/>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0E5C0D" w:rsidRDefault="000E5C0D" w:rsidP="00F64E38">
    <w:pPr>
      <w:pStyle w:val="Footer"/>
      <w:pBdr>
        <w:top w:val="single" w:sz="4" w:space="1" w:color="auto"/>
      </w:pBdr>
      <w:rPr>
        <w:b/>
        <w:sz w:val="16"/>
        <w:szCs w:val="14"/>
        <w:lang w:val="nl-BE"/>
      </w:rPr>
    </w:pPr>
    <w:r>
      <w:rPr>
        <w:b/>
        <w:sz w:val="16"/>
        <w:szCs w:val="14"/>
        <w:lang w:val="nl-BE"/>
      </w:rPr>
      <w:tab/>
    </w:r>
    <w:r>
      <w:rPr>
        <w:sz w:val="14"/>
        <w:szCs w:val="14"/>
        <w:lang w:val="nl-BE"/>
      </w:rPr>
      <w:t>NBB_2017</w:t>
    </w:r>
    <w:r w:rsidR="000320BF">
      <w:rPr>
        <w:sz w:val="14"/>
        <w:szCs w:val="14"/>
        <w:lang w:val="nl-BE"/>
      </w:rPr>
      <w:t>_21</w:t>
    </w:r>
    <w:r>
      <w:rPr>
        <w:rFonts w:cs="Arial"/>
        <w:sz w:val="14"/>
        <w:szCs w:val="14"/>
        <w:lang w:val="nl-BE"/>
      </w:rPr>
      <w:t> </w:t>
    </w:r>
    <w:r>
      <w:rPr>
        <w:rFonts w:cs="Arial"/>
        <w:sz w:val="14"/>
        <w:szCs w:val="14"/>
        <w:lang w:val="nl-BE"/>
      </w:rPr>
      <w:t>–</w:t>
    </w:r>
    <w:r>
      <w:rPr>
        <w:rFonts w:cs="Arial"/>
        <w:sz w:val="14"/>
        <w:szCs w:val="14"/>
        <w:lang w:val="nl-BE"/>
      </w:rPr>
      <w:t> </w:t>
    </w:r>
    <w:r w:rsidR="00F963CB">
      <w:rPr>
        <w:sz w:val="14"/>
        <w:szCs w:val="14"/>
        <w:lang w:val="nl-BE"/>
      </w:rPr>
      <w:t>7</w:t>
    </w:r>
    <w:r w:rsidR="00275CDE">
      <w:rPr>
        <w:sz w:val="14"/>
        <w:szCs w:val="14"/>
        <w:lang w:val="nl-BE"/>
      </w:rPr>
      <w:t xml:space="preserve"> </w:t>
    </w:r>
    <w:proofErr w:type="spellStart"/>
    <w:r w:rsidR="00275CDE">
      <w:rPr>
        <w:sz w:val="14"/>
        <w:szCs w:val="14"/>
        <w:lang w:val="nl-BE"/>
      </w:rPr>
      <w:t>juillet</w:t>
    </w:r>
    <w:proofErr w:type="spellEnd"/>
    <w:r>
      <w:rPr>
        <w:sz w:val="14"/>
        <w:szCs w:val="14"/>
        <w:lang w:val="nl-BE"/>
      </w:rPr>
      <w:t xml:space="preserve"> 2017</w:t>
    </w:r>
    <w:r>
      <w:rPr>
        <w:b/>
        <w:sz w:val="16"/>
        <w:szCs w:val="14"/>
        <w:lang w:val="nl-BE"/>
      </w:rPr>
      <w:tab/>
      <w:t>C</w:t>
    </w:r>
    <w:r w:rsidR="0070517E">
      <w:rPr>
        <w:b/>
        <w:sz w:val="16"/>
        <w:szCs w:val="14"/>
        <w:lang w:val="nl-BE"/>
      </w:rPr>
      <w:t>irculaire</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0331CE">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0331CE">
      <w:rPr>
        <w:b/>
        <w:noProof/>
        <w:sz w:val="16"/>
        <w:szCs w:val="14"/>
        <w:lang w:val="nl-BE"/>
      </w:rPr>
      <w:t>4</w:t>
    </w:r>
    <w:r>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0E5C0D" w:rsidRDefault="000E5C0D" w:rsidP="00CB2202">
    <w:pPr>
      <w:pStyle w:val="Footer"/>
      <w:pBdr>
        <w:top w:val="single" w:sz="4" w:space="1" w:color="auto"/>
      </w:pBdr>
      <w:rPr>
        <w:b/>
        <w:sz w:val="16"/>
        <w:szCs w:val="16"/>
        <w:lang w:val="nl-BE"/>
      </w:rPr>
    </w:pPr>
    <w:r>
      <w:rPr>
        <w:b/>
        <w:sz w:val="16"/>
        <w:szCs w:val="16"/>
        <w:lang w:val="nl-BE"/>
      </w:rPr>
      <w:tab/>
    </w:r>
    <w:r>
      <w:rPr>
        <w:sz w:val="14"/>
        <w:szCs w:val="16"/>
        <w:lang w:val="nl-BE"/>
      </w:rPr>
      <w:t>NBB_2017</w:t>
    </w:r>
    <w:r w:rsidR="000320BF">
      <w:rPr>
        <w:sz w:val="14"/>
        <w:szCs w:val="16"/>
        <w:lang w:val="nl-BE"/>
      </w:rPr>
      <w:t>_21</w:t>
    </w:r>
    <w:r>
      <w:rPr>
        <w:rFonts w:cs="Arial"/>
        <w:sz w:val="14"/>
        <w:szCs w:val="16"/>
        <w:lang w:val="nl-BE"/>
      </w:rPr>
      <w:t> </w:t>
    </w:r>
    <w:r>
      <w:rPr>
        <w:rFonts w:cs="Arial"/>
        <w:sz w:val="14"/>
        <w:szCs w:val="16"/>
        <w:lang w:val="nl-BE"/>
      </w:rPr>
      <w:t>–</w:t>
    </w:r>
    <w:r>
      <w:rPr>
        <w:rFonts w:cs="Arial"/>
        <w:sz w:val="14"/>
        <w:szCs w:val="16"/>
        <w:lang w:val="nl-BE"/>
      </w:rPr>
      <w:t> </w:t>
    </w:r>
    <w:r w:rsidR="00F963CB">
      <w:rPr>
        <w:sz w:val="14"/>
        <w:szCs w:val="16"/>
        <w:lang w:val="nl-BE"/>
      </w:rPr>
      <w:t>7</w:t>
    </w:r>
    <w:r w:rsidR="00275CDE">
      <w:rPr>
        <w:sz w:val="14"/>
        <w:szCs w:val="16"/>
        <w:lang w:val="nl-BE"/>
      </w:rPr>
      <w:t xml:space="preserve"> </w:t>
    </w:r>
    <w:proofErr w:type="spellStart"/>
    <w:r w:rsidR="00275CDE">
      <w:rPr>
        <w:sz w:val="14"/>
        <w:szCs w:val="16"/>
        <w:lang w:val="nl-BE"/>
      </w:rPr>
      <w:t>juillet</w:t>
    </w:r>
    <w:proofErr w:type="spellEnd"/>
    <w:r>
      <w:rPr>
        <w:sz w:val="14"/>
        <w:szCs w:val="16"/>
        <w:lang w:val="nl-BE"/>
      </w:rPr>
      <w:t xml:space="preserve"> 2017</w:t>
    </w:r>
    <w:r>
      <w:rPr>
        <w:b/>
        <w:sz w:val="16"/>
        <w:szCs w:val="16"/>
        <w:lang w:val="nl-BE"/>
      </w:rPr>
      <w:tab/>
      <w:t>C</w:t>
    </w:r>
    <w:r w:rsidR="0070517E">
      <w:rPr>
        <w:b/>
        <w:sz w:val="16"/>
        <w:szCs w:val="16"/>
        <w:lang w:val="nl-BE"/>
      </w:rPr>
      <w:t>irculaire</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0331CE">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0331CE">
      <w:rPr>
        <w:b/>
        <w:noProof/>
        <w:sz w:val="16"/>
        <w:szCs w:val="16"/>
        <w:lang w:val="nl-BE"/>
      </w:rPr>
      <w:t>4</w:t>
    </w:r>
    <w:r>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65" w:rsidRPr="00117F31" w:rsidRDefault="00465F65" w:rsidP="00117F31">
      <w:pPr>
        <w:pStyle w:val="Footer"/>
      </w:pPr>
    </w:p>
  </w:footnote>
  <w:footnote w:type="continuationSeparator" w:id="0">
    <w:p w:rsidR="00465F65" w:rsidRPr="00117F31" w:rsidRDefault="00465F65" w:rsidP="00117F31">
      <w:pPr>
        <w:pStyle w:val="Footer"/>
      </w:pPr>
    </w:p>
  </w:footnote>
  <w:footnote w:type="continuationNotice" w:id="1">
    <w:p w:rsidR="00465F65" w:rsidRDefault="00465F65"/>
  </w:footnote>
  <w:footnote w:id="2">
    <w:p w:rsidR="000E5C0D" w:rsidRPr="00055543" w:rsidRDefault="000E5C0D" w:rsidP="000E5C0D">
      <w:pPr>
        <w:pStyle w:val="FootnoteText"/>
        <w:tabs>
          <w:tab w:val="clear" w:pos="284"/>
        </w:tabs>
        <w:spacing w:line="240" w:lineRule="auto"/>
        <w:rPr>
          <w:lang w:val="fr-FR"/>
        </w:rPr>
      </w:pPr>
      <w:r w:rsidRPr="00055543">
        <w:rPr>
          <w:rStyle w:val="FootnoteReference"/>
          <w:lang w:val="fr-FR"/>
        </w:rPr>
        <w:footnoteRef/>
      </w:r>
      <w:r w:rsidRPr="00055543">
        <w:rPr>
          <w:lang w:val="fr-FR"/>
        </w:rPr>
        <w:tab/>
      </w:r>
      <w:r>
        <w:rPr>
          <w:lang w:val="fr-FR"/>
        </w:rPr>
        <w:t>Loi du 25 avril 2014 relative au statut et au contrôle des établissements de crédit et</w:t>
      </w:r>
      <w:r w:rsidRPr="001104EE">
        <w:rPr>
          <w:lang w:val="fr-FR"/>
        </w:rPr>
        <w:t xml:space="preserve"> des sociétés de bourse</w:t>
      </w:r>
      <w:r w:rsidRPr="00055543">
        <w:rPr>
          <w:lang w:val="fr-FR"/>
        </w:rPr>
        <w:t>.</w:t>
      </w:r>
    </w:p>
  </w:footnote>
  <w:footnote w:id="3">
    <w:p w:rsidR="000E5C0D" w:rsidRPr="00055543" w:rsidRDefault="000E5C0D" w:rsidP="000E5C0D">
      <w:pPr>
        <w:pStyle w:val="FootnoteText"/>
        <w:tabs>
          <w:tab w:val="clear" w:pos="284"/>
        </w:tabs>
        <w:rPr>
          <w:lang w:val="fr-FR"/>
        </w:rPr>
      </w:pPr>
      <w:r w:rsidRPr="00055543">
        <w:rPr>
          <w:rStyle w:val="FootnoteReference"/>
          <w:lang w:val="fr-FR"/>
        </w:rPr>
        <w:footnoteRef/>
      </w:r>
      <w:r>
        <w:rPr>
          <w:lang w:val="fr-FR"/>
        </w:rPr>
        <w:tab/>
      </w:r>
      <w:r w:rsidRPr="00055543">
        <w:rPr>
          <w:lang w:val="fr-FR"/>
        </w:rPr>
        <w:t>Loi du 13 mars 2016 relative au statut et au contrôle des entreprises d’assurance ou de réassurance</w:t>
      </w:r>
      <w:r>
        <w:rPr>
          <w:lang w:val="fr-FR"/>
        </w:rPr>
        <w:t>.</w:t>
      </w:r>
    </w:p>
  </w:footnote>
  <w:footnote w:id="4">
    <w:p w:rsidR="008D392C" w:rsidRPr="00F52B47" w:rsidRDefault="008D392C">
      <w:pPr>
        <w:pStyle w:val="FootnoteText"/>
        <w:rPr>
          <w:lang w:val="fr-BE"/>
        </w:rPr>
      </w:pPr>
      <w:r>
        <w:rPr>
          <w:rStyle w:val="FootnoteReference"/>
        </w:rPr>
        <w:footnoteRef/>
      </w:r>
      <w:r>
        <w:t xml:space="preserve"> </w:t>
      </w:r>
      <w:r>
        <w:tab/>
      </w:r>
      <w:r>
        <w:rPr>
          <w:lang w:val="fr-BE"/>
        </w:rPr>
        <w:t xml:space="preserve">Sous le terme « entreprise d’assurance », il y a lieu d’entendre </w:t>
      </w:r>
      <w:r w:rsidR="00FC36D9">
        <w:rPr>
          <w:lang w:val="fr-BE"/>
        </w:rPr>
        <w:t>« entreprise d’assurance ou de réassurance ».</w:t>
      </w:r>
    </w:p>
  </w:footnote>
  <w:footnote w:id="5">
    <w:p w:rsidR="000E5C0D" w:rsidRPr="00055543" w:rsidRDefault="000E5C0D" w:rsidP="000E5C0D">
      <w:pPr>
        <w:pStyle w:val="FootnoteText"/>
        <w:tabs>
          <w:tab w:val="clear" w:pos="284"/>
        </w:tabs>
        <w:spacing w:line="240" w:lineRule="auto"/>
        <w:rPr>
          <w:lang w:val="fr-FR"/>
        </w:rPr>
      </w:pPr>
      <w:r w:rsidRPr="00055543">
        <w:rPr>
          <w:rStyle w:val="FootnoteReference"/>
          <w:lang w:val="fr-FR"/>
        </w:rPr>
        <w:footnoteRef/>
      </w:r>
      <w:r w:rsidRPr="00055543">
        <w:rPr>
          <w:lang w:val="fr-FR"/>
        </w:rPr>
        <w:tab/>
        <w:t>Voir la définition de l'article 3, 27 °/1 de la loi bancaire.</w:t>
      </w:r>
    </w:p>
  </w:footnote>
  <w:footnote w:id="6">
    <w:p w:rsidR="000E5C0D" w:rsidRPr="00055543" w:rsidRDefault="000E5C0D" w:rsidP="000E5C0D">
      <w:pPr>
        <w:pStyle w:val="FootnoteText"/>
        <w:tabs>
          <w:tab w:val="clear" w:pos="284"/>
        </w:tabs>
        <w:rPr>
          <w:lang w:val="fr-FR"/>
        </w:rPr>
      </w:pPr>
      <w:r w:rsidRPr="00055543">
        <w:rPr>
          <w:rStyle w:val="FootnoteReference"/>
          <w:lang w:val="fr-FR"/>
        </w:rPr>
        <w:footnoteRef/>
      </w:r>
      <w:r>
        <w:rPr>
          <w:lang w:val="fr-FR"/>
        </w:rPr>
        <w:tab/>
      </w:r>
      <w:r w:rsidRPr="00055543">
        <w:rPr>
          <w:lang w:val="fr-FR"/>
        </w:rPr>
        <w:t>Les modifications résultant de l’exécution des conditions et modalités contractuelles de l’opération (par exemple les remboursements périodiques du capital emprunté) ne sont donc pas à rapporter dans cette colonne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E829D6">
    <w:pPr>
      <w:pStyle w:val="Header"/>
      <w:tabs>
        <w:tab w:val="clear" w:pos="4394"/>
        <w:tab w:val="center" w:pos="4395"/>
      </w:tabs>
      <w:rPr>
        <w:lang w:val="nl-BE"/>
      </w:rPr>
    </w:pPr>
  </w:p>
  <w:p w:rsidR="00450949" w:rsidRPr="00BF29ED" w:rsidRDefault="00450949"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D850C8">
    <w:pPr>
      <w:pStyle w:val="Header"/>
      <w:rPr>
        <w:lang w:val="nl-BE"/>
      </w:rPr>
    </w:pPr>
  </w:p>
  <w:p w:rsidR="00450949" w:rsidRPr="00D850C8" w:rsidRDefault="00450949"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3">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5">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6">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7">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8">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7A24A52"/>
    <w:multiLevelType w:val="hybridMultilevel"/>
    <w:tmpl w:val="40DCA6BC"/>
    <w:lvl w:ilvl="0" w:tplc="1604DF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2B7090"/>
    <w:multiLevelType w:val="hybridMultilevel"/>
    <w:tmpl w:val="DC729A2E"/>
    <w:lvl w:ilvl="0" w:tplc="3732E5DC">
      <w:numFmt w:val="bullet"/>
      <w:lvlText w:val="-"/>
      <w:lvlJc w:val="left"/>
      <w:pPr>
        <w:ind w:left="720" w:hanging="360"/>
      </w:pPr>
      <w:rPr>
        <w:rFonts w:ascii="Arial" w:eastAsia="Times New Roman" w:hAnsi="Arial" w:cs="Arial"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6">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1">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32">
    <w:nsid w:val="7C604330"/>
    <w:multiLevelType w:val="hybridMultilevel"/>
    <w:tmpl w:val="B92A1A6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FAB1FF9"/>
    <w:multiLevelType w:val="hybridMultilevel"/>
    <w:tmpl w:val="25AA5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6"/>
  </w:num>
  <w:num w:numId="12">
    <w:abstractNumId w:val="19"/>
  </w:num>
  <w:num w:numId="13">
    <w:abstractNumId w:val="29"/>
  </w:num>
  <w:num w:numId="14">
    <w:abstractNumId w:val="22"/>
  </w:num>
  <w:num w:numId="15">
    <w:abstractNumId w:val="18"/>
  </w:num>
  <w:num w:numId="16">
    <w:abstractNumId w:val="13"/>
  </w:num>
  <w:num w:numId="17">
    <w:abstractNumId w:val="30"/>
  </w:num>
  <w:num w:numId="18">
    <w:abstractNumId w:val="12"/>
  </w:num>
  <w:num w:numId="19">
    <w:abstractNumId w:val="14"/>
  </w:num>
  <w:num w:numId="20">
    <w:abstractNumId w:val="31"/>
  </w:num>
  <w:num w:numId="21">
    <w:abstractNumId w:val="11"/>
  </w:num>
  <w:num w:numId="22">
    <w:abstractNumId w:val="24"/>
  </w:num>
  <w:num w:numId="23">
    <w:abstractNumId w:val="27"/>
  </w:num>
  <w:num w:numId="24">
    <w:abstractNumId w:val="16"/>
  </w:num>
  <w:num w:numId="25">
    <w:abstractNumId w:val="15"/>
  </w:num>
  <w:num w:numId="26">
    <w:abstractNumId w:val="25"/>
  </w:num>
  <w:num w:numId="27">
    <w:abstractNumId w:val="10"/>
  </w:num>
  <w:num w:numId="28">
    <w:abstractNumId w:val="17"/>
  </w:num>
  <w:num w:numId="29">
    <w:abstractNumId w:val="28"/>
  </w:num>
  <w:num w:numId="30">
    <w:abstractNumId w:val="20"/>
  </w:num>
  <w:num w:numId="31">
    <w:abstractNumId w:val="21"/>
  </w:num>
  <w:num w:numId="32">
    <w:abstractNumId w:val="32"/>
  </w:num>
  <w:num w:numId="33">
    <w:abstractNumId w:val="2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0D"/>
    <w:rsid w:val="00024A9E"/>
    <w:rsid w:val="000320BF"/>
    <w:rsid w:val="000327D2"/>
    <w:rsid w:val="000331CE"/>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E5B6D"/>
    <w:rsid w:val="000E5C0D"/>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1F7F81"/>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5CDE"/>
    <w:rsid w:val="00276804"/>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3556D"/>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C0B44"/>
    <w:rsid w:val="003D7096"/>
    <w:rsid w:val="003E4928"/>
    <w:rsid w:val="003F2836"/>
    <w:rsid w:val="003F792F"/>
    <w:rsid w:val="004003CC"/>
    <w:rsid w:val="00403406"/>
    <w:rsid w:val="00407822"/>
    <w:rsid w:val="00412C56"/>
    <w:rsid w:val="0042595A"/>
    <w:rsid w:val="004275C8"/>
    <w:rsid w:val="004449B7"/>
    <w:rsid w:val="00450949"/>
    <w:rsid w:val="00451929"/>
    <w:rsid w:val="004540E1"/>
    <w:rsid w:val="00454C65"/>
    <w:rsid w:val="00456DEB"/>
    <w:rsid w:val="004619EE"/>
    <w:rsid w:val="00464101"/>
    <w:rsid w:val="00465F65"/>
    <w:rsid w:val="004679FA"/>
    <w:rsid w:val="00477F18"/>
    <w:rsid w:val="00482330"/>
    <w:rsid w:val="00485F3C"/>
    <w:rsid w:val="004A477F"/>
    <w:rsid w:val="004A4C5C"/>
    <w:rsid w:val="004B400F"/>
    <w:rsid w:val="004C0334"/>
    <w:rsid w:val="004C14FA"/>
    <w:rsid w:val="004C2424"/>
    <w:rsid w:val="004D12DD"/>
    <w:rsid w:val="004D2DC4"/>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AF2"/>
    <w:rsid w:val="0063089E"/>
    <w:rsid w:val="0063092B"/>
    <w:rsid w:val="006316A4"/>
    <w:rsid w:val="00631E3C"/>
    <w:rsid w:val="00634558"/>
    <w:rsid w:val="00635AD7"/>
    <w:rsid w:val="00635DCE"/>
    <w:rsid w:val="006372C7"/>
    <w:rsid w:val="006376E3"/>
    <w:rsid w:val="006506E6"/>
    <w:rsid w:val="00651843"/>
    <w:rsid w:val="00653A88"/>
    <w:rsid w:val="006602F1"/>
    <w:rsid w:val="006626A0"/>
    <w:rsid w:val="006661EE"/>
    <w:rsid w:val="00667481"/>
    <w:rsid w:val="006703F5"/>
    <w:rsid w:val="0067198D"/>
    <w:rsid w:val="0068065A"/>
    <w:rsid w:val="00683802"/>
    <w:rsid w:val="0068679D"/>
    <w:rsid w:val="0069769C"/>
    <w:rsid w:val="00697F48"/>
    <w:rsid w:val="006A3829"/>
    <w:rsid w:val="006B6BFC"/>
    <w:rsid w:val="006E45EE"/>
    <w:rsid w:val="006E7D13"/>
    <w:rsid w:val="00702DA6"/>
    <w:rsid w:val="0070517E"/>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4D31"/>
    <w:rsid w:val="00836C05"/>
    <w:rsid w:val="008437C4"/>
    <w:rsid w:val="00843F67"/>
    <w:rsid w:val="00847145"/>
    <w:rsid w:val="008503E8"/>
    <w:rsid w:val="008837CF"/>
    <w:rsid w:val="00896CFE"/>
    <w:rsid w:val="008977A1"/>
    <w:rsid w:val="008C4032"/>
    <w:rsid w:val="008D392C"/>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5F14"/>
    <w:rsid w:val="00987DEA"/>
    <w:rsid w:val="00991E7A"/>
    <w:rsid w:val="009939BE"/>
    <w:rsid w:val="00994BF4"/>
    <w:rsid w:val="009A0346"/>
    <w:rsid w:val="009A140C"/>
    <w:rsid w:val="009B132A"/>
    <w:rsid w:val="009B6FA0"/>
    <w:rsid w:val="009C0BC7"/>
    <w:rsid w:val="009C69C2"/>
    <w:rsid w:val="009D10D0"/>
    <w:rsid w:val="009D1225"/>
    <w:rsid w:val="009D15BD"/>
    <w:rsid w:val="009D277D"/>
    <w:rsid w:val="009D3040"/>
    <w:rsid w:val="009D3082"/>
    <w:rsid w:val="009D784B"/>
    <w:rsid w:val="009E2A0A"/>
    <w:rsid w:val="009E56DB"/>
    <w:rsid w:val="00A01013"/>
    <w:rsid w:val="00A05468"/>
    <w:rsid w:val="00A06B19"/>
    <w:rsid w:val="00A11F91"/>
    <w:rsid w:val="00A122B7"/>
    <w:rsid w:val="00A141C9"/>
    <w:rsid w:val="00A147E1"/>
    <w:rsid w:val="00A16F91"/>
    <w:rsid w:val="00A17571"/>
    <w:rsid w:val="00A2514A"/>
    <w:rsid w:val="00A25A33"/>
    <w:rsid w:val="00A267AD"/>
    <w:rsid w:val="00A351FF"/>
    <w:rsid w:val="00A355E9"/>
    <w:rsid w:val="00A4587C"/>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0CBB"/>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6E"/>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23F5"/>
    <w:rsid w:val="00CC4296"/>
    <w:rsid w:val="00CE5D84"/>
    <w:rsid w:val="00CF6318"/>
    <w:rsid w:val="00CF63B4"/>
    <w:rsid w:val="00D00492"/>
    <w:rsid w:val="00D05113"/>
    <w:rsid w:val="00D0540B"/>
    <w:rsid w:val="00D06004"/>
    <w:rsid w:val="00D06A39"/>
    <w:rsid w:val="00D10C75"/>
    <w:rsid w:val="00D21CB8"/>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072D"/>
    <w:rsid w:val="00E348BA"/>
    <w:rsid w:val="00E34A80"/>
    <w:rsid w:val="00E36D9F"/>
    <w:rsid w:val="00E471A8"/>
    <w:rsid w:val="00E6109A"/>
    <w:rsid w:val="00E65C86"/>
    <w:rsid w:val="00E66CEF"/>
    <w:rsid w:val="00E73749"/>
    <w:rsid w:val="00E759E4"/>
    <w:rsid w:val="00E77B8A"/>
    <w:rsid w:val="00E829D6"/>
    <w:rsid w:val="00E8697C"/>
    <w:rsid w:val="00E87276"/>
    <w:rsid w:val="00E94DA1"/>
    <w:rsid w:val="00E9511F"/>
    <w:rsid w:val="00E966D1"/>
    <w:rsid w:val="00EA2226"/>
    <w:rsid w:val="00EA33BE"/>
    <w:rsid w:val="00EB13F8"/>
    <w:rsid w:val="00EB28A5"/>
    <w:rsid w:val="00EB3741"/>
    <w:rsid w:val="00EB3F3D"/>
    <w:rsid w:val="00EB6DE0"/>
    <w:rsid w:val="00ED10C8"/>
    <w:rsid w:val="00ED1B50"/>
    <w:rsid w:val="00ED445E"/>
    <w:rsid w:val="00ED60A8"/>
    <w:rsid w:val="00ED687C"/>
    <w:rsid w:val="00ED6928"/>
    <w:rsid w:val="00EE3C1C"/>
    <w:rsid w:val="00EE5676"/>
    <w:rsid w:val="00F01DE1"/>
    <w:rsid w:val="00F063BF"/>
    <w:rsid w:val="00F120C3"/>
    <w:rsid w:val="00F16DEE"/>
    <w:rsid w:val="00F21513"/>
    <w:rsid w:val="00F24DB0"/>
    <w:rsid w:val="00F27C65"/>
    <w:rsid w:val="00F31133"/>
    <w:rsid w:val="00F32E26"/>
    <w:rsid w:val="00F35F9D"/>
    <w:rsid w:val="00F52B47"/>
    <w:rsid w:val="00F55AC8"/>
    <w:rsid w:val="00F57B63"/>
    <w:rsid w:val="00F62B97"/>
    <w:rsid w:val="00F63335"/>
    <w:rsid w:val="00F64E38"/>
    <w:rsid w:val="00F65486"/>
    <w:rsid w:val="00F739D1"/>
    <w:rsid w:val="00F747FC"/>
    <w:rsid w:val="00F76523"/>
    <w:rsid w:val="00F8549F"/>
    <w:rsid w:val="00F917ED"/>
    <w:rsid w:val="00F963CB"/>
    <w:rsid w:val="00FA14B8"/>
    <w:rsid w:val="00FA56DE"/>
    <w:rsid w:val="00FC36D9"/>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link w:val="FootnoteTextChar"/>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0E5C0D"/>
    <w:pPr>
      <w:ind w:left="720"/>
      <w:contextualSpacing/>
    </w:pPr>
  </w:style>
  <w:style w:type="character" w:customStyle="1" w:styleId="FootnoteTextChar">
    <w:name w:val="Footnote Text Char"/>
    <w:basedOn w:val="DefaultParagraphFont"/>
    <w:link w:val="FootnoteText"/>
    <w:semiHidden/>
    <w:rsid w:val="000E5C0D"/>
    <w:rPr>
      <w:rFonts w:ascii="Arial" w:hAnsi="Arial"/>
      <w:sz w:val="18"/>
      <w:lang w:val="en-GB" w:eastAsia="en-US"/>
    </w:rPr>
  </w:style>
  <w:style w:type="character" w:styleId="CommentReference">
    <w:name w:val="annotation reference"/>
    <w:basedOn w:val="DefaultParagraphFont"/>
    <w:rsid w:val="008D392C"/>
    <w:rPr>
      <w:sz w:val="16"/>
      <w:szCs w:val="16"/>
    </w:rPr>
  </w:style>
  <w:style w:type="paragraph" w:styleId="CommentText">
    <w:name w:val="annotation text"/>
    <w:basedOn w:val="Normal"/>
    <w:link w:val="CommentTextChar"/>
    <w:rsid w:val="008D392C"/>
    <w:pPr>
      <w:spacing w:line="240" w:lineRule="auto"/>
    </w:pPr>
  </w:style>
  <w:style w:type="character" w:customStyle="1" w:styleId="CommentTextChar">
    <w:name w:val="Comment Text Char"/>
    <w:basedOn w:val="DefaultParagraphFont"/>
    <w:link w:val="CommentText"/>
    <w:rsid w:val="008D392C"/>
    <w:rPr>
      <w:rFonts w:ascii="Arial" w:hAnsi="Arial"/>
      <w:lang w:val="en-GB" w:eastAsia="en-US"/>
    </w:rPr>
  </w:style>
  <w:style w:type="paragraph" w:styleId="CommentSubject">
    <w:name w:val="annotation subject"/>
    <w:basedOn w:val="CommentText"/>
    <w:next w:val="CommentText"/>
    <w:link w:val="CommentSubjectChar"/>
    <w:rsid w:val="008D392C"/>
    <w:rPr>
      <w:b/>
      <w:bCs/>
    </w:rPr>
  </w:style>
  <w:style w:type="character" w:customStyle="1" w:styleId="CommentSubjectChar">
    <w:name w:val="Comment Subject Char"/>
    <w:basedOn w:val="CommentTextChar"/>
    <w:link w:val="CommentSubject"/>
    <w:rsid w:val="008D392C"/>
    <w:rPr>
      <w:rFonts w:ascii="Arial" w:hAnsi="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link w:val="FootnoteTextChar"/>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0E5C0D"/>
    <w:pPr>
      <w:ind w:left="720"/>
      <w:contextualSpacing/>
    </w:pPr>
  </w:style>
  <w:style w:type="character" w:customStyle="1" w:styleId="FootnoteTextChar">
    <w:name w:val="Footnote Text Char"/>
    <w:basedOn w:val="DefaultParagraphFont"/>
    <w:link w:val="FootnoteText"/>
    <w:semiHidden/>
    <w:rsid w:val="000E5C0D"/>
    <w:rPr>
      <w:rFonts w:ascii="Arial" w:hAnsi="Arial"/>
      <w:sz w:val="18"/>
      <w:lang w:val="en-GB" w:eastAsia="en-US"/>
    </w:rPr>
  </w:style>
  <w:style w:type="character" w:styleId="CommentReference">
    <w:name w:val="annotation reference"/>
    <w:basedOn w:val="DefaultParagraphFont"/>
    <w:rsid w:val="008D392C"/>
    <w:rPr>
      <w:sz w:val="16"/>
      <w:szCs w:val="16"/>
    </w:rPr>
  </w:style>
  <w:style w:type="paragraph" w:styleId="CommentText">
    <w:name w:val="annotation text"/>
    <w:basedOn w:val="Normal"/>
    <w:link w:val="CommentTextChar"/>
    <w:rsid w:val="008D392C"/>
    <w:pPr>
      <w:spacing w:line="240" w:lineRule="auto"/>
    </w:pPr>
  </w:style>
  <w:style w:type="character" w:customStyle="1" w:styleId="CommentTextChar">
    <w:name w:val="Comment Text Char"/>
    <w:basedOn w:val="DefaultParagraphFont"/>
    <w:link w:val="CommentText"/>
    <w:rsid w:val="008D392C"/>
    <w:rPr>
      <w:rFonts w:ascii="Arial" w:hAnsi="Arial"/>
      <w:lang w:val="en-GB" w:eastAsia="en-US"/>
    </w:rPr>
  </w:style>
  <w:style w:type="paragraph" w:styleId="CommentSubject">
    <w:name w:val="annotation subject"/>
    <w:basedOn w:val="CommentText"/>
    <w:next w:val="CommentText"/>
    <w:link w:val="CommentSubjectChar"/>
    <w:rsid w:val="008D392C"/>
    <w:rPr>
      <w:b/>
      <w:bCs/>
    </w:rPr>
  </w:style>
  <w:style w:type="character" w:customStyle="1" w:styleId="CommentSubjectChar">
    <w:name w:val="Comment Subject Char"/>
    <w:basedOn w:val="CommentTextChar"/>
    <w:link w:val="CommentSubject"/>
    <w:rsid w:val="008D392C"/>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84726">
      <w:bodyDiv w:val="1"/>
      <w:marLeft w:val="0"/>
      <w:marRight w:val="0"/>
      <w:marTop w:val="0"/>
      <w:marBottom w:val="0"/>
      <w:divBdr>
        <w:top w:val="none" w:sz="0" w:space="0" w:color="auto"/>
        <w:left w:val="none" w:sz="0" w:space="0" w:color="auto"/>
        <w:bottom w:val="none" w:sz="0" w:space="0" w:color="auto"/>
        <w:right w:val="none" w:sz="0" w:space="0" w:color="auto"/>
      </w:divBdr>
      <w:divsChild>
        <w:div w:id="122966083">
          <w:marLeft w:val="0"/>
          <w:marRight w:val="0"/>
          <w:marTop w:val="0"/>
          <w:marBottom w:val="0"/>
          <w:divBdr>
            <w:top w:val="none" w:sz="0" w:space="0" w:color="auto"/>
            <w:left w:val="none" w:sz="0" w:space="0" w:color="auto"/>
            <w:bottom w:val="none" w:sz="0" w:space="0" w:color="auto"/>
            <w:right w:val="none" w:sz="0" w:space="0" w:color="auto"/>
          </w:divBdr>
          <w:divsChild>
            <w:div w:id="1007630754">
              <w:marLeft w:val="0"/>
              <w:marRight w:val="0"/>
              <w:marTop w:val="0"/>
              <w:marBottom w:val="0"/>
              <w:divBdr>
                <w:top w:val="none" w:sz="0" w:space="0" w:color="auto"/>
                <w:left w:val="none" w:sz="0" w:space="0" w:color="auto"/>
                <w:bottom w:val="none" w:sz="0" w:space="0" w:color="auto"/>
                <w:right w:val="none" w:sz="0" w:space="0" w:color="auto"/>
              </w:divBdr>
              <w:divsChild>
                <w:div w:id="96878034">
                  <w:marLeft w:val="0"/>
                  <w:marRight w:val="0"/>
                  <w:marTop w:val="0"/>
                  <w:marBottom w:val="0"/>
                  <w:divBdr>
                    <w:top w:val="none" w:sz="0" w:space="0" w:color="auto"/>
                    <w:left w:val="none" w:sz="0" w:space="0" w:color="auto"/>
                    <w:bottom w:val="none" w:sz="0" w:space="0" w:color="auto"/>
                    <w:right w:val="none" w:sz="0" w:space="0" w:color="auto"/>
                  </w:divBdr>
                  <w:divsChild>
                    <w:div w:id="672924105">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0"/>
                          <w:marRight w:val="0"/>
                          <w:marTop w:val="0"/>
                          <w:marBottom w:val="0"/>
                          <w:divBdr>
                            <w:top w:val="none" w:sz="0" w:space="0" w:color="auto"/>
                            <w:left w:val="none" w:sz="0" w:space="0" w:color="auto"/>
                            <w:bottom w:val="none" w:sz="0" w:space="0" w:color="auto"/>
                            <w:right w:val="none" w:sz="0" w:space="0" w:color="auto"/>
                          </w:divBdr>
                          <w:divsChild>
                            <w:div w:id="36977908">
                              <w:marLeft w:val="0"/>
                              <w:marRight w:val="0"/>
                              <w:marTop w:val="0"/>
                              <w:marBottom w:val="0"/>
                              <w:divBdr>
                                <w:top w:val="none" w:sz="0" w:space="0" w:color="auto"/>
                                <w:left w:val="none" w:sz="0" w:space="0" w:color="auto"/>
                                <w:bottom w:val="none" w:sz="0" w:space="0" w:color="auto"/>
                                <w:right w:val="none" w:sz="0" w:space="0" w:color="auto"/>
                              </w:divBdr>
                              <w:divsChild>
                                <w:div w:id="1825662219">
                                  <w:marLeft w:val="0"/>
                                  <w:marRight w:val="0"/>
                                  <w:marTop w:val="0"/>
                                  <w:marBottom w:val="0"/>
                                  <w:divBdr>
                                    <w:top w:val="none" w:sz="0" w:space="0" w:color="auto"/>
                                    <w:left w:val="none" w:sz="0" w:space="0" w:color="auto"/>
                                    <w:bottom w:val="none" w:sz="0" w:space="0" w:color="auto"/>
                                    <w:right w:val="none" w:sz="0" w:space="0" w:color="auto"/>
                                  </w:divBdr>
                                  <w:divsChild>
                                    <w:div w:id="1231577775">
                                      <w:marLeft w:val="60"/>
                                      <w:marRight w:val="0"/>
                                      <w:marTop w:val="0"/>
                                      <w:marBottom w:val="0"/>
                                      <w:divBdr>
                                        <w:top w:val="none" w:sz="0" w:space="0" w:color="auto"/>
                                        <w:left w:val="none" w:sz="0" w:space="0" w:color="auto"/>
                                        <w:bottom w:val="none" w:sz="0" w:space="0" w:color="auto"/>
                                        <w:right w:val="none" w:sz="0" w:space="0" w:color="auto"/>
                                      </w:divBdr>
                                      <w:divsChild>
                                        <w:div w:id="1554198990">
                                          <w:marLeft w:val="0"/>
                                          <w:marRight w:val="0"/>
                                          <w:marTop w:val="0"/>
                                          <w:marBottom w:val="0"/>
                                          <w:divBdr>
                                            <w:top w:val="none" w:sz="0" w:space="0" w:color="auto"/>
                                            <w:left w:val="none" w:sz="0" w:space="0" w:color="auto"/>
                                            <w:bottom w:val="none" w:sz="0" w:space="0" w:color="auto"/>
                                            <w:right w:val="none" w:sz="0" w:space="0" w:color="auto"/>
                                          </w:divBdr>
                                          <w:divsChild>
                                            <w:div w:id="605188009">
                                              <w:marLeft w:val="0"/>
                                              <w:marRight w:val="0"/>
                                              <w:marTop w:val="0"/>
                                              <w:marBottom w:val="120"/>
                                              <w:divBdr>
                                                <w:top w:val="single" w:sz="6" w:space="0" w:color="F5F5F5"/>
                                                <w:left w:val="single" w:sz="6" w:space="0" w:color="F5F5F5"/>
                                                <w:bottom w:val="single" w:sz="6" w:space="0" w:color="F5F5F5"/>
                                                <w:right w:val="single" w:sz="6" w:space="0" w:color="F5F5F5"/>
                                              </w:divBdr>
                                              <w:divsChild>
                                                <w:div w:id="961576523">
                                                  <w:marLeft w:val="0"/>
                                                  <w:marRight w:val="0"/>
                                                  <w:marTop w:val="0"/>
                                                  <w:marBottom w:val="0"/>
                                                  <w:divBdr>
                                                    <w:top w:val="none" w:sz="0" w:space="0" w:color="auto"/>
                                                    <w:left w:val="none" w:sz="0" w:space="0" w:color="auto"/>
                                                    <w:bottom w:val="none" w:sz="0" w:space="0" w:color="auto"/>
                                                    <w:right w:val="none" w:sz="0" w:space="0" w:color="auto"/>
                                                  </w:divBdr>
                                                  <w:divsChild>
                                                    <w:div w:id="12569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A03B-73AA-41F5-91FB-31EB12B0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74</TotalTime>
  <Pages>4</Pages>
  <Words>1942</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Andre Garance</dc:creator>
  <cp:lastModifiedBy>Parmentier Patrick</cp:lastModifiedBy>
  <cp:revision>15</cp:revision>
  <cp:lastPrinted>2017-07-07T06:39:00Z</cp:lastPrinted>
  <dcterms:created xsi:type="dcterms:W3CDTF">2017-06-22T07:46:00Z</dcterms:created>
  <dcterms:modified xsi:type="dcterms:W3CDTF">2017-07-07T06:41:00Z</dcterms:modified>
</cp:coreProperties>
</file>