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3E5624" w:rsidRPr="00D41810" w:rsidTr="00BA518A">
        <w:trPr>
          <w:cantSplit/>
          <w:trHeight w:hRule="exact" w:val="1077"/>
        </w:trPr>
        <w:tc>
          <w:tcPr>
            <w:tcW w:w="6067" w:type="dxa"/>
            <w:vAlign w:val="center"/>
          </w:tcPr>
          <w:p w:rsidR="003E5624" w:rsidRPr="00D41810" w:rsidRDefault="003E5624" w:rsidP="00532252">
            <w:pPr>
              <w:pStyle w:val="AdresseAdres"/>
              <w:spacing w:before="300"/>
            </w:pPr>
            <w:bookmarkStart w:id="0" w:name="_GoBack"/>
            <w:bookmarkEnd w:id="0"/>
            <w:r w:rsidRPr="00D41810">
              <w:t>boulevard de Berlaimont 14 – BE-1000 Bruxelles</w:t>
            </w:r>
          </w:p>
          <w:p w:rsidR="003E5624" w:rsidRPr="00D41810" w:rsidRDefault="003E5624" w:rsidP="00532252">
            <w:pPr>
              <w:pStyle w:val="AdresseAdres"/>
            </w:pPr>
            <w:r w:rsidRPr="00D41810">
              <w:t>tél. +32 2 221 3</w:t>
            </w:r>
            <w:r w:rsidR="00327AF4" w:rsidRPr="00D41810">
              <w:t>8</w:t>
            </w:r>
            <w:r w:rsidRPr="00D41810">
              <w:t xml:space="preserve"> 12 – fax + 32 2 221 31 04</w:t>
            </w:r>
          </w:p>
          <w:p w:rsidR="003E5624" w:rsidRPr="00D41810" w:rsidRDefault="003E5624" w:rsidP="00532252">
            <w:pPr>
              <w:pStyle w:val="AdresseAdres"/>
            </w:pPr>
            <w:r w:rsidRPr="00D41810">
              <w:t>numéro d’entreprise: 0203.201.340</w:t>
            </w:r>
          </w:p>
          <w:p w:rsidR="003E5624" w:rsidRPr="00D41810" w:rsidRDefault="003E5624" w:rsidP="00532252">
            <w:pPr>
              <w:pStyle w:val="AdresseAdres"/>
            </w:pPr>
            <w:r w:rsidRPr="00D41810">
              <w:t>RPM Bruxelles</w:t>
            </w:r>
          </w:p>
          <w:p w:rsidR="003E5624" w:rsidRPr="00D41810" w:rsidRDefault="003E5624" w:rsidP="00532252">
            <w:pPr>
              <w:pStyle w:val="AdresseAdres"/>
              <w:rPr>
                <w:lang w:val="fr-BE"/>
              </w:rPr>
            </w:pPr>
            <w:r w:rsidRPr="00D41810">
              <w:t>www.bnb.be</w:t>
            </w:r>
          </w:p>
        </w:tc>
        <w:tc>
          <w:tcPr>
            <w:tcW w:w="3856" w:type="dxa"/>
            <w:shd w:val="clear" w:color="auto" w:fill="auto"/>
            <w:vAlign w:val="center"/>
          </w:tcPr>
          <w:p w:rsidR="003E5624" w:rsidRPr="00D41810" w:rsidRDefault="003E5624" w:rsidP="00532252">
            <w:pPr>
              <w:spacing w:line="260" w:lineRule="atLeast"/>
              <w:rPr>
                <w:sz w:val="16"/>
                <w:szCs w:val="16"/>
                <w:lang w:val="fr-BE"/>
              </w:rPr>
            </w:pPr>
            <w:r w:rsidRPr="00D41810">
              <w:rPr>
                <w:noProof/>
                <w:sz w:val="16"/>
                <w:szCs w:val="16"/>
                <w:lang w:val="en-US"/>
              </w:rPr>
              <w:drawing>
                <wp:inline distT="0" distB="0" distL="0" distR="0" wp14:anchorId="325A3232" wp14:editId="49447E8E">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3E5624" w:rsidRPr="00D41810" w:rsidTr="00BA518A">
        <w:trPr>
          <w:cantSplit/>
          <w:trHeight w:hRule="exact" w:val="850"/>
        </w:trPr>
        <w:tc>
          <w:tcPr>
            <w:tcW w:w="6067" w:type="dxa"/>
            <w:shd w:val="clear" w:color="auto" w:fill="auto"/>
          </w:tcPr>
          <w:p w:rsidR="003E5624" w:rsidRPr="00D41810" w:rsidRDefault="003E5624" w:rsidP="00532252">
            <w:pPr>
              <w:pStyle w:val="AdresseAdres"/>
              <w:tabs>
                <w:tab w:val="center" w:pos="4678"/>
                <w:tab w:val="right" w:pos="9356"/>
              </w:tabs>
              <w:spacing w:line="260" w:lineRule="atLeast"/>
              <w:rPr>
                <w:sz w:val="16"/>
              </w:rPr>
            </w:pPr>
          </w:p>
        </w:tc>
        <w:tc>
          <w:tcPr>
            <w:tcW w:w="3856" w:type="dxa"/>
            <w:shd w:val="clear" w:color="auto" w:fill="auto"/>
            <w:vAlign w:val="bottom"/>
          </w:tcPr>
          <w:p w:rsidR="003E5624" w:rsidRPr="00D41810" w:rsidRDefault="003E5624" w:rsidP="00532252">
            <w:pPr>
              <w:pStyle w:val="TitreTitel"/>
              <w:keepLines/>
              <w:tabs>
                <w:tab w:val="left" w:pos="284"/>
                <w:tab w:val="right" w:leader="dot" w:pos="9639"/>
              </w:tabs>
              <w:spacing w:after="170"/>
              <w:ind w:left="397" w:right="567" w:hanging="397"/>
            </w:pPr>
          </w:p>
        </w:tc>
      </w:tr>
      <w:tr w:rsidR="003E5624" w:rsidRPr="00D31A72" w:rsidTr="00BA518A">
        <w:trPr>
          <w:cantSplit/>
          <w:trHeight w:hRule="exact" w:val="794"/>
        </w:trPr>
        <w:tc>
          <w:tcPr>
            <w:tcW w:w="6067" w:type="dxa"/>
            <w:shd w:val="clear" w:color="auto" w:fill="auto"/>
          </w:tcPr>
          <w:p w:rsidR="003E5624" w:rsidRPr="00D41810" w:rsidRDefault="003E5624" w:rsidP="00532252">
            <w:pPr>
              <w:pStyle w:val="AdresseAdres"/>
              <w:rPr>
                <w:lang w:val="fr-BE"/>
              </w:rPr>
            </w:pPr>
          </w:p>
        </w:tc>
        <w:tc>
          <w:tcPr>
            <w:tcW w:w="3856" w:type="dxa"/>
          </w:tcPr>
          <w:p w:rsidR="003E5624" w:rsidRPr="00D31A72" w:rsidRDefault="003E5624" w:rsidP="00D31A72">
            <w:pPr>
              <w:spacing w:line="260" w:lineRule="atLeast"/>
              <w:rPr>
                <w:lang w:val="fr-BE"/>
              </w:rPr>
            </w:pPr>
            <w:r w:rsidRPr="00D31A72">
              <w:rPr>
                <w:lang w:val="fr-BE"/>
              </w:rPr>
              <w:t xml:space="preserve">Bruxelles, le </w:t>
            </w:r>
            <w:r w:rsidR="00D31A72">
              <w:rPr>
                <w:lang w:val="fr-BE"/>
              </w:rPr>
              <w:t>26 octobre</w:t>
            </w:r>
            <w:r w:rsidR="002975D8" w:rsidRPr="00D31A72">
              <w:rPr>
                <w:lang w:val="fr-BE"/>
              </w:rPr>
              <w:t xml:space="preserve"> 201</w:t>
            </w:r>
            <w:r w:rsidR="00AF67F5" w:rsidRPr="00D31A72">
              <w:rPr>
                <w:lang w:val="fr-BE"/>
              </w:rPr>
              <w:t>6</w:t>
            </w:r>
          </w:p>
        </w:tc>
      </w:tr>
      <w:tr w:rsidR="003E5624" w:rsidRPr="00D31A72" w:rsidTr="00BA518A">
        <w:trPr>
          <w:cantSplit/>
          <w:trHeight w:hRule="exact" w:val="340"/>
        </w:trPr>
        <w:tc>
          <w:tcPr>
            <w:tcW w:w="9923" w:type="dxa"/>
            <w:gridSpan w:val="2"/>
            <w:shd w:val="clear" w:color="auto" w:fill="auto"/>
            <w:vAlign w:val="center"/>
          </w:tcPr>
          <w:p w:rsidR="003E5624" w:rsidRPr="00D31A72" w:rsidRDefault="003E5624" w:rsidP="00D31A72">
            <w:pPr>
              <w:pStyle w:val="AnnexeBijlage"/>
            </w:pPr>
            <w:r w:rsidRPr="00D31A72">
              <w:t xml:space="preserve">Annexe </w:t>
            </w:r>
            <w:r w:rsidR="00FC52B7" w:rsidRPr="00D31A72">
              <w:t>1</w:t>
            </w:r>
            <w:r w:rsidRPr="00D31A72">
              <w:t xml:space="preserve"> à la c</w:t>
            </w:r>
            <w:r w:rsidR="009930F0" w:rsidRPr="00D31A72">
              <w:t>irculaire</w:t>
            </w:r>
            <w:r w:rsidRPr="00D31A72">
              <w:t xml:space="preserve"> NBB_</w:t>
            </w:r>
            <w:r w:rsidR="00D31A72" w:rsidRPr="00D31A72">
              <w:t>2016</w:t>
            </w:r>
            <w:r w:rsidR="002975D8" w:rsidRPr="00D31A72">
              <w:t>_</w:t>
            </w:r>
            <w:r w:rsidR="00D31A72" w:rsidRPr="00D31A72">
              <w:t>43</w:t>
            </w:r>
          </w:p>
        </w:tc>
      </w:tr>
      <w:tr w:rsidR="003E5624" w:rsidRPr="00D31A72" w:rsidTr="00BA518A">
        <w:trPr>
          <w:cantSplit/>
          <w:trHeight w:hRule="exact" w:val="1304"/>
        </w:trPr>
        <w:tc>
          <w:tcPr>
            <w:tcW w:w="9923" w:type="dxa"/>
            <w:gridSpan w:val="2"/>
            <w:tcMar>
              <w:top w:w="240" w:type="dxa"/>
            </w:tcMar>
            <w:vAlign w:val="bottom"/>
          </w:tcPr>
          <w:p w:rsidR="003E5624" w:rsidRPr="00D31A72" w:rsidRDefault="003E5624" w:rsidP="00532252">
            <w:pPr>
              <w:pStyle w:val="SujetOnderwerp"/>
            </w:pPr>
          </w:p>
        </w:tc>
      </w:tr>
      <w:tr w:rsidR="003E5624" w:rsidRPr="00D31A72" w:rsidTr="00BA518A">
        <w:trPr>
          <w:cantSplit/>
          <w:trHeight w:hRule="exact" w:val="397"/>
        </w:trPr>
        <w:tc>
          <w:tcPr>
            <w:tcW w:w="9923" w:type="dxa"/>
            <w:gridSpan w:val="2"/>
          </w:tcPr>
          <w:p w:rsidR="003E5624" w:rsidRPr="00D31A72" w:rsidRDefault="003E5624" w:rsidP="00532252">
            <w:pPr>
              <w:spacing w:line="260" w:lineRule="atLeast"/>
              <w:rPr>
                <w:lang w:val="fr-BE"/>
              </w:rPr>
            </w:pPr>
          </w:p>
        </w:tc>
      </w:tr>
    </w:tbl>
    <w:p w:rsidR="003E5624" w:rsidRPr="00D31A72" w:rsidRDefault="003E5624" w:rsidP="00532252">
      <w:pPr>
        <w:rPr>
          <w:lang w:val="fr-BE"/>
        </w:rPr>
      </w:pPr>
    </w:p>
    <w:p w:rsidR="003E5624" w:rsidRPr="00D31A72" w:rsidRDefault="003E5624" w:rsidP="00532252">
      <w:pPr>
        <w:pStyle w:val="Sous-titreOndertitel"/>
        <w:rPr>
          <w:lang w:val="fr-BE"/>
        </w:rPr>
      </w:pPr>
      <w:r w:rsidRPr="00D31A72">
        <w:rPr>
          <w:lang w:val="fr-BE"/>
        </w:rPr>
        <w:t>Champ d'application</w:t>
      </w:r>
    </w:p>
    <w:p w:rsidR="00F8157C" w:rsidRPr="00D41810" w:rsidRDefault="00F8157C" w:rsidP="00D31A72">
      <w:pPr>
        <w:pStyle w:val="IntroductionInleiding"/>
        <w:jc w:val="both"/>
        <w:rPr>
          <w:lang w:val="fr-BE"/>
        </w:rPr>
      </w:pPr>
      <w:r w:rsidRPr="00D31A72">
        <w:rPr>
          <w:lang w:val="fr-BE"/>
        </w:rPr>
        <w:t xml:space="preserve">Les établissements de paiement et les établissements de monnaie électronique de droit belge et les points de contact centraux en Belgique des </w:t>
      </w:r>
      <w:r w:rsidR="00DD0C56" w:rsidRPr="00D31A72">
        <w:rPr>
          <w:lang w:val="fr-BE"/>
        </w:rPr>
        <w:t xml:space="preserve">établissements </w:t>
      </w:r>
      <w:r w:rsidRPr="00D31A72">
        <w:rPr>
          <w:lang w:val="fr-BE"/>
        </w:rPr>
        <w:t xml:space="preserve">de paiement et des </w:t>
      </w:r>
      <w:r w:rsidR="00DD0C56" w:rsidRPr="00D31A72">
        <w:rPr>
          <w:lang w:val="fr-BE"/>
        </w:rPr>
        <w:t xml:space="preserve">établissements </w:t>
      </w:r>
      <w:r w:rsidRPr="00D31A72">
        <w:rPr>
          <w:lang w:val="fr-BE"/>
        </w:rPr>
        <w:t xml:space="preserve">de monnaie électronique agréés dans d’autres </w:t>
      </w:r>
      <w:r w:rsidR="00DD0C56" w:rsidRPr="00D31A72">
        <w:rPr>
          <w:rFonts w:cs="Arial"/>
          <w:lang w:val="fr-BE"/>
        </w:rPr>
        <w:t>É</w:t>
      </w:r>
      <w:r w:rsidRPr="00D31A72">
        <w:rPr>
          <w:lang w:val="fr-BE"/>
        </w:rPr>
        <w:t xml:space="preserve">tats </w:t>
      </w:r>
      <w:r w:rsidR="00DD0C56" w:rsidRPr="00D31A72">
        <w:rPr>
          <w:lang w:val="fr-BE"/>
        </w:rPr>
        <w:t xml:space="preserve">membres </w:t>
      </w:r>
      <w:r w:rsidRPr="00D31A72">
        <w:rPr>
          <w:lang w:val="fr-BE"/>
        </w:rPr>
        <w:t>de l’Espace économique européen</w:t>
      </w:r>
      <w:r w:rsidR="009669B1" w:rsidRPr="00D31A72">
        <w:rPr>
          <w:lang w:val="fr-BE"/>
        </w:rPr>
        <w:t xml:space="preserve">, pour autant qu’ils répondent aux conditions </w:t>
      </w:r>
      <w:r w:rsidR="001B1353" w:rsidRPr="00D31A72">
        <w:rPr>
          <w:lang w:val="fr-BE"/>
        </w:rPr>
        <w:t>énoncées</w:t>
      </w:r>
      <w:r w:rsidR="00BA510B" w:rsidRPr="00D31A72">
        <w:rPr>
          <w:lang w:val="fr-BE"/>
        </w:rPr>
        <w:t xml:space="preserve"> par</w:t>
      </w:r>
      <w:r w:rsidR="009669B1" w:rsidRPr="00D31A72">
        <w:rPr>
          <w:lang w:val="fr-BE"/>
        </w:rPr>
        <w:t xml:space="preserve"> la circulaire NBB_</w:t>
      </w:r>
      <w:r w:rsidR="00D31A72" w:rsidRPr="00D31A72">
        <w:rPr>
          <w:lang w:val="fr-BE"/>
        </w:rPr>
        <w:t>2016</w:t>
      </w:r>
      <w:r w:rsidR="009669B1" w:rsidRPr="00D31A72">
        <w:rPr>
          <w:lang w:val="fr-BE"/>
        </w:rPr>
        <w:t>_</w:t>
      </w:r>
      <w:r w:rsidR="00D31A72" w:rsidRPr="00D31A72">
        <w:rPr>
          <w:lang w:val="fr-BE"/>
        </w:rPr>
        <w:t>42</w:t>
      </w:r>
      <w:r w:rsidR="009669B1" w:rsidRPr="00D31A72">
        <w:rPr>
          <w:lang w:val="fr-BE"/>
        </w:rPr>
        <w:t xml:space="preserve"> du </w:t>
      </w:r>
      <w:r w:rsidR="00D31A72" w:rsidRPr="00D31A72">
        <w:rPr>
          <w:lang w:val="fr-BE"/>
        </w:rPr>
        <w:t>26 octobre</w:t>
      </w:r>
      <w:r w:rsidR="009669B1" w:rsidRPr="00D31A72">
        <w:rPr>
          <w:lang w:val="fr-BE"/>
        </w:rPr>
        <w:t> 201</w:t>
      </w:r>
      <w:r w:rsidR="00AF67F5" w:rsidRPr="00D31A72">
        <w:rPr>
          <w:lang w:val="fr-BE"/>
        </w:rPr>
        <w:t>6</w:t>
      </w:r>
      <w:r w:rsidRPr="00D31A72">
        <w:rPr>
          <w:lang w:val="fr-BE"/>
        </w:rPr>
        <w:t>.</w:t>
      </w:r>
    </w:p>
    <w:p w:rsidR="003E5624" w:rsidRPr="00D41810" w:rsidRDefault="003E5624" w:rsidP="00532252">
      <w:pPr>
        <w:tabs>
          <w:tab w:val="clear" w:pos="284"/>
        </w:tabs>
        <w:spacing w:line="240" w:lineRule="auto"/>
        <w:rPr>
          <w:lang w:val="fr-BE"/>
        </w:rPr>
      </w:pPr>
      <w:r w:rsidRPr="00D41810">
        <w:rPr>
          <w:lang w:val="fr-BE"/>
        </w:rPr>
        <w:br w:type="page"/>
      </w:r>
    </w:p>
    <w:p w:rsidR="00FC52B7" w:rsidRPr="00D41810" w:rsidRDefault="00FC52B7" w:rsidP="00532252">
      <w:pPr>
        <w:pBdr>
          <w:top w:val="single" w:sz="4" w:space="1" w:color="auto"/>
          <w:left w:val="single" w:sz="4" w:space="4" w:color="auto"/>
          <w:bottom w:val="single" w:sz="4" w:space="1" w:color="auto"/>
          <w:right w:val="single" w:sz="4" w:space="4" w:color="auto"/>
        </w:pBdr>
        <w:spacing w:after="360"/>
        <w:jc w:val="center"/>
        <w:rPr>
          <w:b/>
          <w:u w:val="single"/>
          <w:lang w:val="fr-BE"/>
        </w:rPr>
      </w:pPr>
      <w:r w:rsidRPr="00D41810">
        <w:rPr>
          <w:b/>
          <w:u w:val="single"/>
          <w:lang w:val="fr-BE"/>
        </w:rPr>
        <w:lastRenderedPageBreak/>
        <w:t xml:space="preserve">Questionnaire annuel abrégé </w:t>
      </w:r>
      <w:r w:rsidRPr="00D41810">
        <w:rPr>
          <w:b/>
          <w:u w:val="single"/>
          <w:lang w:val="fr-BE"/>
        </w:rPr>
        <w:br/>
        <w:t>relatif à la prévention du blanchiment de capitaux et du financement du terrorisme</w:t>
      </w:r>
    </w:p>
    <w:p w:rsidR="00FC52B7" w:rsidRPr="00D41810" w:rsidRDefault="00FC52B7" w:rsidP="00804529">
      <w:pPr>
        <w:pStyle w:val="ListParagraph"/>
        <w:numPr>
          <w:ilvl w:val="0"/>
          <w:numId w:val="35"/>
        </w:numPr>
        <w:spacing w:after="120"/>
        <w:rPr>
          <w:b/>
          <w:szCs w:val="18"/>
          <w:u w:val="single"/>
          <w:lang w:val="fr-BE"/>
        </w:rPr>
      </w:pPr>
      <w:r w:rsidRPr="00D41810">
        <w:rPr>
          <w:b/>
          <w:szCs w:val="18"/>
          <w:u w:val="single"/>
          <w:lang w:val="fr-BE"/>
        </w:rPr>
        <w:t>METHODOLOGIE</w:t>
      </w:r>
    </w:p>
    <w:p w:rsidR="00FC52B7" w:rsidRPr="00D41810" w:rsidRDefault="00FC52B7" w:rsidP="00804529">
      <w:pPr>
        <w:spacing w:after="120"/>
        <w:jc w:val="both"/>
        <w:rPr>
          <w:lang w:val="fr-BE"/>
        </w:rPr>
      </w:pPr>
      <w:r w:rsidRPr="00D41810">
        <w:rPr>
          <w:lang w:val="fr-BE"/>
        </w:rPr>
        <w:t xml:space="preserve">Le présent questionnaire périodique abrégé relatif à la prévention du blanchiment de capitaux et du financement du terrorisme s’applique aux établissements de paiement et </w:t>
      </w:r>
      <w:r w:rsidR="008E6C2C">
        <w:rPr>
          <w:lang w:val="fr-BE"/>
        </w:rPr>
        <w:t>aux</w:t>
      </w:r>
      <w:r w:rsidR="008E6C2C" w:rsidRPr="00D41810">
        <w:rPr>
          <w:lang w:val="fr-BE"/>
        </w:rPr>
        <w:t xml:space="preserve"> </w:t>
      </w:r>
      <w:r w:rsidRPr="00D41810">
        <w:rPr>
          <w:lang w:val="fr-BE"/>
        </w:rPr>
        <w:t xml:space="preserve">établissements de monnaie électronique de droit belge qui bénéficient, </w:t>
      </w:r>
      <w:r w:rsidR="008E6C2C">
        <w:rPr>
          <w:lang w:val="fr-BE"/>
        </w:rPr>
        <w:t>conformément aux</w:t>
      </w:r>
      <w:r w:rsidRPr="00D41810">
        <w:rPr>
          <w:lang w:val="fr-BE"/>
        </w:rPr>
        <w:t xml:space="preserve"> articles 48 ou 105 de la loi du 21</w:t>
      </w:r>
      <w:r w:rsidR="00661E1D" w:rsidRPr="00D41810">
        <w:rPr>
          <w:lang w:val="fr-BE"/>
        </w:rPr>
        <w:t> </w:t>
      </w:r>
      <w:r w:rsidRPr="00D41810">
        <w:rPr>
          <w:lang w:val="fr-BE"/>
        </w:rPr>
        <w:t xml:space="preserve">décembre 2009, d’une exemption pour l’application </w:t>
      </w:r>
      <w:r w:rsidR="008E6C2C">
        <w:rPr>
          <w:lang w:val="fr-BE"/>
        </w:rPr>
        <w:t>de la majeure partie des</w:t>
      </w:r>
      <w:r w:rsidR="008E6C2C" w:rsidRPr="00D41810">
        <w:rPr>
          <w:lang w:val="fr-BE"/>
        </w:rPr>
        <w:t xml:space="preserve"> </w:t>
      </w:r>
      <w:r w:rsidRPr="00D41810">
        <w:rPr>
          <w:lang w:val="fr-BE"/>
        </w:rPr>
        <w:t>disposition</w:t>
      </w:r>
      <w:r w:rsidR="008E6C2C">
        <w:rPr>
          <w:lang w:val="fr-BE"/>
        </w:rPr>
        <w:t>s</w:t>
      </w:r>
      <w:r w:rsidRPr="00D41810">
        <w:rPr>
          <w:lang w:val="fr-BE"/>
        </w:rPr>
        <w:t xml:space="preserve"> de cette loi, ainsi qu’aux « points de contact centraux » (PCC) de réseaux belges d’agents et</w:t>
      </w:r>
      <w:r w:rsidR="00C93C01">
        <w:rPr>
          <w:lang w:val="fr-BE"/>
        </w:rPr>
        <w:t>/ou</w:t>
      </w:r>
      <w:r w:rsidRPr="00D41810">
        <w:rPr>
          <w:lang w:val="fr-BE"/>
        </w:rPr>
        <w:t xml:space="preserve"> de distributeurs d’établissements de paiement ou d’établissements de monnaie électronique agréés dans d’autres </w:t>
      </w:r>
      <w:r w:rsidR="008E6C2C">
        <w:rPr>
          <w:rFonts w:cs="Arial"/>
          <w:lang w:val="fr-BE"/>
        </w:rPr>
        <w:t>É</w:t>
      </w:r>
      <w:r w:rsidRPr="00D41810">
        <w:rPr>
          <w:lang w:val="fr-BE"/>
        </w:rPr>
        <w:t xml:space="preserve">tats </w:t>
      </w:r>
      <w:r w:rsidR="008E6C2C">
        <w:rPr>
          <w:lang w:val="fr-BE"/>
        </w:rPr>
        <w:t>m</w:t>
      </w:r>
      <w:r w:rsidR="008E6C2C" w:rsidRPr="00D41810">
        <w:rPr>
          <w:lang w:val="fr-BE"/>
        </w:rPr>
        <w:t xml:space="preserve">embres </w:t>
      </w:r>
      <w:r w:rsidRPr="00D41810">
        <w:rPr>
          <w:lang w:val="fr-BE"/>
        </w:rPr>
        <w:t>de l’Espace économique européen qui sont de faible ou de moyenne envergure.</w:t>
      </w:r>
    </w:p>
    <w:p w:rsidR="00FC52B7" w:rsidRPr="00D41810" w:rsidRDefault="00FC52B7" w:rsidP="00804529">
      <w:pPr>
        <w:spacing w:after="120"/>
        <w:jc w:val="both"/>
        <w:rPr>
          <w:lang w:val="fr-BE"/>
        </w:rPr>
      </w:pPr>
      <w:r w:rsidRPr="00D41810">
        <w:rPr>
          <w:lang w:val="fr-BE"/>
        </w:rPr>
        <w:t xml:space="preserve">Tout comme le questionnaire complet qui est applicable aux autres catégories </w:t>
      </w:r>
      <w:r w:rsidR="00316D90">
        <w:rPr>
          <w:lang w:val="fr-BE"/>
        </w:rPr>
        <w:t>d’établissements financiers</w:t>
      </w:r>
      <w:r w:rsidRPr="00D41810">
        <w:rPr>
          <w:lang w:val="fr-BE"/>
        </w:rPr>
        <w:t xml:space="preserve"> établis en Belgique, en ce compris les établissements de paiement et les établissements de monnaie électronique qui ne bénéficient pas d’une exemption de l’application des dispositions de la loi du 21</w:t>
      </w:r>
      <w:r w:rsidR="00661E1D" w:rsidRPr="00D41810">
        <w:rPr>
          <w:lang w:val="fr-BE"/>
        </w:rPr>
        <w:t> </w:t>
      </w:r>
      <w:r w:rsidRPr="00D41810">
        <w:rPr>
          <w:lang w:val="fr-BE"/>
        </w:rPr>
        <w:t xml:space="preserve">décembre 2009 et les PCC d’envergure plus importante, l’objectif de ce questionnaire périodique abrégé consiste à collecter des informations permettant à la Banque nationale de Belgique d’exercer adéquatement ses compétences de contrôle du respect des obligations en matière de lutte contre le blanchiment de capitaux et le financement du terrorisme (« LBC/FT »), tout en tenant compte du principe de proportionnalité. Ce questionnaire est </w:t>
      </w:r>
      <w:r w:rsidR="00316D90">
        <w:rPr>
          <w:lang w:val="fr-BE"/>
        </w:rPr>
        <w:t>axé</w:t>
      </w:r>
      <w:r w:rsidR="00316D90" w:rsidRPr="00D41810">
        <w:rPr>
          <w:lang w:val="fr-BE"/>
        </w:rPr>
        <w:t xml:space="preserve"> </w:t>
      </w:r>
      <w:r w:rsidRPr="00D41810">
        <w:rPr>
          <w:lang w:val="fr-BE"/>
        </w:rPr>
        <w:t xml:space="preserve">sur les informations relatives à la conformité des dispositifs de LBC/FT mis en place avec les obligations légales et réglementaires. Il contribuera à une évaluation mieux documentée de la vulnérabilité/résistance de chaque PCC ou de chaque établissement de paiement / établissement de monnaie électronique concerné face au risque de blanchiment de capitaux et de financement du terrorisme. Il devra permettre à la </w:t>
      </w:r>
      <w:r w:rsidR="00745D36">
        <w:rPr>
          <w:lang w:val="fr-BE"/>
        </w:rPr>
        <w:t>Banque</w:t>
      </w:r>
      <w:r w:rsidR="00745D36" w:rsidRPr="00D41810">
        <w:rPr>
          <w:lang w:val="fr-BE"/>
        </w:rPr>
        <w:t xml:space="preserve"> </w:t>
      </w:r>
      <w:r w:rsidRPr="00D41810">
        <w:rPr>
          <w:lang w:val="fr-BE"/>
        </w:rPr>
        <w:t xml:space="preserve">d'orienter de manière précise et efficace ses contrôles, dans un souci d'allocation optimale de ses moyens de contrôle. </w:t>
      </w:r>
    </w:p>
    <w:p w:rsidR="00FC52B7" w:rsidRPr="00D41810" w:rsidRDefault="00FC52B7" w:rsidP="00804529">
      <w:pPr>
        <w:spacing w:after="240"/>
        <w:jc w:val="both"/>
        <w:rPr>
          <w:lang w:val="fr-BE"/>
        </w:rPr>
      </w:pPr>
      <w:r w:rsidRPr="00D41810">
        <w:rPr>
          <w:lang w:val="fr-BE"/>
        </w:rPr>
        <w:t>Les réponses au questionnaire constituent donc l'une des bases permettant à la Banque d'orienter l'exercice du contrôle, sans néanmoins que le contrôle puisse se résumer au seul examen des réponses au questionnaire. Conçu dans cet esprit, le questionnaire se définit dès lors comme un instrument de nature prudentielle. Il repose sur le pouvoir légalement attribué à la Banque tant par la loi du 21</w:t>
      </w:r>
      <w:r w:rsidR="00661E1D" w:rsidRPr="00D41810">
        <w:rPr>
          <w:lang w:val="fr-BE"/>
        </w:rPr>
        <w:t> </w:t>
      </w:r>
      <w:r w:rsidRPr="00D41810">
        <w:rPr>
          <w:lang w:val="fr-BE"/>
        </w:rPr>
        <w:t>décembre 2009 que par la loi du 11 janvier 1993 [</w:t>
      </w:r>
      <w:r w:rsidRPr="00D41810">
        <w:rPr>
          <w:position w:val="6"/>
          <w:lang w:val="fr-BE"/>
        </w:rPr>
        <w:footnoteReference w:id="2"/>
      </w:r>
      <w:r w:rsidRPr="00D41810">
        <w:rPr>
          <w:lang w:val="fr-BE"/>
        </w:rPr>
        <w:t xml:space="preserve">], de se faire communiquer toutes les informations nécessaires à l'exercice de ses compétences de contrôle.  </w:t>
      </w:r>
    </w:p>
    <w:p w:rsidR="00FC52B7" w:rsidRPr="00D41810" w:rsidRDefault="00FC52B7" w:rsidP="00804529">
      <w:pPr>
        <w:numPr>
          <w:ilvl w:val="0"/>
          <w:numId w:val="36"/>
        </w:numPr>
        <w:spacing w:after="120"/>
        <w:ind w:left="567" w:hanging="567"/>
        <w:jc w:val="both"/>
        <w:rPr>
          <w:u w:val="single"/>
          <w:lang w:val="fr-BE"/>
        </w:rPr>
      </w:pPr>
      <w:r w:rsidRPr="00D41810">
        <w:rPr>
          <w:u w:val="single"/>
          <w:lang w:val="fr-BE"/>
        </w:rPr>
        <w:t>Présentation générale du questionnaire</w:t>
      </w:r>
    </w:p>
    <w:p w:rsidR="00FC52B7" w:rsidRPr="00D41810" w:rsidRDefault="00FC52B7" w:rsidP="00804529">
      <w:pPr>
        <w:spacing w:after="120"/>
        <w:jc w:val="both"/>
        <w:rPr>
          <w:lang w:val="fr-BE"/>
        </w:rPr>
      </w:pPr>
      <w:r w:rsidRPr="00D41810">
        <w:rPr>
          <w:lang w:val="fr-BE"/>
        </w:rPr>
        <w:t xml:space="preserve">Le questionnaire abrégé est divisé en </w:t>
      </w:r>
      <w:r w:rsidR="00C67806">
        <w:rPr>
          <w:lang w:val="fr-BE"/>
        </w:rPr>
        <w:t>deux</w:t>
      </w:r>
      <w:r w:rsidR="00C67806" w:rsidRPr="00D41810">
        <w:rPr>
          <w:lang w:val="fr-BE"/>
        </w:rPr>
        <w:t xml:space="preserve"> </w:t>
      </w:r>
      <w:r w:rsidRPr="00D41810">
        <w:rPr>
          <w:lang w:val="fr-BE"/>
        </w:rPr>
        <w:t>chapitres. Le premier chapitre regroupe un nombre limité de questions précises portant sur la conformité des dispositifs en place avec certaines obligations légales et réglementaires qui apparaissent particulièrement pertinentes au regard des activités exercées par les établissements de paiement ou de monnaie électronique exemptés, ou par les établissements de paiement ou de monnaie électronique européens qui recourent à des agents ou distributeurs établis en Belgique.</w:t>
      </w:r>
    </w:p>
    <w:p w:rsidR="00FC52B7" w:rsidRPr="00D41810" w:rsidRDefault="00FC52B7" w:rsidP="00804529">
      <w:pPr>
        <w:spacing w:after="120"/>
        <w:jc w:val="both"/>
        <w:rPr>
          <w:lang w:val="fr-BE"/>
        </w:rPr>
      </w:pPr>
      <w:r w:rsidRPr="00D41810">
        <w:rPr>
          <w:lang w:val="fr-BE"/>
        </w:rPr>
        <w:t>D'une manière générale, la terminologie utilisée dans la formulation des questions est alignée sur celle de la loi du 11 janvier 1993 et sur celle du règlement de la CBFA du 23 février 2010 relatif à la prévention du blanchiment de capitaux et du financement du terrorisme (</w:t>
      </w:r>
      <w:r w:rsidR="008E6C2C">
        <w:rPr>
          <w:rFonts w:cs="Arial"/>
          <w:lang w:val="fr-BE"/>
        </w:rPr>
        <w:t>«</w:t>
      </w:r>
      <w:r w:rsidR="008E6C2C">
        <w:rPr>
          <w:lang w:val="fr-BE"/>
        </w:rPr>
        <w:t> </w:t>
      </w:r>
      <w:r w:rsidRPr="00D41810">
        <w:rPr>
          <w:lang w:val="fr-BE"/>
        </w:rPr>
        <w:t>le règlement</w:t>
      </w:r>
      <w:r w:rsidR="008E6C2C">
        <w:rPr>
          <w:lang w:val="fr-BE"/>
        </w:rPr>
        <w:t> </w:t>
      </w:r>
      <w:r w:rsidR="008E6C2C">
        <w:rPr>
          <w:rFonts w:cs="Arial"/>
          <w:lang w:val="fr-BE"/>
        </w:rPr>
        <w:t>»</w:t>
      </w:r>
      <w:r w:rsidR="008E6C2C" w:rsidRPr="00D41810">
        <w:rPr>
          <w:lang w:val="fr-BE"/>
        </w:rPr>
        <w:t xml:space="preserve">). </w:t>
      </w:r>
      <w:r w:rsidRPr="00D41810">
        <w:rPr>
          <w:lang w:val="fr-BE"/>
        </w:rPr>
        <w:t>En cas de doute quant à la portée exacte des questions, il convient donc de se référer en premier lieu aux clarifications fournies par la circulaire CBFA_2010_09 du 6 avril 2010 modifiée par la circulaire CBFA_2011_09 du 1</w:t>
      </w:r>
      <w:r w:rsidRPr="00D41810">
        <w:rPr>
          <w:vertAlign w:val="superscript"/>
          <w:lang w:val="fr-BE"/>
        </w:rPr>
        <w:t>er</w:t>
      </w:r>
      <w:r w:rsidRPr="00D41810">
        <w:rPr>
          <w:lang w:val="fr-BE"/>
        </w:rPr>
        <w:t xml:space="preserve"> mars 2011, relative aux devoirs de vigilance à l'égard de la clientèle, la prévention de l'utilisation du système financier aux fins du blanchiment de capitaux et du financement du terrorisme, et la prévention du financement de la prolifération des armes de destruction massive (version coordonnée). </w:t>
      </w:r>
    </w:p>
    <w:p w:rsidR="00FC52B7" w:rsidRDefault="00FC52B7" w:rsidP="00804529">
      <w:pPr>
        <w:spacing w:after="120"/>
        <w:jc w:val="both"/>
        <w:rPr>
          <w:lang w:val="fr-BE"/>
        </w:rPr>
      </w:pPr>
      <w:r w:rsidRPr="00D41810">
        <w:rPr>
          <w:lang w:val="fr-BE"/>
        </w:rPr>
        <w:t>Le deuxième chapitre contient en outre deux questions globales relatives à une auto-évaluation de la conformité des dispositifs internes de LBC/FT applicable</w:t>
      </w:r>
      <w:r w:rsidR="00CC5641">
        <w:rPr>
          <w:lang w:val="fr-BE"/>
        </w:rPr>
        <w:t>s</w:t>
      </w:r>
      <w:r w:rsidRPr="00D41810">
        <w:rPr>
          <w:lang w:val="fr-BE"/>
        </w:rPr>
        <w:t xml:space="preserve"> </w:t>
      </w:r>
      <w:r w:rsidR="00CC5641">
        <w:rPr>
          <w:lang w:val="fr-BE"/>
        </w:rPr>
        <w:t>aux établissements belges</w:t>
      </w:r>
      <w:r w:rsidRPr="00D41810">
        <w:rPr>
          <w:lang w:val="fr-BE"/>
        </w:rPr>
        <w:t xml:space="preserve"> avec les obligations </w:t>
      </w:r>
      <w:r w:rsidRPr="00D41810">
        <w:rPr>
          <w:lang w:val="fr-BE"/>
        </w:rPr>
        <w:lastRenderedPageBreak/>
        <w:t xml:space="preserve">légales et réglementaires applicables, d’une part, et de l’effectivité de la mise en application de ces dispositifs, d’autre part. </w:t>
      </w:r>
    </w:p>
    <w:p w:rsidR="00FC52B7" w:rsidRPr="00D41810" w:rsidRDefault="00FC52B7" w:rsidP="00804529">
      <w:pPr>
        <w:numPr>
          <w:ilvl w:val="0"/>
          <w:numId w:val="36"/>
        </w:numPr>
        <w:spacing w:before="240" w:after="120"/>
        <w:ind w:left="567" w:hanging="567"/>
        <w:jc w:val="both"/>
        <w:rPr>
          <w:u w:val="single"/>
          <w:lang w:val="fr-BE"/>
        </w:rPr>
      </w:pPr>
      <w:r w:rsidRPr="00D41810">
        <w:rPr>
          <w:u w:val="single"/>
          <w:lang w:val="fr-BE"/>
        </w:rPr>
        <w:t>Nature des réponses</w:t>
      </w:r>
    </w:p>
    <w:p w:rsidR="00FC52B7" w:rsidRPr="00D41810" w:rsidRDefault="00CC5641" w:rsidP="00804529">
      <w:pPr>
        <w:numPr>
          <w:ilvl w:val="0"/>
          <w:numId w:val="37"/>
        </w:numPr>
        <w:spacing w:before="120" w:after="120"/>
        <w:ind w:left="714" w:hanging="357"/>
        <w:jc w:val="both"/>
        <w:rPr>
          <w:u w:val="single"/>
          <w:lang w:val="fr-BE"/>
        </w:rPr>
      </w:pPr>
      <w:r>
        <w:rPr>
          <w:u w:val="single"/>
          <w:lang w:val="fr-BE"/>
        </w:rPr>
        <w:t xml:space="preserve">Chapitre 1: </w:t>
      </w:r>
      <w:r w:rsidR="00C93C01">
        <w:rPr>
          <w:u w:val="single"/>
          <w:lang w:val="fr-BE"/>
        </w:rPr>
        <w:t>Q</w:t>
      </w:r>
      <w:r w:rsidR="00FC52B7" w:rsidRPr="00D41810">
        <w:rPr>
          <w:u w:val="single"/>
          <w:lang w:val="fr-BE"/>
        </w:rPr>
        <w:t>uestions de conformité</w:t>
      </w:r>
      <w:r w:rsidR="00FC52B7" w:rsidRPr="00D41810">
        <w:rPr>
          <w:lang w:val="fr-BE"/>
        </w:rPr>
        <w:t xml:space="preserve">: les questions de conformité visent essentiellement à préciser si les éléments principaux des obligations légales et réglementaires sont </w:t>
      </w:r>
      <w:r w:rsidRPr="00D41810">
        <w:rPr>
          <w:lang w:val="fr-BE"/>
        </w:rPr>
        <w:t>d</w:t>
      </w:r>
      <w:r>
        <w:rPr>
          <w:lang w:val="fr-BE"/>
        </w:rPr>
        <w:t>û</w:t>
      </w:r>
      <w:r w:rsidRPr="00D41810">
        <w:rPr>
          <w:lang w:val="fr-BE"/>
        </w:rPr>
        <w:t xml:space="preserve">ment </w:t>
      </w:r>
      <w:r w:rsidR="00FC52B7" w:rsidRPr="00D41810">
        <w:rPr>
          <w:lang w:val="fr-BE"/>
        </w:rPr>
        <w:t xml:space="preserve">pris en compte par les procédures internes. Ces questions appellent, en règle générale, des réponses par </w:t>
      </w:r>
      <w:r>
        <w:rPr>
          <w:rFonts w:cs="Arial"/>
          <w:lang w:val="fr-BE"/>
        </w:rPr>
        <w:t>«</w:t>
      </w:r>
      <w:r>
        <w:rPr>
          <w:lang w:val="fr-BE"/>
        </w:rPr>
        <w:t> </w:t>
      </w:r>
      <w:r w:rsidR="00FC52B7" w:rsidRPr="00D41810">
        <w:rPr>
          <w:lang w:val="fr-BE"/>
        </w:rPr>
        <w:t>oui</w:t>
      </w:r>
      <w:r>
        <w:rPr>
          <w:lang w:val="fr-BE"/>
        </w:rPr>
        <w:t> </w:t>
      </w:r>
      <w:r>
        <w:rPr>
          <w:rFonts w:cs="Arial"/>
          <w:lang w:val="fr-BE"/>
        </w:rPr>
        <w:t>»</w:t>
      </w:r>
      <w:r w:rsidRPr="00D41810">
        <w:rPr>
          <w:lang w:val="fr-BE"/>
        </w:rPr>
        <w:t xml:space="preserve"> </w:t>
      </w:r>
      <w:r w:rsidR="00FC52B7" w:rsidRPr="00D41810">
        <w:rPr>
          <w:lang w:val="fr-BE"/>
        </w:rPr>
        <w:t xml:space="preserve">ou par </w:t>
      </w:r>
      <w:r>
        <w:rPr>
          <w:rFonts w:cs="Arial"/>
          <w:lang w:val="fr-BE"/>
        </w:rPr>
        <w:t>«</w:t>
      </w:r>
      <w:r>
        <w:rPr>
          <w:lang w:val="fr-BE"/>
        </w:rPr>
        <w:t> </w:t>
      </w:r>
      <w:r w:rsidR="00FC52B7" w:rsidRPr="00D41810">
        <w:rPr>
          <w:lang w:val="fr-BE"/>
        </w:rPr>
        <w:t>non</w:t>
      </w:r>
      <w:r>
        <w:rPr>
          <w:lang w:val="fr-BE"/>
        </w:rPr>
        <w:t> </w:t>
      </w:r>
      <w:r>
        <w:rPr>
          <w:rFonts w:cs="Arial"/>
          <w:lang w:val="fr-BE"/>
        </w:rPr>
        <w:t>»</w:t>
      </w:r>
      <w:r w:rsidRPr="00D41810">
        <w:rPr>
          <w:lang w:val="fr-BE"/>
        </w:rPr>
        <w:t xml:space="preserve">. </w:t>
      </w:r>
    </w:p>
    <w:p w:rsidR="00FC52B7" w:rsidRPr="00D41810" w:rsidRDefault="00FC52B7" w:rsidP="00804529">
      <w:pPr>
        <w:spacing w:after="120"/>
        <w:ind w:left="720"/>
        <w:jc w:val="both"/>
        <w:rPr>
          <w:lang w:val="fr-BE"/>
        </w:rPr>
      </w:pPr>
      <w:r w:rsidRPr="00D41810">
        <w:rPr>
          <w:lang w:val="fr-BE"/>
        </w:rPr>
        <w:t xml:space="preserve">La réponse </w:t>
      </w:r>
      <w:r w:rsidR="002E4EB3">
        <w:rPr>
          <w:rFonts w:cs="Arial"/>
          <w:lang w:val="fr-BE"/>
        </w:rPr>
        <w:t>«</w:t>
      </w:r>
      <w:r w:rsidR="002E4EB3">
        <w:rPr>
          <w:lang w:val="fr-BE"/>
        </w:rPr>
        <w:t> </w:t>
      </w:r>
      <w:r w:rsidRPr="00D41810">
        <w:rPr>
          <w:lang w:val="fr-BE"/>
        </w:rPr>
        <w:t>non applicable</w:t>
      </w:r>
      <w:r w:rsidR="002E4EB3">
        <w:rPr>
          <w:lang w:val="fr-BE"/>
        </w:rPr>
        <w:t> </w:t>
      </w:r>
      <w:r w:rsidR="002E4EB3">
        <w:rPr>
          <w:rFonts w:cs="Arial"/>
          <w:lang w:val="fr-BE"/>
        </w:rPr>
        <w:t>»</w:t>
      </w:r>
      <w:r w:rsidR="002E4EB3" w:rsidRPr="00D41810">
        <w:rPr>
          <w:lang w:val="fr-BE"/>
        </w:rPr>
        <w:t xml:space="preserve"> </w:t>
      </w:r>
      <w:r w:rsidRPr="00D41810">
        <w:rPr>
          <w:lang w:val="fr-BE"/>
        </w:rPr>
        <w:t xml:space="preserve">(N.A.) est systématiquement prévue comme troisième alternative de réponse pour toutes ces questions. Cette réponse </w:t>
      </w:r>
      <w:r w:rsidR="002E4EB3">
        <w:rPr>
          <w:rFonts w:cs="Arial"/>
          <w:lang w:val="fr-BE"/>
        </w:rPr>
        <w:t>«</w:t>
      </w:r>
      <w:r w:rsidR="002E4EB3">
        <w:rPr>
          <w:lang w:val="fr-BE"/>
        </w:rPr>
        <w:t> </w:t>
      </w:r>
      <w:r w:rsidRPr="00D41810">
        <w:rPr>
          <w:lang w:val="fr-BE"/>
        </w:rPr>
        <w:t>N.A.</w:t>
      </w:r>
      <w:r w:rsidR="002E4EB3">
        <w:rPr>
          <w:lang w:val="fr-BE"/>
        </w:rPr>
        <w:t> </w:t>
      </w:r>
      <w:r w:rsidR="002E4EB3">
        <w:rPr>
          <w:rFonts w:cs="Arial"/>
          <w:lang w:val="fr-BE"/>
        </w:rPr>
        <w:t>»</w:t>
      </w:r>
      <w:r w:rsidR="002E4EB3" w:rsidRPr="00D41810">
        <w:rPr>
          <w:lang w:val="fr-BE"/>
        </w:rPr>
        <w:t xml:space="preserve"> </w:t>
      </w:r>
      <w:r w:rsidRPr="00D41810">
        <w:rPr>
          <w:lang w:val="fr-BE"/>
        </w:rPr>
        <w:t xml:space="preserve">doit cependant être strictement réservée aux situations dans lesquelles la règle qui sous-tend la question n'est pas applicable au PCC ou à l’établissement de paiement / l’établissement de monnaie électronique concernés, compte tenu, notamment, des particularités des activités qu'il exerce ou de leurs modalités. Ainsi, par exemple, les questions relatives à l’identification à distance peuvent appeler une réponse </w:t>
      </w:r>
      <w:r w:rsidR="002E4EB3">
        <w:rPr>
          <w:lang w:val="fr-BE"/>
        </w:rPr>
        <w:t>« </w:t>
      </w:r>
      <w:r w:rsidRPr="00D41810">
        <w:rPr>
          <w:lang w:val="fr-BE"/>
        </w:rPr>
        <w:t>N.A.</w:t>
      </w:r>
      <w:r w:rsidR="002E4EB3">
        <w:rPr>
          <w:lang w:val="fr-BE"/>
        </w:rPr>
        <w:t> »</w:t>
      </w:r>
      <w:r w:rsidRPr="00D41810">
        <w:rPr>
          <w:lang w:val="fr-BE"/>
        </w:rPr>
        <w:t xml:space="preserve"> lorsque toutes les opérations pour lesquelles les agents ou distributeurs du réseau interviennent requièrent obligatoirement la présence physique du client.</w:t>
      </w:r>
    </w:p>
    <w:p w:rsidR="00FC52B7" w:rsidRPr="00D41810" w:rsidRDefault="00FC52B7" w:rsidP="00804529">
      <w:pPr>
        <w:spacing w:after="120"/>
        <w:ind w:left="720"/>
        <w:jc w:val="both"/>
        <w:rPr>
          <w:lang w:val="fr-BE"/>
        </w:rPr>
      </w:pPr>
      <w:r w:rsidRPr="00D41810">
        <w:rPr>
          <w:lang w:val="fr-BE"/>
        </w:rPr>
        <w:t xml:space="preserve">Afin de garantir une bonne compréhension des réponses au questionnaire, chaque recours à la réponse </w:t>
      </w:r>
      <w:r w:rsidR="002E4EB3">
        <w:rPr>
          <w:rFonts w:cs="Arial"/>
          <w:lang w:val="fr-BE"/>
        </w:rPr>
        <w:t>«</w:t>
      </w:r>
      <w:r w:rsidR="002E4EB3">
        <w:rPr>
          <w:lang w:val="fr-BE"/>
        </w:rPr>
        <w:t> </w:t>
      </w:r>
      <w:r w:rsidRPr="00D41810">
        <w:rPr>
          <w:lang w:val="fr-BE"/>
        </w:rPr>
        <w:t>N.A.</w:t>
      </w:r>
      <w:r w:rsidR="002E4EB3">
        <w:rPr>
          <w:lang w:val="fr-BE"/>
        </w:rPr>
        <w:t> </w:t>
      </w:r>
      <w:r w:rsidR="002E4EB3">
        <w:rPr>
          <w:rFonts w:cs="Arial"/>
          <w:lang w:val="fr-BE"/>
        </w:rPr>
        <w:t>»</w:t>
      </w:r>
      <w:r w:rsidR="002E4EB3" w:rsidRPr="00D41810">
        <w:rPr>
          <w:lang w:val="fr-BE"/>
        </w:rPr>
        <w:t xml:space="preserve"> </w:t>
      </w:r>
      <w:r w:rsidRPr="00D41810">
        <w:rPr>
          <w:lang w:val="fr-BE"/>
        </w:rPr>
        <w:t>devra obligatoirement être succinctement motivé dans la case de commentaire relative à la question concernée.</w:t>
      </w:r>
    </w:p>
    <w:p w:rsidR="00FC52B7" w:rsidRPr="00D41810" w:rsidRDefault="00CC5641" w:rsidP="00804529">
      <w:pPr>
        <w:numPr>
          <w:ilvl w:val="0"/>
          <w:numId w:val="37"/>
        </w:numPr>
        <w:tabs>
          <w:tab w:val="clear" w:pos="284"/>
        </w:tabs>
        <w:spacing w:after="120"/>
        <w:ind w:left="709" w:hanging="425"/>
        <w:jc w:val="both"/>
        <w:rPr>
          <w:u w:val="single"/>
          <w:lang w:val="fr-BE"/>
        </w:rPr>
      </w:pPr>
      <w:r>
        <w:rPr>
          <w:u w:val="single"/>
          <w:lang w:val="fr-BE"/>
        </w:rPr>
        <w:t xml:space="preserve">Chapitre 2: </w:t>
      </w:r>
      <w:r w:rsidR="00C93C01">
        <w:rPr>
          <w:u w:val="single"/>
          <w:lang w:val="fr-BE"/>
        </w:rPr>
        <w:t>Q</w:t>
      </w:r>
      <w:r w:rsidR="00FC52B7" w:rsidRPr="00D41810">
        <w:rPr>
          <w:u w:val="single"/>
          <w:lang w:val="fr-BE"/>
        </w:rPr>
        <w:t>uestions d'auto-évaluation</w:t>
      </w:r>
    </w:p>
    <w:p w:rsidR="00FC52B7" w:rsidRPr="00D41810" w:rsidRDefault="00CF4C6B" w:rsidP="00804529">
      <w:pPr>
        <w:tabs>
          <w:tab w:val="clear" w:pos="284"/>
        </w:tabs>
        <w:spacing w:after="120"/>
        <w:ind w:left="709" w:hanging="425"/>
        <w:jc w:val="both"/>
        <w:rPr>
          <w:lang w:val="fr-BE"/>
        </w:rPr>
      </w:pPr>
      <w:r w:rsidRPr="00D41810">
        <w:rPr>
          <w:lang w:val="fr-BE"/>
        </w:rPr>
        <w:tab/>
      </w:r>
      <w:r w:rsidR="00FC52B7" w:rsidRPr="00D41810">
        <w:rPr>
          <w:lang w:val="fr-BE"/>
        </w:rPr>
        <w:t xml:space="preserve">Aux questions d'auto-évaluation de la conformité et de l'effectivité des procédures internes, les réponses possibles sont </w:t>
      </w:r>
      <w:r w:rsidR="002E4EB3">
        <w:rPr>
          <w:rFonts w:cs="Arial"/>
          <w:lang w:val="fr-BE"/>
        </w:rPr>
        <w:t>«</w:t>
      </w:r>
      <w:r w:rsidR="002E4EB3">
        <w:rPr>
          <w:lang w:val="fr-BE"/>
        </w:rPr>
        <w:t> </w:t>
      </w:r>
      <w:r w:rsidR="00FC52B7" w:rsidRPr="00D41810">
        <w:rPr>
          <w:lang w:val="fr-BE"/>
        </w:rPr>
        <w:t>pleinement</w:t>
      </w:r>
      <w:r w:rsidR="002E4EB3">
        <w:rPr>
          <w:lang w:val="fr-BE"/>
        </w:rPr>
        <w:t> </w:t>
      </w:r>
      <w:r w:rsidR="002E4EB3">
        <w:rPr>
          <w:rFonts w:cs="Arial"/>
          <w:lang w:val="fr-BE"/>
        </w:rPr>
        <w:t>»</w:t>
      </w:r>
      <w:r w:rsidR="002E4EB3" w:rsidRPr="00D41810">
        <w:rPr>
          <w:lang w:val="fr-BE"/>
        </w:rPr>
        <w:t xml:space="preserve">, </w:t>
      </w:r>
      <w:r w:rsidR="002E4EB3">
        <w:rPr>
          <w:rFonts w:cs="Arial"/>
          <w:lang w:val="fr-BE"/>
        </w:rPr>
        <w:t>«</w:t>
      </w:r>
      <w:r w:rsidR="002E4EB3">
        <w:rPr>
          <w:lang w:val="fr-BE"/>
        </w:rPr>
        <w:t> </w:t>
      </w:r>
      <w:r w:rsidR="00FC52B7" w:rsidRPr="00D41810">
        <w:rPr>
          <w:lang w:val="fr-BE"/>
        </w:rPr>
        <w:t>largement</w:t>
      </w:r>
      <w:r w:rsidR="002E4EB3">
        <w:rPr>
          <w:lang w:val="fr-BE"/>
        </w:rPr>
        <w:t> </w:t>
      </w:r>
      <w:r w:rsidR="002E4EB3">
        <w:rPr>
          <w:rFonts w:cs="Arial"/>
          <w:lang w:val="fr-BE"/>
        </w:rPr>
        <w:t>»</w:t>
      </w:r>
      <w:r w:rsidR="002E4EB3" w:rsidRPr="00D41810">
        <w:rPr>
          <w:lang w:val="fr-BE"/>
        </w:rPr>
        <w:t xml:space="preserve">, </w:t>
      </w:r>
      <w:r w:rsidR="002E4EB3">
        <w:rPr>
          <w:rFonts w:cs="Arial"/>
          <w:lang w:val="fr-BE"/>
        </w:rPr>
        <w:t>«</w:t>
      </w:r>
      <w:r w:rsidR="002E4EB3">
        <w:rPr>
          <w:lang w:val="fr-BE"/>
        </w:rPr>
        <w:t> </w:t>
      </w:r>
      <w:r w:rsidR="00FC52B7" w:rsidRPr="00D41810">
        <w:rPr>
          <w:lang w:val="fr-BE"/>
        </w:rPr>
        <w:t>partiellement</w:t>
      </w:r>
      <w:r w:rsidR="002E4EB3">
        <w:rPr>
          <w:lang w:val="fr-BE"/>
        </w:rPr>
        <w:t> </w:t>
      </w:r>
      <w:r w:rsidR="002E4EB3">
        <w:rPr>
          <w:rFonts w:cs="Arial"/>
          <w:lang w:val="fr-BE"/>
        </w:rPr>
        <w:t>»</w:t>
      </w:r>
      <w:r w:rsidR="002E4EB3" w:rsidRPr="00D41810">
        <w:rPr>
          <w:lang w:val="fr-BE"/>
        </w:rPr>
        <w:t xml:space="preserve"> </w:t>
      </w:r>
      <w:r w:rsidR="00997257">
        <w:rPr>
          <w:lang w:val="fr-BE"/>
        </w:rPr>
        <w:t>ou</w:t>
      </w:r>
      <w:r w:rsidR="00FC52B7" w:rsidRPr="00D41810">
        <w:rPr>
          <w:lang w:val="fr-BE"/>
        </w:rPr>
        <w:t xml:space="preserve"> </w:t>
      </w:r>
      <w:r w:rsidR="002E4EB3">
        <w:rPr>
          <w:rFonts w:cs="Arial"/>
          <w:lang w:val="fr-BE"/>
        </w:rPr>
        <w:t>«</w:t>
      </w:r>
      <w:r w:rsidR="002E4EB3">
        <w:rPr>
          <w:lang w:val="fr-BE"/>
        </w:rPr>
        <w:t> </w:t>
      </w:r>
      <w:r w:rsidR="00FC52B7" w:rsidRPr="00D41810">
        <w:rPr>
          <w:lang w:val="fr-BE"/>
        </w:rPr>
        <w:t>insuffisamment</w:t>
      </w:r>
      <w:r w:rsidR="002E4EB3">
        <w:rPr>
          <w:lang w:val="fr-BE"/>
        </w:rPr>
        <w:t> </w:t>
      </w:r>
      <w:r w:rsidR="002E4EB3">
        <w:rPr>
          <w:rFonts w:cs="Arial"/>
          <w:lang w:val="fr-BE"/>
        </w:rPr>
        <w:t>»</w:t>
      </w:r>
      <w:r w:rsidR="002E4EB3" w:rsidRPr="00D41810">
        <w:rPr>
          <w:lang w:val="fr-BE"/>
        </w:rPr>
        <w:t xml:space="preserve"> </w:t>
      </w:r>
      <w:r w:rsidR="00FC52B7" w:rsidRPr="00D41810">
        <w:rPr>
          <w:lang w:val="fr-BE"/>
        </w:rPr>
        <w:t>conformes ou effectives. Ces termes se définissent comme suit:</w:t>
      </w:r>
    </w:p>
    <w:p w:rsidR="00FC52B7" w:rsidRPr="00D41810" w:rsidRDefault="00FC52B7" w:rsidP="00804529">
      <w:pPr>
        <w:spacing w:after="120"/>
        <w:ind w:left="567"/>
        <w:jc w:val="both"/>
        <w:rPr>
          <w:lang w:val="fr-BE"/>
        </w:rPr>
      </w:pPr>
      <w:r w:rsidRPr="00D41810">
        <w:rPr>
          <w:u w:val="dotted"/>
          <w:lang w:val="fr-BE"/>
        </w:rPr>
        <w:t>Auto-évaluation de la conformité</w:t>
      </w:r>
      <w:r w:rsidRPr="00D41810">
        <w:rPr>
          <w:lang w:val="fr-BE"/>
        </w:rPr>
        <w:t>:</w:t>
      </w:r>
    </w:p>
    <w:tbl>
      <w:tblPr>
        <w:tblStyle w:val="TableGrid1"/>
        <w:tblW w:w="0" w:type="auto"/>
        <w:tblInd w:w="709" w:type="dxa"/>
        <w:tblLook w:val="04A0" w:firstRow="1" w:lastRow="0" w:firstColumn="1" w:lastColumn="0" w:noHBand="0" w:noVBand="1"/>
      </w:tblPr>
      <w:tblGrid>
        <w:gridCol w:w="2660"/>
        <w:gridCol w:w="5636"/>
      </w:tblGrid>
      <w:tr w:rsidR="00FC52B7" w:rsidRPr="00D41810" w:rsidTr="00FC52B7">
        <w:tc>
          <w:tcPr>
            <w:tcW w:w="2660" w:type="dxa"/>
            <w:hideMark/>
          </w:tcPr>
          <w:p w:rsidR="00FC52B7" w:rsidRPr="00D41810" w:rsidRDefault="002E4EB3" w:rsidP="00804529">
            <w:pPr>
              <w:spacing w:before="60" w:after="60"/>
              <w:jc w:val="both"/>
              <w:rPr>
                <w:lang w:val="fr-BE"/>
              </w:rPr>
            </w:pPr>
            <w:r>
              <w:rPr>
                <w:rFonts w:cs="Arial"/>
                <w:lang w:val="fr-BE"/>
              </w:rPr>
              <w:t>«</w:t>
            </w:r>
            <w:r>
              <w:rPr>
                <w:lang w:val="fr-BE"/>
              </w:rPr>
              <w:t> </w:t>
            </w:r>
            <w:r w:rsidR="00FC52B7" w:rsidRPr="00D41810">
              <w:rPr>
                <w:lang w:val="fr-BE"/>
              </w:rPr>
              <w:t>Pleinement</w:t>
            </w:r>
            <w:r>
              <w:rPr>
                <w:lang w:val="fr-BE"/>
              </w:rPr>
              <w:t> </w:t>
            </w:r>
            <w:r>
              <w:rPr>
                <w:rFonts w:cs="Arial"/>
                <w:lang w:val="fr-BE"/>
              </w:rPr>
              <w:t>»</w:t>
            </w:r>
            <w:r w:rsidRPr="00D41810">
              <w:rPr>
                <w:lang w:val="fr-BE"/>
              </w:rPr>
              <w:t xml:space="preserve"> </w:t>
            </w:r>
            <w:r w:rsidR="00FC52B7" w:rsidRPr="00D41810">
              <w:rPr>
                <w:lang w:val="fr-BE"/>
              </w:rPr>
              <w:t>conforme</w:t>
            </w:r>
          </w:p>
        </w:tc>
        <w:tc>
          <w:tcPr>
            <w:tcW w:w="5636" w:type="dxa"/>
            <w:hideMark/>
          </w:tcPr>
          <w:p w:rsidR="00FC52B7" w:rsidRPr="00D41810" w:rsidRDefault="00FC52B7" w:rsidP="00804529">
            <w:pPr>
              <w:spacing w:before="60" w:after="60"/>
              <w:jc w:val="both"/>
              <w:rPr>
                <w:lang w:val="fr-BE"/>
              </w:rPr>
            </w:pPr>
            <w:r w:rsidRPr="00D41810">
              <w:rPr>
                <w:lang w:val="fr-BE"/>
              </w:rPr>
              <w:t xml:space="preserve">Les procédures internes ne comportent, de l'avis de </w:t>
            </w:r>
            <w:r w:rsidR="002E4EB3">
              <w:rPr>
                <w:lang w:val="fr-BE"/>
              </w:rPr>
              <w:t>l’établissement financier</w:t>
            </w:r>
            <w:r w:rsidRPr="00D41810">
              <w:rPr>
                <w:lang w:val="fr-BE"/>
              </w:rPr>
              <w:t>, aucune déficience au regard des obligations légales ou réglementaires pertinentes.</w:t>
            </w:r>
          </w:p>
        </w:tc>
      </w:tr>
      <w:tr w:rsidR="00FC52B7" w:rsidRPr="00D41810" w:rsidTr="00FC52B7">
        <w:tc>
          <w:tcPr>
            <w:tcW w:w="2660" w:type="dxa"/>
            <w:hideMark/>
          </w:tcPr>
          <w:p w:rsidR="00FC52B7" w:rsidRPr="00D41810" w:rsidRDefault="002E4EB3" w:rsidP="00804529">
            <w:pPr>
              <w:spacing w:before="60" w:after="60"/>
              <w:jc w:val="both"/>
              <w:rPr>
                <w:lang w:val="fr-BE"/>
              </w:rPr>
            </w:pPr>
            <w:r>
              <w:rPr>
                <w:rFonts w:cs="Arial"/>
                <w:lang w:val="fr-BE"/>
              </w:rPr>
              <w:t>«</w:t>
            </w:r>
            <w:r>
              <w:rPr>
                <w:lang w:val="fr-BE"/>
              </w:rPr>
              <w:t> </w:t>
            </w:r>
            <w:r w:rsidR="00FC52B7" w:rsidRPr="00D41810">
              <w:rPr>
                <w:lang w:val="fr-BE"/>
              </w:rPr>
              <w:t>Largement</w:t>
            </w:r>
            <w:r>
              <w:rPr>
                <w:lang w:val="fr-BE"/>
              </w:rPr>
              <w:t> </w:t>
            </w:r>
            <w:r>
              <w:rPr>
                <w:rFonts w:cs="Arial"/>
                <w:lang w:val="fr-BE"/>
              </w:rPr>
              <w:t>»</w:t>
            </w:r>
            <w:r w:rsidRPr="00D41810">
              <w:rPr>
                <w:lang w:val="fr-BE"/>
              </w:rPr>
              <w:t xml:space="preserve"> </w:t>
            </w:r>
            <w:r w:rsidR="00FC52B7" w:rsidRPr="00D41810">
              <w:rPr>
                <w:lang w:val="fr-BE"/>
              </w:rPr>
              <w:t>conforme</w:t>
            </w:r>
          </w:p>
        </w:tc>
        <w:tc>
          <w:tcPr>
            <w:tcW w:w="5636" w:type="dxa"/>
            <w:hideMark/>
          </w:tcPr>
          <w:p w:rsidR="00FC52B7" w:rsidRPr="00D41810" w:rsidRDefault="00FC52B7" w:rsidP="00804529">
            <w:pPr>
              <w:spacing w:before="60" w:after="60"/>
              <w:jc w:val="both"/>
              <w:rPr>
                <w:lang w:val="fr-BE"/>
              </w:rPr>
            </w:pPr>
            <w:r w:rsidRPr="00D41810">
              <w:rPr>
                <w:lang w:val="fr-BE"/>
              </w:rPr>
              <w:t xml:space="preserve">Les procédures internes ne comportent pas, de l'avis de </w:t>
            </w:r>
            <w:r w:rsidR="002E4EB3">
              <w:rPr>
                <w:lang w:val="fr-BE"/>
              </w:rPr>
              <w:t>l’établissement financier</w:t>
            </w:r>
            <w:r w:rsidRPr="00D41810">
              <w:rPr>
                <w:lang w:val="fr-BE"/>
              </w:rPr>
              <w:t>, de déficiences importantes au regard des obligations légales ou réglementaires pertinentes; les déficiences identifiées peuvent être considérées comme mineures, tant du point de vue de leur portée individuelle qu'en tenant compte de leur cumul.</w:t>
            </w:r>
          </w:p>
        </w:tc>
      </w:tr>
      <w:tr w:rsidR="00FC52B7" w:rsidRPr="00D41810" w:rsidTr="00FC52B7">
        <w:tc>
          <w:tcPr>
            <w:tcW w:w="2660" w:type="dxa"/>
            <w:hideMark/>
          </w:tcPr>
          <w:p w:rsidR="00FC52B7" w:rsidRPr="00D41810" w:rsidRDefault="002E4EB3" w:rsidP="00804529">
            <w:pPr>
              <w:spacing w:before="60" w:after="60"/>
              <w:jc w:val="both"/>
              <w:rPr>
                <w:lang w:val="fr-BE"/>
              </w:rPr>
            </w:pPr>
            <w:r>
              <w:rPr>
                <w:rFonts w:cs="Arial"/>
                <w:lang w:val="fr-BE"/>
              </w:rPr>
              <w:t>«</w:t>
            </w:r>
            <w:r>
              <w:rPr>
                <w:lang w:val="fr-BE"/>
              </w:rPr>
              <w:t> </w:t>
            </w:r>
            <w:r w:rsidR="00FC52B7" w:rsidRPr="00D41810">
              <w:rPr>
                <w:lang w:val="fr-BE"/>
              </w:rPr>
              <w:t>Partiellement</w:t>
            </w:r>
            <w:r>
              <w:rPr>
                <w:lang w:val="fr-BE"/>
              </w:rPr>
              <w:t> </w:t>
            </w:r>
            <w:r>
              <w:rPr>
                <w:rFonts w:cs="Arial"/>
                <w:lang w:val="fr-BE"/>
              </w:rPr>
              <w:t>»</w:t>
            </w:r>
            <w:r w:rsidRPr="00D41810">
              <w:rPr>
                <w:lang w:val="fr-BE"/>
              </w:rPr>
              <w:t xml:space="preserve"> </w:t>
            </w:r>
            <w:r w:rsidR="00FC52B7" w:rsidRPr="00D41810">
              <w:rPr>
                <w:lang w:val="fr-BE"/>
              </w:rPr>
              <w:t>conforme</w:t>
            </w:r>
          </w:p>
        </w:tc>
        <w:tc>
          <w:tcPr>
            <w:tcW w:w="5636" w:type="dxa"/>
            <w:hideMark/>
          </w:tcPr>
          <w:p w:rsidR="00FC52B7" w:rsidRPr="00D41810" w:rsidRDefault="00FC52B7" w:rsidP="00804529">
            <w:pPr>
              <w:spacing w:before="60" w:after="60"/>
              <w:jc w:val="both"/>
              <w:rPr>
                <w:lang w:val="fr-BE"/>
              </w:rPr>
            </w:pPr>
            <w:r w:rsidRPr="00D41810">
              <w:rPr>
                <w:lang w:val="fr-BE"/>
              </w:rPr>
              <w:t xml:space="preserve">Les procédures internes comportent, de l'avis de </w:t>
            </w:r>
            <w:r w:rsidR="002E4EB3">
              <w:rPr>
                <w:lang w:val="fr-BE"/>
              </w:rPr>
              <w:t>l’établissement financier</w:t>
            </w:r>
            <w:r w:rsidRPr="00D41810">
              <w:rPr>
                <w:lang w:val="fr-BE"/>
              </w:rPr>
              <w:t xml:space="preserve">, certaines déficiences importantes au regard des obligations légales ou réglementaires pertinentes, qui sont susceptibles d'accroître de façon significative la vulnérabilité de </w:t>
            </w:r>
            <w:r w:rsidR="002E4EB3">
              <w:rPr>
                <w:lang w:val="fr-BE"/>
              </w:rPr>
              <w:t>l’établissement financier</w:t>
            </w:r>
            <w:r w:rsidRPr="00D41810">
              <w:rPr>
                <w:lang w:val="fr-BE"/>
              </w:rPr>
              <w:t xml:space="preserve"> face au risque; ce jugement peut résulter soit de la portée individuelle d'une ou plusieurs déficiences identifiées, soit de leur cumul.</w:t>
            </w:r>
          </w:p>
        </w:tc>
      </w:tr>
      <w:tr w:rsidR="00FC52B7" w:rsidRPr="00D41810" w:rsidTr="00FC52B7">
        <w:tc>
          <w:tcPr>
            <w:tcW w:w="2660" w:type="dxa"/>
            <w:hideMark/>
          </w:tcPr>
          <w:p w:rsidR="00FC52B7" w:rsidRPr="00D41810" w:rsidRDefault="002E4EB3" w:rsidP="00804529">
            <w:pPr>
              <w:spacing w:before="60" w:after="60"/>
              <w:jc w:val="both"/>
              <w:rPr>
                <w:lang w:val="fr-BE"/>
              </w:rPr>
            </w:pPr>
            <w:r>
              <w:rPr>
                <w:rFonts w:cs="Arial"/>
                <w:lang w:val="fr-BE"/>
              </w:rPr>
              <w:t>«</w:t>
            </w:r>
            <w:r>
              <w:rPr>
                <w:lang w:val="fr-BE"/>
              </w:rPr>
              <w:t> </w:t>
            </w:r>
            <w:r w:rsidR="00FC52B7" w:rsidRPr="00D41810">
              <w:rPr>
                <w:lang w:val="fr-BE"/>
              </w:rPr>
              <w:t>Insuffisamment</w:t>
            </w:r>
            <w:r>
              <w:rPr>
                <w:lang w:val="fr-BE"/>
              </w:rPr>
              <w:t> </w:t>
            </w:r>
            <w:r>
              <w:rPr>
                <w:rFonts w:cs="Arial"/>
                <w:lang w:val="fr-BE"/>
              </w:rPr>
              <w:t>»</w:t>
            </w:r>
            <w:r w:rsidRPr="00D41810">
              <w:rPr>
                <w:lang w:val="fr-BE"/>
              </w:rPr>
              <w:t xml:space="preserve"> </w:t>
            </w:r>
            <w:r w:rsidR="00FC52B7" w:rsidRPr="00D41810">
              <w:rPr>
                <w:lang w:val="fr-BE"/>
              </w:rPr>
              <w:t>conforme</w:t>
            </w:r>
          </w:p>
        </w:tc>
        <w:tc>
          <w:tcPr>
            <w:tcW w:w="5636" w:type="dxa"/>
            <w:hideMark/>
          </w:tcPr>
          <w:p w:rsidR="00FC52B7" w:rsidRPr="00D41810" w:rsidRDefault="00FC52B7" w:rsidP="00804529">
            <w:pPr>
              <w:spacing w:before="60" w:after="60"/>
              <w:jc w:val="both"/>
              <w:rPr>
                <w:lang w:val="fr-BE"/>
              </w:rPr>
            </w:pPr>
            <w:r w:rsidRPr="00D41810">
              <w:rPr>
                <w:lang w:val="fr-BE"/>
              </w:rPr>
              <w:t xml:space="preserve">Les procédures internes comportent, de l'avis de </w:t>
            </w:r>
            <w:r w:rsidR="002E4EB3">
              <w:rPr>
                <w:lang w:val="fr-BE"/>
              </w:rPr>
              <w:t>l’établissement financier</w:t>
            </w:r>
            <w:r w:rsidRPr="00D41810">
              <w:rPr>
                <w:lang w:val="fr-BE"/>
              </w:rPr>
              <w:t xml:space="preserve">, des déficiences graves au regard des obligations légales ou réglementaires pertinentes, qui sont de nature à accroître de façon déraisonnable la vulnérabilité de </w:t>
            </w:r>
            <w:r w:rsidR="002E4EB3">
              <w:rPr>
                <w:lang w:val="fr-BE"/>
              </w:rPr>
              <w:t>l’établissement financier</w:t>
            </w:r>
            <w:r w:rsidRPr="00D41810">
              <w:rPr>
                <w:lang w:val="fr-BE"/>
              </w:rPr>
              <w:t>; la gravité des déficiences identifiées peut résulter soit de la portée individuelle d'une ou plusieurs de ces déficiences, soit de leur cumul.</w:t>
            </w:r>
          </w:p>
        </w:tc>
      </w:tr>
    </w:tbl>
    <w:p w:rsidR="00C93C01" w:rsidRDefault="00C93C01" w:rsidP="00804529">
      <w:pPr>
        <w:spacing w:after="120"/>
        <w:ind w:left="567"/>
        <w:jc w:val="both"/>
        <w:rPr>
          <w:u w:val="dotted"/>
          <w:lang w:val="fr-BE"/>
        </w:rPr>
      </w:pPr>
    </w:p>
    <w:p w:rsidR="00FC52B7" w:rsidRPr="00C93C01" w:rsidRDefault="00C93C01" w:rsidP="00804529">
      <w:pPr>
        <w:spacing w:after="120"/>
        <w:ind w:left="567"/>
        <w:jc w:val="both"/>
        <w:rPr>
          <w:u w:val="dotted"/>
          <w:lang w:val="fr-BE"/>
        </w:rPr>
      </w:pPr>
      <w:r>
        <w:rPr>
          <w:u w:val="dotted"/>
          <w:lang w:val="fr-BE"/>
        </w:rPr>
        <w:lastRenderedPageBreak/>
        <w:t xml:space="preserve"> </w:t>
      </w:r>
      <w:r w:rsidR="00FC52B7" w:rsidRPr="00D41810">
        <w:rPr>
          <w:u w:val="dotted"/>
          <w:lang w:val="fr-BE"/>
        </w:rPr>
        <w:t>Auto-évaluation de l'effectivité</w:t>
      </w:r>
      <w:r w:rsidR="00FC52B7" w:rsidRPr="00D41810">
        <w:rPr>
          <w:lang w:val="fr-BE"/>
        </w:rPr>
        <w:t>:</w:t>
      </w:r>
    </w:p>
    <w:tbl>
      <w:tblPr>
        <w:tblStyle w:val="TableGrid1"/>
        <w:tblW w:w="0" w:type="auto"/>
        <w:tblInd w:w="709" w:type="dxa"/>
        <w:tblLook w:val="04A0" w:firstRow="1" w:lastRow="0" w:firstColumn="1" w:lastColumn="0" w:noHBand="0" w:noVBand="1"/>
      </w:tblPr>
      <w:tblGrid>
        <w:gridCol w:w="2660"/>
        <w:gridCol w:w="5636"/>
      </w:tblGrid>
      <w:tr w:rsidR="00FC52B7" w:rsidRPr="00D41810" w:rsidTr="00FC52B7">
        <w:tc>
          <w:tcPr>
            <w:tcW w:w="2660" w:type="dxa"/>
            <w:hideMark/>
          </w:tcPr>
          <w:p w:rsidR="00FC52B7" w:rsidRPr="00D41810" w:rsidRDefault="008E0D65" w:rsidP="00804529">
            <w:pPr>
              <w:spacing w:before="60" w:after="60"/>
              <w:jc w:val="both"/>
              <w:rPr>
                <w:lang w:val="fr-BE"/>
              </w:rPr>
            </w:pPr>
            <w:r>
              <w:rPr>
                <w:rFonts w:cs="Arial"/>
                <w:lang w:val="fr-BE"/>
              </w:rPr>
              <w:t>«</w:t>
            </w:r>
            <w:r>
              <w:rPr>
                <w:lang w:val="fr-BE"/>
              </w:rPr>
              <w:t> </w:t>
            </w:r>
            <w:r w:rsidR="00FC52B7" w:rsidRPr="00D41810">
              <w:rPr>
                <w:lang w:val="fr-BE"/>
              </w:rPr>
              <w:t>Pleinement</w:t>
            </w:r>
            <w:r>
              <w:rPr>
                <w:lang w:val="fr-BE"/>
              </w:rPr>
              <w:t> </w:t>
            </w:r>
            <w:r>
              <w:rPr>
                <w:rFonts w:cs="Arial"/>
                <w:lang w:val="fr-BE"/>
              </w:rPr>
              <w:t>»</w:t>
            </w:r>
            <w:r w:rsidRPr="00D41810">
              <w:rPr>
                <w:lang w:val="fr-BE"/>
              </w:rPr>
              <w:t xml:space="preserve"> </w:t>
            </w:r>
            <w:r w:rsidR="00FC52B7" w:rsidRPr="00D41810">
              <w:rPr>
                <w:lang w:val="fr-BE"/>
              </w:rPr>
              <w:t>effectif</w:t>
            </w:r>
          </w:p>
        </w:tc>
        <w:tc>
          <w:tcPr>
            <w:tcW w:w="5636" w:type="dxa"/>
            <w:hideMark/>
          </w:tcPr>
          <w:p w:rsidR="00FC52B7" w:rsidRPr="00D41810" w:rsidRDefault="00FC52B7" w:rsidP="00804529">
            <w:pPr>
              <w:spacing w:before="60" w:after="60"/>
              <w:jc w:val="both"/>
              <w:rPr>
                <w:lang w:val="fr-BE"/>
              </w:rPr>
            </w:pPr>
            <w:r w:rsidRPr="00D41810">
              <w:rPr>
                <w:lang w:val="fr-BE"/>
              </w:rPr>
              <w:t xml:space="preserve">Les procédures internes sont, de l'avis de </w:t>
            </w:r>
            <w:r w:rsidR="008E0D65">
              <w:rPr>
                <w:lang w:val="fr-BE"/>
              </w:rPr>
              <w:t>l’établissement financier</w:t>
            </w:r>
            <w:r w:rsidRPr="00D41810">
              <w:rPr>
                <w:lang w:val="fr-BE"/>
              </w:rPr>
              <w:t>, effectivement mises en œuvre de façon adéquate dans tous ses secteurs d'activités.</w:t>
            </w:r>
          </w:p>
        </w:tc>
      </w:tr>
      <w:tr w:rsidR="00FC52B7" w:rsidRPr="00D41810" w:rsidTr="00FC52B7">
        <w:tc>
          <w:tcPr>
            <w:tcW w:w="2660" w:type="dxa"/>
            <w:hideMark/>
          </w:tcPr>
          <w:p w:rsidR="00FC52B7" w:rsidRPr="00D41810" w:rsidRDefault="008E0D65" w:rsidP="00804529">
            <w:pPr>
              <w:spacing w:before="60" w:after="60"/>
              <w:jc w:val="both"/>
              <w:rPr>
                <w:lang w:val="fr-BE"/>
              </w:rPr>
            </w:pPr>
            <w:r>
              <w:rPr>
                <w:rFonts w:cs="Arial"/>
                <w:lang w:val="fr-BE"/>
              </w:rPr>
              <w:t>«</w:t>
            </w:r>
            <w:r>
              <w:rPr>
                <w:lang w:val="fr-BE"/>
              </w:rPr>
              <w:t> </w:t>
            </w:r>
            <w:r w:rsidR="00FC52B7" w:rsidRPr="00D41810">
              <w:rPr>
                <w:lang w:val="fr-BE"/>
              </w:rPr>
              <w:t>Largement</w:t>
            </w:r>
            <w:r>
              <w:rPr>
                <w:lang w:val="fr-BE"/>
              </w:rPr>
              <w:t> </w:t>
            </w:r>
            <w:r>
              <w:rPr>
                <w:rFonts w:cs="Arial"/>
                <w:lang w:val="fr-BE"/>
              </w:rPr>
              <w:t>»</w:t>
            </w:r>
            <w:r w:rsidRPr="00D41810">
              <w:rPr>
                <w:lang w:val="fr-BE"/>
              </w:rPr>
              <w:t xml:space="preserve"> </w:t>
            </w:r>
            <w:r w:rsidR="00FC52B7" w:rsidRPr="00D41810">
              <w:rPr>
                <w:lang w:val="fr-BE"/>
              </w:rPr>
              <w:t>effectif</w:t>
            </w:r>
          </w:p>
        </w:tc>
        <w:tc>
          <w:tcPr>
            <w:tcW w:w="5636" w:type="dxa"/>
            <w:hideMark/>
          </w:tcPr>
          <w:p w:rsidR="00FC52B7" w:rsidRPr="00D41810" w:rsidRDefault="00FC52B7" w:rsidP="00804529">
            <w:pPr>
              <w:spacing w:before="60" w:after="60"/>
              <w:jc w:val="both"/>
              <w:rPr>
                <w:lang w:val="fr-BE"/>
              </w:rPr>
            </w:pPr>
            <w:r w:rsidRPr="00D41810">
              <w:rPr>
                <w:lang w:val="fr-BE"/>
              </w:rPr>
              <w:t xml:space="preserve">La mise en œuvre des procédures internes ne présente pas, de l'avis de </w:t>
            </w:r>
            <w:r w:rsidR="008E0D65">
              <w:rPr>
                <w:lang w:val="fr-BE"/>
              </w:rPr>
              <w:t>l’établissement financier</w:t>
            </w:r>
            <w:r w:rsidRPr="00D41810">
              <w:rPr>
                <w:lang w:val="fr-BE"/>
              </w:rPr>
              <w:t>, de déficiences importantes; les déficiences identifiées dans leur mise en œuvre peuvent être considérées comme mineures, tant du point de vue de leur portée individuelle qu'en tenant compte de leur cumul.</w:t>
            </w:r>
          </w:p>
        </w:tc>
      </w:tr>
      <w:tr w:rsidR="00FC52B7" w:rsidRPr="00D41810" w:rsidTr="00FC52B7">
        <w:tc>
          <w:tcPr>
            <w:tcW w:w="2660" w:type="dxa"/>
            <w:hideMark/>
          </w:tcPr>
          <w:p w:rsidR="00FC52B7" w:rsidRPr="00D41810" w:rsidRDefault="00891417" w:rsidP="00804529">
            <w:pPr>
              <w:spacing w:before="60" w:after="60"/>
              <w:jc w:val="both"/>
              <w:rPr>
                <w:lang w:val="fr-BE"/>
              </w:rPr>
            </w:pPr>
            <w:r>
              <w:rPr>
                <w:rFonts w:cs="Arial"/>
                <w:lang w:val="fr-BE"/>
              </w:rPr>
              <w:t>«</w:t>
            </w:r>
            <w:r>
              <w:rPr>
                <w:lang w:val="fr-BE"/>
              </w:rPr>
              <w:t> </w:t>
            </w:r>
            <w:r w:rsidR="00FC52B7" w:rsidRPr="00D41810">
              <w:rPr>
                <w:lang w:val="fr-BE"/>
              </w:rPr>
              <w:t>Partiellement</w:t>
            </w:r>
            <w:r>
              <w:rPr>
                <w:lang w:val="fr-BE"/>
              </w:rPr>
              <w:t> </w:t>
            </w:r>
            <w:r>
              <w:rPr>
                <w:rFonts w:cs="Arial"/>
                <w:lang w:val="fr-BE"/>
              </w:rPr>
              <w:t>»</w:t>
            </w:r>
            <w:r w:rsidRPr="00D41810">
              <w:rPr>
                <w:lang w:val="fr-BE"/>
              </w:rPr>
              <w:t xml:space="preserve"> </w:t>
            </w:r>
            <w:r w:rsidR="00FC52B7" w:rsidRPr="00D41810">
              <w:rPr>
                <w:lang w:val="fr-BE"/>
              </w:rPr>
              <w:t>effectif</w:t>
            </w:r>
          </w:p>
        </w:tc>
        <w:tc>
          <w:tcPr>
            <w:tcW w:w="5636" w:type="dxa"/>
            <w:hideMark/>
          </w:tcPr>
          <w:p w:rsidR="00FC52B7" w:rsidRPr="00D41810" w:rsidRDefault="00FC52B7" w:rsidP="00804529">
            <w:pPr>
              <w:spacing w:before="60" w:after="60"/>
              <w:jc w:val="both"/>
              <w:rPr>
                <w:lang w:val="fr-BE"/>
              </w:rPr>
            </w:pPr>
            <w:r w:rsidRPr="00D41810">
              <w:rPr>
                <w:lang w:val="fr-BE"/>
              </w:rPr>
              <w:t xml:space="preserve">La mise en œuvre des procédures internes présente, de l'avis de </w:t>
            </w:r>
            <w:r w:rsidR="00891417">
              <w:rPr>
                <w:lang w:val="fr-BE"/>
              </w:rPr>
              <w:t>l’établissement financier</w:t>
            </w:r>
            <w:r w:rsidRPr="00D41810">
              <w:rPr>
                <w:lang w:val="fr-BE"/>
              </w:rPr>
              <w:t xml:space="preserve">, certaines déficiences importantes qui sont susceptibles d'accroître de façon significative la vulnérabilité de </w:t>
            </w:r>
            <w:r w:rsidR="00891417">
              <w:rPr>
                <w:lang w:val="fr-BE"/>
              </w:rPr>
              <w:t>l’établissement financier</w:t>
            </w:r>
            <w:r w:rsidRPr="00D41810">
              <w:rPr>
                <w:lang w:val="fr-BE"/>
              </w:rPr>
              <w:t xml:space="preserve"> face au risque; ce jugement peut résulter soit de la portée individuelle d'une ou plusieurs déficiences identifiées, soit de leur cumul.</w:t>
            </w:r>
          </w:p>
        </w:tc>
      </w:tr>
      <w:tr w:rsidR="00FC52B7" w:rsidRPr="00D41810" w:rsidTr="00FC52B7">
        <w:tc>
          <w:tcPr>
            <w:tcW w:w="2660" w:type="dxa"/>
            <w:hideMark/>
          </w:tcPr>
          <w:p w:rsidR="00FC52B7" w:rsidRPr="00D41810" w:rsidRDefault="00FC52B7" w:rsidP="00804529">
            <w:pPr>
              <w:spacing w:before="60" w:after="60"/>
              <w:jc w:val="both"/>
              <w:rPr>
                <w:lang w:val="fr-BE"/>
              </w:rPr>
            </w:pPr>
            <w:r w:rsidRPr="00D41810">
              <w:rPr>
                <w:lang w:val="fr-BE"/>
              </w:rPr>
              <w:br w:type="page"/>
            </w:r>
            <w:r w:rsidRPr="00D41810">
              <w:rPr>
                <w:lang w:val="fr-BE"/>
              </w:rPr>
              <w:br w:type="page"/>
            </w:r>
            <w:r w:rsidR="00BD110A">
              <w:rPr>
                <w:rFonts w:cs="Arial"/>
                <w:lang w:val="fr-BE"/>
              </w:rPr>
              <w:t>«</w:t>
            </w:r>
            <w:r w:rsidR="00BD110A">
              <w:rPr>
                <w:lang w:val="fr-BE"/>
              </w:rPr>
              <w:t> </w:t>
            </w:r>
            <w:r w:rsidRPr="00D41810">
              <w:rPr>
                <w:lang w:val="fr-BE"/>
              </w:rPr>
              <w:t>Insuffisamment</w:t>
            </w:r>
            <w:r w:rsidR="00BD110A">
              <w:rPr>
                <w:lang w:val="fr-BE"/>
              </w:rPr>
              <w:t> </w:t>
            </w:r>
            <w:r w:rsidR="00BD110A">
              <w:rPr>
                <w:rFonts w:cs="Arial"/>
                <w:lang w:val="fr-BE"/>
              </w:rPr>
              <w:t>»</w:t>
            </w:r>
            <w:r w:rsidR="00BD110A" w:rsidRPr="00D41810">
              <w:rPr>
                <w:lang w:val="fr-BE"/>
              </w:rPr>
              <w:t xml:space="preserve"> </w:t>
            </w:r>
            <w:r w:rsidRPr="00D41810">
              <w:rPr>
                <w:lang w:val="fr-BE"/>
              </w:rPr>
              <w:t>effectif</w:t>
            </w:r>
          </w:p>
        </w:tc>
        <w:tc>
          <w:tcPr>
            <w:tcW w:w="5636" w:type="dxa"/>
            <w:hideMark/>
          </w:tcPr>
          <w:p w:rsidR="00FC52B7" w:rsidRPr="00D41810" w:rsidRDefault="00FC52B7" w:rsidP="00804529">
            <w:pPr>
              <w:spacing w:before="60" w:after="60"/>
              <w:jc w:val="both"/>
              <w:rPr>
                <w:lang w:val="fr-BE"/>
              </w:rPr>
            </w:pPr>
            <w:r w:rsidRPr="00D41810">
              <w:rPr>
                <w:lang w:val="fr-BE"/>
              </w:rPr>
              <w:t xml:space="preserve">La mise en œuvre des procédures internes présente, de l'avis de </w:t>
            </w:r>
            <w:r w:rsidR="00BD110A">
              <w:rPr>
                <w:lang w:val="fr-BE"/>
              </w:rPr>
              <w:t>l’établissement financier</w:t>
            </w:r>
            <w:r w:rsidRPr="00D41810">
              <w:rPr>
                <w:lang w:val="fr-BE"/>
              </w:rPr>
              <w:t xml:space="preserve">, des déficiences graves qui sont de nature à accroître de façon déraisonnable la vulnérabilité de </w:t>
            </w:r>
            <w:r w:rsidR="00BD110A">
              <w:rPr>
                <w:lang w:val="fr-BE"/>
              </w:rPr>
              <w:t>l’établissement financier</w:t>
            </w:r>
            <w:r w:rsidRPr="00D41810">
              <w:rPr>
                <w:lang w:val="fr-BE"/>
              </w:rPr>
              <w:t>; la gravité des déficiences identifiées peut résulter soit de la portée individuelle d'une ou plusieurs de ces déficiences, soit de leur cumul.</w:t>
            </w:r>
          </w:p>
        </w:tc>
      </w:tr>
    </w:tbl>
    <w:p w:rsidR="00FC52B7" w:rsidRPr="000506F2" w:rsidRDefault="00FC52B7" w:rsidP="00804529">
      <w:pPr>
        <w:numPr>
          <w:ilvl w:val="0"/>
          <w:numId w:val="37"/>
        </w:numPr>
        <w:spacing w:before="120" w:after="120"/>
        <w:ind w:left="714" w:hanging="357"/>
        <w:jc w:val="both"/>
        <w:rPr>
          <w:lang w:val="fr-BE"/>
        </w:rPr>
      </w:pPr>
      <w:r w:rsidRPr="000506F2">
        <w:rPr>
          <w:u w:val="single"/>
          <w:lang w:val="fr-BE"/>
        </w:rPr>
        <w:t>Cases de commentaires</w:t>
      </w:r>
      <w:r w:rsidRPr="000506F2">
        <w:rPr>
          <w:lang w:val="fr-BE"/>
        </w:rPr>
        <w:t xml:space="preserve">: </w:t>
      </w:r>
      <w:r w:rsidR="00F46310" w:rsidRPr="000506F2">
        <w:rPr>
          <w:rFonts w:cs="Arial"/>
          <w:lang w:val="fr-BE"/>
        </w:rPr>
        <w:t>À</w:t>
      </w:r>
      <w:r w:rsidRPr="000506F2">
        <w:rPr>
          <w:lang w:val="fr-BE"/>
        </w:rPr>
        <w:t xml:space="preserve"> chacune des questions est associée une case de commentaire permettant au PCC ou à l’établissements de paiement / l’établissement de monnaie électronique répondant de préciser, de nuancer ou, si nécessaire, de justifier de façon succincte la réponse fournie. </w:t>
      </w:r>
    </w:p>
    <w:p w:rsidR="00FC52B7" w:rsidRPr="000506F2" w:rsidRDefault="00FC52B7" w:rsidP="00804529">
      <w:pPr>
        <w:spacing w:after="120"/>
        <w:ind w:left="720"/>
        <w:jc w:val="both"/>
        <w:rPr>
          <w:lang w:val="fr-BE"/>
        </w:rPr>
      </w:pPr>
      <w:r w:rsidRPr="000506F2">
        <w:rPr>
          <w:lang w:val="fr-BE"/>
        </w:rPr>
        <w:t xml:space="preserve">Comme indiqué précédemment, un commentaire justificatif succinct est obligatoire pour chaque réponse </w:t>
      </w:r>
      <w:r w:rsidR="005361DD" w:rsidRPr="000506F2">
        <w:rPr>
          <w:rFonts w:cs="Arial"/>
          <w:lang w:val="fr-BE"/>
        </w:rPr>
        <w:t>«</w:t>
      </w:r>
      <w:r w:rsidR="005361DD" w:rsidRPr="000506F2">
        <w:rPr>
          <w:lang w:val="fr-BE"/>
        </w:rPr>
        <w:t> </w:t>
      </w:r>
      <w:r w:rsidRPr="000506F2">
        <w:rPr>
          <w:lang w:val="fr-BE"/>
        </w:rPr>
        <w:t>N.A.</w:t>
      </w:r>
      <w:r w:rsidR="005361DD" w:rsidRPr="000506F2">
        <w:rPr>
          <w:lang w:val="fr-BE"/>
        </w:rPr>
        <w:t> </w:t>
      </w:r>
      <w:r w:rsidR="005361DD" w:rsidRPr="000506F2">
        <w:rPr>
          <w:rFonts w:cs="Arial"/>
          <w:lang w:val="fr-BE"/>
        </w:rPr>
        <w:t>»</w:t>
      </w:r>
      <w:r w:rsidR="005361DD" w:rsidRPr="000506F2">
        <w:rPr>
          <w:lang w:val="fr-BE"/>
        </w:rPr>
        <w:t>.</w:t>
      </w:r>
    </w:p>
    <w:p w:rsidR="00FC52B7" w:rsidRPr="00D41810" w:rsidRDefault="00FC52B7" w:rsidP="00804529">
      <w:pPr>
        <w:spacing w:after="240"/>
        <w:ind w:left="720"/>
        <w:jc w:val="both"/>
        <w:rPr>
          <w:lang w:val="fr-BE"/>
        </w:rPr>
      </w:pPr>
      <w:r w:rsidRPr="000506F2">
        <w:rPr>
          <w:lang w:val="fr-BE"/>
        </w:rPr>
        <w:t xml:space="preserve">Il importe toutefois de souligner que le questionnaire ne vise pas à rassembler une information complète couvrant chaque détail des procédures internes en vigueur, mais qu'il doit permettre à la Banque de se </w:t>
      </w:r>
      <w:r w:rsidR="005361DD" w:rsidRPr="000506F2">
        <w:rPr>
          <w:lang w:val="fr-BE"/>
        </w:rPr>
        <w:t xml:space="preserve">forger </w:t>
      </w:r>
      <w:r w:rsidRPr="000506F2">
        <w:rPr>
          <w:lang w:val="fr-BE"/>
        </w:rPr>
        <w:t xml:space="preserve">une image suffisamment précise des mesures préventives définies et effectivement mises en œuvre </w:t>
      </w:r>
      <w:r w:rsidR="005361DD" w:rsidRPr="000506F2">
        <w:rPr>
          <w:lang w:val="fr-BE"/>
        </w:rPr>
        <w:t>par les établissements belges</w:t>
      </w:r>
      <w:r w:rsidRPr="000506F2">
        <w:rPr>
          <w:lang w:val="fr-BE"/>
        </w:rPr>
        <w:t>, en</w:t>
      </w:r>
      <w:r w:rsidRPr="00D41810">
        <w:rPr>
          <w:lang w:val="fr-BE"/>
        </w:rPr>
        <w:t xml:space="preserve"> vue de procéder à une évaluation pertinente des risques. Les commentaires fournis en complément des réponses aux questions devraient dès lors demeurer synthétiques. Les commentaires fournis doivent dès lors être limités à 150 caractères au maximum.</w:t>
      </w:r>
    </w:p>
    <w:p w:rsidR="00CF4C6B" w:rsidRPr="00D41810" w:rsidRDefault="00CF4C6B" w:rsidP="00804529">
      <w:pPr>
        <w:tabs>
          <w:tab w:val="clear" w:pos="284"/>
        </w:tabs>
        <w:spacing w:line="240" w:lineRule="auto"/>
        <w:jc w:val="both"/>
        <w:rPr>
          <w:b/>
          <w:u w:val="single"/>
          <w:lang w:val="fr-BE"/>
        </w:rPr>
      </w:pPr>
      <w:r w:rsidRPr="00D41810">
        <w:rPr>
          <w:b/>
          <w:u w:val="single"/>
          <w:lang w:val="fr-BE"/>
        </w:rPr>
        <w:br w:type="page"/>
      </w:r>
    </w:p>
    <w:p w:rsidR="00FC52B7" w:rsidRPr="00D41810" w:rsidRDefault="00FC52B7" w:rsidP="00804529">
      <w:pPr>
        <w:pStyle w:val="ListParagraph"/>
        <w:numPr>
          <w:ilvl w:val="0"/>
          <w:numId w:val="35"/>
        </w:numPr>
        <w:spacing w:before="120" w:after="120"/>
        <w:contextualSpacing w:val="0"/>
        <w:rPr>
          <w:b/>
          <w:u w:val="single"/>
          <w:lang w:val="fr-BE"/>
        </w:rPr>
      </w:pPr>
      <w:r w:rsidRPr="00D41810">
        <w:rPr>
          <w:b/>
          <w:u w:val="single"/>
          <w:lang w:val="fr-BE"/>
        </w:rPr>
        <w:lastRenderedPageBreak/>
        <w:t>QUESTIONNAIRE</w:t>
      </w:r>
    </w:p>
    <w:p w:rsidR="00FC52B7" w:rsidRPr="00D41810" w:rsidRDefault="00FC52B7" w:rsidP="00804529">
      <w:pPr>
        <w:pStyle w:val="ListParagraph"/>
        <w:numPr>
          <w:ilvl w:val="0"/>
          <w:numId w:val="38"/>
        </w:numPr>
        <w:spacing w:before="120" w:after="120"/>
        <w:ind w:left="357" w:hanging="357"/>
        <w:contextualSpacing w:val="0"/>
        <w:rPr>
          <w:b/>
          <w:i/>
          <w:u w:val="single"/>
          <w:lang w:val="fr-BE"/>
        </w:rPr>
      </w:pPr>
      <w:r w:rsidRPr="00D41810">
        <w:rPr>
          <w:b/>
          <w:i/>
          <w:u w:val="single"/>
          <w:lang w:val="fr-BE"/>
        </w:rPr>
        <w:t>Questions de conformité</w:t>
      </w:r>
    </w:p>
    <w:p w:rsidR="00FC52B7" w:rsidRPr="00D41810" w:rsidRDefault="00FC52B7" w:rsidP="00804529">
      <w:pPr>
        <w:pStyle w:val="ListParagraph"/>
        <w:numPr>
          <w:ilvl w:val="1"/>
          <w:numId w:val="38"/>
        </w:numPr>
        <w:spacing w:before="240" w:after="120"/>
        <w:ind w:left="391" w:hanging="391"/>
        <w:contextualSpacing w:val="0"/>
        <w:rPr>
          <w:lang w:val="fr-BE"/>
        </w:rPr>
      </w:pPr>
      <w:r w:rsidRPr="00D41810">
        <w:rPr>
          <w:lang w:val="fr-BE"/>
        </w:rPr>
        <w:t>Vos procédures internes prévoient-elles l’identification des clients occasionnels et la vérification de leur identité quel que soit le montant de l'opération, lorsque celle-ci consiste dans un transfert de fonds visé par le règlement (CE) n° 1781/2006 du Parlement européen et du Conseil du 15 novembre 2006 relatif aux informations concernant le donneur d’ordre acco</w:t>
      </w:r>
      <w:r w:rsidR="00532252" w:rsidRPr="00D41810">
        <w:rPr>
          <w:lang w:val="fr-BE"/>
        </w:rPr>
        <w:t>mpagnant les virements de fonds</w:t>
      </w:r>
      <w:r w:rsidRPr="00D41810">
        <w:rPr>
          <w:lang w:val="fr-BE"/>
        </w:rPr>
        <w:t xml:space="preserve">?  </w:t>
      </w:r>
    </w:p>
    <w:tbl>
      <w:tblPr>
        <w:tblStyle w:val="TableGrid"/>
        <w:tblW w:w="0" w:type="auto"/>
        <w:tblInd w:w="360" w:type="dxa"/>
        <w:tblLook w:val="04A0" w:firstRow="1" w:lastRow="0" w:firstColumn="1" w:lastColumn="0" w:noHBand="0" w:noVBand="1"/>
      </w:tblPr>
      <w:tblGrid>
        <w:gridCol w:w="1733"/>
        <w:gridCol w:w="6804"/>
      </w:tblGrid>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Oui / Non / N.A.</w:t>
            </w:r>
          </w:p>
        </w:tc>
      </w:tr>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Borders>
              <w:top w:val="single" w:sz="4" w:space="0" w:color="auto"/>
              <w:left w:val="single" w:sz="4" w:space="0" w:color="auto"/>
              <w:bottom w:val="single" w:sz="4" w:space="0" w:color="auto"/>
              <w:right w:val="single" w:sz="4" w:space="0" w:color="auto"/>
            </w:tcBorders>
          </w:tcPr>
          <w:p w:rsidR="00FC52B7" w:rsidRPr="00D41810" w:rsidRDefault="00FC52B7" w:rsidP="00804529">
            <w:pPr>
              <w:spacing w:before="60" w:after="60" w:line="260" w:lineRule="atLeast"/>
              <w:jc w:val="both"/>
              <w:rPr>
                <w:lang w:val="fr-BE"/>
              </w:rPr>
            </w:pPr>
          </w:p>
        </w:tc>
      </w:tr>
    </w:tbl>
    <w:p w:rsidR="00FC52B7" w:rsidRPr="00D41810" w:rsidRDefault="00FC52B7" w:rsidP="00804529">
      <w:pPr>
        <w:pStyle w:val="ListParagraph"/>
        <w:numPr>
          <w:ilvl w:val="1"/>
          <w:numId w:val="38"/>
        </w:numPr>
        <w:spacing w:before="240" w:after="120"/>
        <w:ind w:left="391" w:hanging="391"/>
        <w:rPr>
          <w:lang w:val="fr-BE"/>
        </w:rPr>
      </w:pPr>
      <w:r w:rsidRPr="00D41810">
        <w:rPr>
          <w:lang w:val="fr-BE"/>
        </w:rPr>
        <w:t>Vos procédures internes prévoient-elles de procéder à une nouvelle identification du client en cas de doute sur la véracité ou l'exactitude de des données d'identification?</w:t>
      </w:r>
    </w:p>
    <w:tbl>
      <w:tblPr>
        <w:tblStyle w:val="TableGrid"/>
        <w:tblW w:w="0" w:type="auto"/>
        <w:tblInd w:w="360" w:type="dxa"/>
        <w:tblLook w:val="04A0" w:firstRow="1" w:lastRow="0" w:firstColumn="1" w:lastColumn="0" w:noHBand="0" w:noVBand="1"/>
      </w:tblPr>
      <w:tblGrid>
        <w:gridCol w:w="1733"/>
        <w:gridCol w:w="6804"/>
      </w:tblGrid>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Oui / Non / N.A.</w:t>
            </w:r>
          </w:p>
        </w:tc>
      </w:tr>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Borders>
              <w:top w:val="single" w:sz="4" w:space="0" w:color="auto"/>
              <w:left w:val="single" w:sz="4" w:space="0" w:color="auto"/>
              <w:bottom w:val="single" w:sz="4" w:space="0" w:color="auto"/>
              <w:right w:val="single" w:sz="4" w:space="0" w:color="auto"/>
            </w:tcBorders>
          </w:tcPr>
          <w:p w:rsidR="00FC52B7" w:rsidRPr="00D41810" w:rsidRDefault="00FC52B7" w:rsidP="00804529">
            <w:pPr>
              <w:spacing w:before="60" w:after="60" w:line="260" w:lineRule="atLeast"/>
              <w:jc w:val="both"/>
              <w:rPr>
                <w:lang w:val="fr-BE"/>
              </w:rPr>
            </w:pPr>
          </w:p>
        </w:tc>
      </w:tr>
    </w:tbl>
    <w:p w:rsidR="00FC52B7" w:rsidRPr="00D41810" w:rsidRDefault="00FC52B7" w:rsidP="00804529">
      <w:pPr>
        <w:pStyle w:val="ListParagraph"/>
        <w:numPr>
          <w:ilvl w:val="1"/>
          <w:numId w:val="38"/>
        </w:numPr>
        <w:spacing w:before="120" w:after="120"/>
        <w:rPr>
          <w:lang w:val="fr-BE"/>
        </w:rPr>
      </w:pPr>
      <w:r w:rsidRPr="00D41810">
        <w:rPr>
          <w:lang w:val="fr-BE"/>
        </w:rPr>
        <w:t>Vos procédures internes prévoient-elles que les données d'identification des personnes physiques (le nom, le prénom, le lieu et la date de naissance) doivent être vérifiées au moyen d'un document probant au sens de la loi et du règlement, et  précisent-elles les mesures à prendre, dans la mesure du possible, afin de recueillir des informations pertinentes concernant l'adresse du client?</w:t>
      </w:r>
    </w:p>
    <w:tbl>
      <w:tblPr>
        <w:tblStyle w:val="TableGrid"/>
        <w:tblW w:w="0" w:type="auto"/>
        <w:tblInd w:w="360" w:type="dxa"/>
        <w:tblLook w:val="04A0" w:firstRow="1" w:lastRow="0" w:firstColumn="1" w:lastColumn="0" w:noHBand="0" w:noVBand="1"/>
      </w:tblPr>
      <w:tblGrid>
        <w:gridCol w:w="1733"/>
        <w:gridCol w:w="6804"/>
      </w:tblGrid>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Oui / Non / N.A.</w:t>
            </w:r>
          </w:p>
        </w:tc>
      </w:tr>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Borders>
              <w:top w:val="single" w:sz="4" w:space="0" w:color="auto"/>
              <w:left w:val="single" w:sz="4" w:space="0" w:color="auto"/>
              <w:bottom w:val="single" w:sz="4" w:space="0" w:color="auto"/>
              <w:right w:val="single" w:sz="4" w:space="0" w:color="auto"/>
            </w:tcBorders>
          </w:tcPr>
          <w:p w:rsidR="00FC52B7" w:rsidRPr="00D41810" w:rsidRDefault="00FC52B7" w:rsidP="00804529">
            <w:pPr>
              <w:spacing w:before="60" w:after="60" w:line="260" w:lineRule="atLeast"/>
              <w:jc w:val="both"/>
              <w:rPr>
                <w:lang w:val="fr-BE"/>
              </w:rPr>
            </w:pPr>
          </w:p>
        </w:tc>
      </w:tr>
    </w:tbl>
    <w:p w:rsidR="00FC52B7" w:rsidRPr="00D41810" w:rsidRDefault="00FC52B7" w:rsidP="00804529">
      <w:pPr>
        <w:pStyle w:val="ListParagraph"/>
        <w:numPr>
          <w:ilvl w:val="1"/>
          <w:numId w:val="38"/>
        </w:numPr>
        <w:spacing w:before="240" w:after="120"/>
        <w:ind w:left="391" w:hanging="391"/>
        <w:rPr>
          <w:lang w:val="fr-BE"/>
        </w:rPr>
      </w:pPr>
      <w:r w:rsidRPr="00D41810">
        <w:rPr>
          <w:lang w:val="fr-BE"/>
        </w:rPr>
        <w:t>Vos procédures internes prévoient-elles que la vérification à distance de l'identité des personnes physiques s'opère au moyen d'un des documents probants suivants :</w:t>
      </w:r>
    </w:p>
    <w:p w:rsidR="00FC52B7" w:rsidRPr="00D41810" w:rsidRDefault="00FC52B7" w:rsidP="00804529">
      <w:pPr>
        <w:pStyle w:val="ListParagraph"/>
        <w:numPr>
          <w:ilvl w:val="0"/>
          <w:numId w:val="39"/>
        </w:numPr>
        <w:spacing w:before="120" w:after="120"/>
        <w:rPr>
          <w:lang w:val="fr-BE"/>
        </w:rPr>
      </w:pPr>
      <w:r w:rsidRPr="00D41810">
        <w:rPr>
          <w:lang w:val="fr-BE"/>
        </w:rPr>
        <w:t>la carte d’identité électronique du client, ou</w:t>
      </w:r>
    </w:p>
    <w:p w:rsidR="00FC52B7" w:rsidRPr="00D41810" w:rsidRDefault="00FC52B7" w:rsidP="00804529">
      <w:pPr>
        <w:pStyle w:val="ListParagraph"/>
        <w:numPr>
          <w:ilvl w:val="0"/>
          <w:numId w:val="39"/>
        </w:numPr>
        <w:spacing w:before="120" w:after="120"/>
        <w:rPr>
          <w:lang w:val="fr-BE"/>
        </w:rPr>
      </w:pPr>
      <w:r w:rsidRPr="00D41810">
        <w:rPr>
          <w:lang w:val="fr-BE"/>
        </w:rPr>
        <w:t>un certificat qualifié au sens de la loi du 9 juillet 2001 fixant certaines règles relatives au cadre juridique pour les signatures électroniques, ou</w:t>
      </w:r>
    </w:p>
    <w:p w:rsidR="00FC52B7" w:rsidRPr="00D41810" w:rsidRDefault="00FC52B7" w:rsidP="00804529">
      <w:pPr>
        <w:pStyle w:val="ListParagraph"/>
        <w:numPr>
          <w:ilvl w:val="0"/>
          <w:numId w:val="39"/>
        </w:numPr>
        <w:spacing w:before="120" w:after="120"/>
        <w:rPr>
          <w:lang w:val="fr-BE"/>
        </w:rPr>
      </w:pPr>
      <w:r w:rsidRPr="00D41810">
        <w:rPr>
          <w:lang w:val="fr-BE"/>
        </w:rPr>
        <w:t>une copie de la carte d’identité du client dont la véracité est vérifiée par la consultation du Registre national?</w:t>
      </w:r>
    </w:p>
    <w:tbl>
      <w:tblPr>
        <w:tblStyle w:val="TableGrid"/>
        <w:tblW w:w="0" w:type="auto"/>
        <w:tblInd w:w="360" w:type="dxa"/>
        <w:tblLook w:val="04A0" w:firstRow="1" w:lastRow="0" w:firstColumn="1" w:lastColumn="0" w:noHBand="0" w:noVBand="1"/>
      </w:tblPr>
      <w:tblGrid>
        <w:gridCol w:w="1733"/>
        <w:gridCol w:w="6804"/>
      </w:tblGrid>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Oui / Non / N.A.</w:t>
            </w:r>
          </w:p>
        </w:tc>
      </w:tr>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Borders>
              <w:top w:val="single" w:sz="4" w:space="0" w:color="auto"/>
              <w:left w:val="single" w:sz="4" w:space="0" w:color="auto"/>
              <w:bottom w:val="single" w:sz="4" w:space="0" w:color="auto"/>
              <w:right w:val="single" w:sz="4" w:space="0" w:color="auto"/>
            </w:tcBorders>
          </w:tcPr>
          <w:p w:rsidR="00FC52B7" w:rsidRPr="00D41810" w:rsidRDefault="00FC52B7" w:rsidP="00804529">
            <w:pPr>
              <w:spacing w:before="60" w:after="60" w:line="260" w:lineRule="atLeast"/>
              <w:jc w:val="both"/>
              <w:rPr>
                <w:lang w:val="fr-BE"/>
              </w:rPr>
            </w:pPr>
          </w:p>
        </w:tc>
      </w:tr>
    </w:tbl>
    <w:p w:rsidR="00CF4C6B" w:rsidRPr="00D41810" w:rsidRDefault="00CF4C6B" w:rsidP="00804529">
      <w:pPr>
        <w:tabs>
          <w:tab w:val="clear" w:pos="284"/>
        </w:tabs>
        <w:spacing w:line="240" w:lineRule="auto"/>
        <w:jc w:val="both"/>
        <w:rPr>
          <w:lang w:val="fr-BE"/>
        </w:rPr>
      </w:pPr>
      <w:r w:rsidRPr="00D41810">
        <w:rPr>
          <w:lang w:val="fr-BE"/>
        </w:rPr>
        <w:br w:type="page"/>
      </w:r>
    </w:p>
    <w:p w:rsidR="00FC52B7" w:rsidRPr="00D41810" w:rsidRDefault="00FC52B7" w:rsidP="00804529">
      <w:pPr>
        <w:pStyle w:val="ListParagraph"/>
        <w:numPr>
          <w:ilvl w:val="1"/>
          <w:numId w:val="38"/>
        </w:numPr>
        <w:spacing w:before="240" w:after="120"/>
        <w:ind w:left="391" w:hanging="391"/>
        <w:rPr>
          <w:lang w:val="fr-BE"/>
        </w:rPr>
      </w:pPr>
      <w:r w:rsidRPr="00D41810">
        <w:rPr>
          <w:lang w:val="fr-BE"/>
        </w:rPr>
        <w:lastRenderedPageBreak/>
        <w:t>Vos procédures internes prévoient-elles l'identification et la vérification de l’identité des mandataires des clients au moyen d’un document probant dont il est pris copie, sur support  papier ou électronique a/ préalablement à l’exécution de l’opération et b/ en cas de doute sur la véracité des documents d'identification présentés?</w:t>
      </w:r>
    </w:p>
    <w:tbl>
      <w:tblPr>
        <w:tblStyle w:val="TableGrid"/>
        <w:tblW w:w="0" w:type="auto"/>
        <w:tblInd w:w="360" w:type="dxa"/>
        <w:tblLook w:val="04A0" w:firstRow="1" w:lastRow="0" w:firstColumn="1" w:lastColumn="0" w:noHBand="0" w:noVBand="1"/>
      </w:tblPr>
      <w:tblGrid>
        <w:gridCol w:w="1733"/>
        <w:gridCol w:w="6804"/>
      </w:tblGrid>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Oui / Non / N.A.</w:t>
            </w:r>
          </w:p>
        </w:tc>
      </w:tr>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Borders>
              <w:top w:val="single" w:sz="4" w:space="0" w:color="auto"/>
              <w:left w:val="single" w:sz="4" w:space="0" w:color="auto"/>
              <w:bottom w:val="single" w:sz="4" w:space="0" w:color="auto"/>
              <w:right w:val="single" w:sz="4" w:space="0" w:color="auto"/>
            </w:tcBorders>
          </w:tcPr>
          <w:p w:rsidR="00FC52B7" w:rsidRPr="00D41810" w:rsidRDefault="00FC52B7" w:rsidP="00804529">
            <w:pPr>
              <w:spacing w:before="60" w:after="60" w:line="260" w:lineRule="atLeast"/>
              <w:jc w:val="both"/>
              <w:rPr>
                <w:lang w:val="fr-BE"/>
              </w:rPr>
            </w:pPr>
          </w:p>
        </w:tc>
      </w:tr>
    </w:tbl>
    <w:p w:rsidR="00FC52B7" w:rsidRPr="00D41810" w:rsidRDefault="00FC52B7" w:rsidP="00804529">
      <w:pPr>
        <w:pStyle w:val="ListParagraph"/>
        <w:numPr>
          <w:ilvl w:val="1"/>
          <w:numId w:val="38"/>
        </w:numPr>
        <w:spacing w:before="240" w:after="120"/>
        <w:ind w:left="391" w:hanging="391"/>
        <w:rPr>
          <w:lang w:val="fr-BE"/>
        </w:rPr>
      </w:pPr>
      <w:r w:rsidRPr="00D41810">
        <w:rPr>
          <w:lang w:val="fr-BE"/>
        </w:rPr>
        <w:t>Vos procédures internes soumettent-elles la vérification de l'identité des mandataires des clients aux mêmes règles que la vérification de l’identité des clients eux-mêmes?</w:t>
      </w:r>
    </w:p>
    <w:tbl>
      <w:tblPr>
        <w:tblStyle w:val="TableGrid"/>
        <w:tblW w:w="0" w:type="auto"/>
        <w:tblInd w:w="360" w:type="dxa"/>
        <w:tblLook w:val="04A0" w:firstRow="1" w:lastRow="0" w:firstColumn="1" w:lastColumn="0" w:noHBand="0" w:noVBand="1"/>
      </w:tblPr>
      <w:tblGrid>
        <w:gridCol w:w="1733"/>
        <w:gridCol w:w="6804"/>
      </w:tblGrid>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Oui / Non / N.A.</w:t>
            </w:r>
          </w:p>
        </w:tc>
      </w:tr>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Borders>
              <w:top w:val="single" w:sz="4" w:space="0" w:color="auto"/>
              <w:left w:val="single" w:sz="4" w:space="0" w:color="auto"/>
              <w:bottom w:val="single" w:sz="4" w:space="0" w:color="auto"/>
              <w:right w:val="single" w:sz="4" w:space="0" w:color="auto"/>
            </w:tcBorders>
          </w:tcPr>
          <w:p w:rsidR="00FC52B7" w:rsidRPr="00D41810" w:rsidRDefault="00FC52B7" w:rsidP="00804529">
            <w:pPr>
              <w:spacing w:before="60" w:after="60" w:line="260" w:lineRule="atLeast"/>
              <w:jc w:val="both"/>
              <w:rPr>
                <w:lang w:val="fr-BE"/>
              </w:rPr>
            </w:pPr>
          </w:p>
        </w:tc>
      </w:tr>
    </w:tbl>
    <w:p w:rsidR="00FC52B7" w:rsidRPr="00D41810" w:rsidRDefault="00FC52B7" w:rsidP="00804529">
      <w:pPr>
        <w:pStyle w:val="ListParagraph"/>
        <w:numPr>
          <w:ilvl w:val="1"/>
          <w:numId w:val="38"/>
        </w:numPr>
        <w:spacing w:before="240" w:after="120"/>
        <w:ind w:left="391" w:hanging="391"/>
        <w:rPr>
          <w:lang w:val="fr-BE"/>
        </w:rPr>
      </w:pPr>
      <w:r w:rsidRPr="00D41810">
        <w:rPr>
          <w:lang w:val="fr-BE"/>
        </w:rPr>
        <w:t>Vos procédures internes prévoient-elles de s'assurer que le client agit pour son propre compte et, le cas échéant, l’obligation d'identifier la ou les personnes tierces pour le compte desquelles il agit (les “bénéficiaires effectifs”), et de prendre des mesures adéquates et adaptées au risque pour vérifier l'identité de ces personnes?</w:t>
      </w:r>
    </w:p>
    <w:tbl>
      <w:tblPr>
        <w:tblStyle w:val="TableGrid"/>
        <w:tblW w:w="0" w:type="auto"/>
        <w:tblInd w:w="360" w:type="dxa"/>
        <w:tblLook w:val="04A0" w:firstRow="1" w:lastRow="0" w:firstColumn="1" w:lastColumn="0" w:noHBand="0" w:noVBand="1"/>
      </w:tblPr>
      <w:tblGrid>
        <w:gridCol w:w="1733"/>
        <w:gridCol w:w="6804"/>
      </w:tblGrid>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Oui / Non / N.A.</w:t>
            </w:r>
          </w:p>
        </w:tc>
      </w:tr>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Borders>
              <w:top w:val="single" w:sz="4" w:space="0" w:color="auto"/>
              <w:left w:val="single" w:sz="4" w:space="0" w:color="auto"/>
              <w:bottom w:val="single" w:sz="4" w:space="0" w:color="auto"/>
              <w:right w:val="single" w:sz="4" w:space="0" w:color="auto"/>
            </w:tcBorders>
          </w:tcPr>
          <w:p w:rsidR="00FC52B7" w:rsidRPr="00D41810" w:rsidRDefault="00FC52B7" w:rsidP="00804529">
            <w:pPr>
              <w:spacing w:before="60" w:after="60" w:line="260" w:lineRule="atLeast"/>
              <w:jc w:val="both"/>
              <w:rPr>
                <w:lang w:val="fr-BE"/>
              </w:rPr>
            </w:pPr>
          </w:p>
        </w:tc>
      </w:tr>
    </w:tbl>
    <w:p w:rsidR="00FC52B7" w:rsidRPr="00D41810" w:rsidRDefault="00FC52B7" w:rsidP="00804529">
      <w:pPr>
        <w:pStyle w:val="ListParagraph"/>
        <w:numPr>
          <w:ilvl w:val="1"/>
          <w:numId w:val="38"/>
        </w:numPr>
        <w:spacing w:before="240" w:after="120"/>
        <w:ind w:left="391" w:hanging="391"/>
        <w:rPr>
          <w:lang w:val="fr-BE"/>
        </w:rPr>
      </w:pPr>
      <w:r w:rsidRPr="00D41810">
        <w:rPr>
          <w:lang w:val="fr-BE"/>
        </w:rPr>
        <w:t>Vos procédures internes prévoient-elles des mesures renforcées d’acceptation des clients qui sont eux-mêmes, ou dont le mandataire ou un bénéficiaire effectif sont des personnes politiquement exposées?</w:t>
      </w:r>
    </w:p>
    <w:tbl>
      <w:tblPr>
        <w:tblStyle w:val="TableGrid"/>
        <w:tblW w:w="0" w:type="auto"/>
        <w:tblInd w:w="360" w:type="dxa"/>
        <w:tblLook w:val="04A0" w:firstRow="1" w:lastRow="0" w:firstColumn="1" w:lastColumn="0" w:noHBand="0" w:noVBand="1"/>
      </w:tblPr>
      <w:tblGrid>
        <w:gridCol w:w="1733"/>
        <w:gridCol w:w="6804"/>
      </w:tblGrid>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Oui / Non / N.A.</w:t>
            </w:r>
          </w:p>
        </w:tc>
      </w:tr>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Borders>
              <w:top w:val="single" w:sz="4" w:space="0" w:color="auto"/>
              <w:left w:val="single" w:sz="4" w:space="0" w:color="auto"/>
              <w:bottom w:val="single" w:sz="4" w:space="0" w:color="auto"/>
              <w:right w:val="single" w:sz="4" w:space="0" w:color="auto"/>
            </w:tcBorders>
          </w:tcPr>
          <w:p w:rsidR="00FC52B7" w:rsidRPr="00D41810" w:rsidRDefault="00FC52B7" w:rsidP="00804529">
            <w:pPr>
              <w:spacing w:before="60" w:after="60" w:line="260" w:lineRule="atLeast"/>
              <w:jc w:val="both"/>
              <w:rPr>
                <w:lang w:val="fr-BE"/>
              </w:rPr>
            </w:pPr>
          </w:p>
        </w:tc>
      </w:tr>
    </w:tbl>
    <w:p w:rsidR="00CF4C6B" w:rsidRPr="00D41810" w:rsidRDefault="00CF4C6B" w:rsidP="00804529">
      <w:pPr>
        <w:tabs>
          <w:tab w:val="clear" w:pos="284"/>
        </w:tabs>
        <w:spacing w:line="240" w:lineRule="auto"/>
        <w:jc w:val="both"/>
        <w:rPr>
          <w:lang w:val="fr-BE"/>
        </w:rPr>
      </w:pPr>
      <w:r w:rsidRPr="00D41810">
        <w:rPr>
          <w:lang w:val="fr-BE"/>
        </w:rPr>
        <w:br w:type="page"/>
      </w:r>
    </w:p>
    <w:p w:rsidR="00FC52B7" w:rsidRPr="00D41810" w:rsidRDefault="00FC52B7" w:rsidP="00804529">
      <w:pPr>
        <w:pStyle w:val="ListParagraph"/>
        <w:numPr>
          <w:ilvl w:val="1"/>
          <w:numId w:val="38"/>
        </w:numPr>
        <w:spacing w:before="240" w:after="120"/>
        <w:ind w:left="391" w:hanging="391"/>
        <w:rPr>
          <w:lang w:val="fr-BE"/>
        </w:rPr>
      </w:pPr>
      <w:r w:rsidRPr="00D41810">
        <w:rPr>
          <w:lang w:val="fr-BE"/>
        </w:rPr>
        <w:lastRenderedPageBreak/>
        <w:t>Vos procédures internes prévoient-elles des mesures renforcées d’acceptation des clients qui ont leur résidence ou leur domicile dans un pays ou territoire à l'égard duquel GAFI [</w:t>
      </w:r>
      <w:r w:rsidRPr="00D41810">
        <w:rPr>
          <w:rStyle w:val="FootnoteReference"/>
          <w:sz w:val="20"/>
          <w:szCs w:val="20"/>
          <w:lang w:val="fr-BE"/>
        </w:rPr>
        <w:footnoteReference w:id="3"/>
      </w:r>
      <w:r w:rsidRPr="00D41810">
        <w:rPr>
          <w:lang w:val="fr-BE"/>
        </w:rPr>
        <w:t>] recommande l'exercice d'une vigilance renforcée ou l’application de contre-mesures?</w:t>
      </w:r>
    </w:p>
    <w:tbl>
      <w:tblPr>
        <w:tblStyle w:val="TableGrid"/>
        <w:tblW w:w="0" w:type="auto"/>
        <w:tblInd w:w="360" w:type="dxa"/>
        <w:tblLook w:val="04A0" w:firstRow="1" w:lastRow="0" w:firstColumn="1" w:lastColumn="0" w:noHBand="0" w:noVBand="1"/>
      </w:tblPr>
      <w:tblGrid>
        <w:gridCol w:w="1733"/>
        <w:gridCol w:w="6804"/>
      </w:tblGrid>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Oui / Non / N.A.</w:t>
            </w:r>
          </w:p>
        </w:tc>
      </w:tr>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Borders>
              <w:top w:val="single" w:sz="4" w:space="0" w:color="auto"/>
              <w:left w:val="single" w:sz="4" w:space="0" w:color="auto"/>
              <w:bottom w:val="single" w:sz="4" w:space="0" w:color="auto"/>
              <w:right w:val="single" w:sz="4" w:space="0" w:color="auto"/>
            </w:tcBorders>
          </w:tcPr>
          <w:p w:rsidR="00FC52B7" w:rsidRPr="00D41810" w:rsidRDefault="00FC52B7" w:rsidP="00804529">
            <w:pPr>
              <w:spacing w:before="60" w:after="60" w:line="260" w:lineRule="atLeast"/>
              <w:jc w:val="both"/>
              <w:rPr>
                <w:lang w:val="fr-BE"/>
              </w:rPr>
            </w:pPr>
          </w:p>
        </w:tc>
      </w:tr>
    </w:tbl>
    <w:p w:rsidR="00FC52B7" w:rsidRPr="00D41810" w:rsidRDefault="00FC52B7" w:rsidP="00804529">
      <w:pPr>
        <w:pStyle w:val="ListParagraph"/>
        <w:numPr>
          <w:ilvl w:val="1"/>
          <w:numId w:val="38"/>
        </w:numPr>
        <w:spacing w:before="240" w:after="120"/>
        <w:ind w:left="567" w:hanging="567"/>
        <w:rPr>
          <w:lang w:val="fr-BE"/>
        </w:rPr>
      </w:pPr>
      <w:r w:rsidRPr="00D41810">
        <w:rPr>
          <w:lang w:val="fr-BE"/>
        </w:rPr>
        <w:t>Vos procédures internes prévoient-elles des mesures renforcées d’acceptation des clients qui souhaitent effectuer des opérations portant sur des montants inhabituellement élevés?</w:t>
      </w:r>
    </w:p>
    <w:tbl>
      <w:tblPr>
        <w:tblStyle w:val="TableGrid"/>
        <w:tblW w:w="0" w:type="auto"/>
        <w:tblInd w:w="360" w:type="dxa"/>
        <w:tblLook w:val="04A0" w:firstRow="1" w:lastRow="0" w:firstColumn="1" w:lastColumn="0" w:noHBand="0" w:noVBand="1"/>
      </w:tblPr>
      <w:tblGrid>
        <w:gridCol w:w="1733"/>
        <w:gridCol w:w="6804"/>
      </w:tblGrid>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Oui / Non / N.A.</w:t>
            </w:r>
          </w:p>
        </w:tc>
      </w:tr>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Borders>
              <w:top w:val="single" w:sz="4" w:space="0" w:color="auto"/>
              <w:left w:val="single" w:sz="4" w:space="0" w:color="auto"/>
              <w:bottom w:val="single" w:sz="4" w:space="0" w:color="auto"/>
              <w:right w:val="single" w:sz="4" w:space="0" w:color="auto"/>
            </w:tcBorders>
          </w:tcPr>
          <w:p w:rsidR="00FC52B7" w:rsidRPr="00D41810" w:rsidRDefault="00FC52B7" w:rsidP="00804529">
            <w:pPr>
              <w:spacing w:before="60" w:after="60" w:line="260" w:lineRule="atLeast"/>
              <w:jc w:val="both"/>
              <w:rPr>
                <w:lang w:val="fr-BE"/>
              </w:rPr>
            </w:pPr>
          </w:p>
        </w:tc>
      </w:tr>
    </w:tbl>
    <w:p w:rsidR="00FC52B7" w:rsidRPr="00D41810" w:rsidRDefault="00FC52B7" w:rsidP="00804529">
      <w:pPr>
        <w:pStyle w:val="ListParagraph"/>
        <w:numPr>
          <w:ilvl w:val="1"/>
          <w:numId w:val="38"/>
        </w:numPr>
        <w:spacing w:before="240" w:after="120"/>
        <w:ind w:left="567" w:hanging="567"/>
        <w:rPr>
          <w:lang w:val="fr-BE"/>
        </w:rPr>
      </w:pPr>
      <w:r w:rsidRPr="00D41810">
        <w:rPr>
          <w:lang w:val="fr-BE"/>
        </w:rPr>
        <w:t>Dans les cas visés aux questions 1.8 à 1.10, vos procédures internes précisent-elles les mesures de vigilance accrue à appliquer dans le cadre du processus d'identification e</w:t>
      </w:r>
      <w:r w:rsidR="00532252" w:rsidRPr="00D41810">
        <w:rPr>
          <w:lang w:val="fr-BE"/>
        </w:rPr>
        <w:t>t de vérification de l'identité</w:t>
      </w:r>
      <w:r w:rsidRPr="00D41810">
        <w:rPr>
          <w:lang w:val="fr-BE"/>
        </w:rPr>
        <w:t>?</w:t>
      </w:r>
    </w:p>
    <w:tbl>
      <w:tblPr>
        <w:tblStyle w:val="TableGrid"/>
        <w:tblW w:w="0" w:type="auto"/>
        <w:tblInd w:w="360" w:type="dxa"/>
        <w:tblLook w:val="04A0" w:firstRow="1" w:lastRow="0" w:firstColumn="1" w:lastColumn="0" w:noHBand="0" w:noVBand="1"/>
      </w:tblPr>
      <w:tblGrid>
        <w:gridCol w:w="1733"/>
        <w:gridCol w:w="6804"/>
      </w:tblGrid>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Oui / Non / N.A.</w:t>
            </w:r>
          </w:p>
        </w:tc>
      </w:tr>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Borders>
              <w:top w:val="single" w:sz="4" w:space="0" w:color="auto"/>
              <w:left w:val="single" w:sz="4" w:space="0" w:color="auto"/>
              <w:bottom w:val="single" w:sz="4" w:space="0" w:color="auto"/>
              <w:right w:val="single" w:sz="4" w:space="0" w:color="auto"/>
            </w:tcBorders>
          </w:tcPr>
          <w:p w:rsidR="00FC52B7" w:rsidRPr="00D41810" w:rsidRDefault="00FC52B7" w:rsidP="00804529">
            <w:pPr>
              <w:spacing w:before="60" w:after="60" w:line="260" w:lineRule="atLeast"/>
              <w:jc w:val="both"/>
              <w:rPr>
                <w:lang w:val="fr-BE"/>
              </w:rPr>
            </w:pPr>
          </w:p>
        </w:tc>
      </w:tr>
    </w:tbl>
    <w:p w:rsidR="00FC52B7" w:rsidRPr="00D41810" w:rsidRDefault="00FC52B7" w:rsidP="00804529">
      <w:pPr>
        <w:pStyle w:val="ListParagraph"/>
        <w:numPr>
          <w:ilvl w:val="1"/>
          <w:numId w:val="38"/>
        </w:numPr>
        <w:spacing w:before="240" w:after="120"/>
        <w:ind w:left="567" w:hanging="567"/>
        <w:rPr>
          <w:lang w:val="fr-BE"/>
        </w:rPr>
      </w:pPr>
      <w:r w:rsidRPr="00D41810">
        <w:rPr>
          <w:lang w:val="fr-BE"/>
        </w:rPr>
        <w:t>Des procédures écrites précisent-elles à l'intention des préposés en contact direct avec les clients et les opérations les critères appropriés leur permettant de déterminer les opérations atypiques auxquelles il est requis qu'ils attachent une attention particulière, ainsi que la procédure d'établissement et de transmission des rapports écrits relatifs aux opérations atypiques au responsable de la prévention du blanchiment de capitaux et du financement du terrorisme visé à l’article 18 de la loi, incluant les délais requis de transmission?</w:t>
      </w:r>
    </w:p>
    <w:tbl>
      <w:tblPr>
        <w:tblStyle w:val="TableGrid"/>
        <w:tblW w:w="0" w:type="auto"/>
        <w:tblInd w:w="360" w:type="dxa"/>
        <w:tblLook w:val="04A0" w:firstRow="1" w:lastRow="0" w:firstColumn="1" w:lastColumn="0" w:noHBand="0" w:noVBand="1"/>
      </w:tblPr>
      <w:tblGrid>
        <w:gridCol w:w="1733"/>
        <w:gridCol w:w="6804"/>
      </w:tblGrid>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Oui / Non / N.A.</w:t>
            </w:r>
          </w:p>
        </w:tc>
      </w:tr>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Borders>
              <w:top w:val="single" w:sz="4" w:space="0" w:color="auto"/>
              <w:left w:val="single" w:sz="4" w:space="0" w:color="auto"/>
              <w:bottom w:val="single" w:sz="4" w:space="0" w:color="auto"/>
              <w:right w:val="single" w:sz="4" w:space="0" w:color="auto"/>
            </w:tcBorders>
          </w:tcPr>
          <w:p w:rsidR="00FC52B7" w:rsidRPr="00D41810" w:rsidRDefault="00FC52B7" w:rsidP="00804529">
            <w:pPr>
              <w:spacing w:before="60" w:after="60" w:line="260" w:lineRule="atLeast"/>
              <w:jc w:val="both"/>
              <w:rPr>
                <w:lang w:val="fr-BE"/>
              </w:rPr>
            </w:pPr>
          </w:p>
        </w:tc>
      </w:tr>
    </w:tbl>
    <w:p w:rsidR="00CF4C6B" w:rsidRPr="00D41810" w:rsidRDefault="00CF4C6B" w:rsidP="00804529">
      <w:pPr>
        <w:tabs>
          <w:tab w:val="clear" w:pos="284"/>
        </w:tabs>
        <w:spacing w:line="240" w:lineRule="auto"/>
        <w:jc w:val="both"/>
        <w:rPr>
          <w:lang w:val="fr-BE"/>
        </w:rPr>
      </w:pPr>
      <w:r w:rsidRPr="00D41810">
        <w:rPr>
          <w:lang w:val="fr-BE"/>
        </w:rPr>
        <w:br w:type="page"/>
      </w:r>
    </w:p>
    <w:p w:rsidR="00FC52B7" w:rsidRPr="00D41810" w:rsidRDefault="00D96EDC" w:rsidP="00804529">
      <w:pPr>
        <w:pStyle w:val="ListParagraph"/>
        <w:numPr>
          <w:ilvl w:val="1"/>
          <w:numId w:val="38"/>
        </w:numPr>
        <w:spacing w:before="240" w:after="120"/>
        <w:ind w:left="567" w:hanging="567"/>
        <w:rPr>
          <w:lang w:val="fr-BE"/>
        </w:rPr>
      </w:pPr>
      <w:r>
        <w:rPr>
          <w:lang w:val="fr-BE"/>
        </w:rPr>
        <w:lastRenderedPageBreak/>
        <w:t>U</w:t>
      </w:r>
      <w:r w:rsidR="00FC52B7" w:rsidRPr="00D41810">
        <w:rPr>
          <w:lang w:val="fr-BE"/>
        </w:rPr>
        <w:t>n système de surveillance de deuxième ligne assurant un contrôle a posteriori des opérations effectuées par les clients du réseau belge afin de détecter les opérations atypiques</w:t>
      </w:r>
      <w:r>
        <w:rPr>
          <w:lang w:val="fr-BE"/>
        </w:rPr>
        <w:t>,</w:t>
      </w:r>
      <w:r w:rsidR="00FC52B7" w:rsidRPr="00D41810">
        <w:rPr>
          <w:lang w:val="fr-BE"/>
        </w:rPr>
        <w:t xml:space="preserve"> est-il mis en œuvre :</w:t>
      </w:r>
    </w:p>
    <w:p w:rsidR="00FC52B7" w:rsidRPr="00D41810" w:rsidRDefault="00FC52B7" w:rsidP="00804529">
      <w:pPr>
        <w:pStyle w:val="ListParagraph"/>
        <w:numPr>
          <w:ilvl w:val="2"/>
          <w:numId w:val="40"/>
        </w:numPr>
        <w:spacing w:before="120" w:after="120"/>
        <w:ind w:left="993" w:hanging="437"/>
        <w:rPr>
          <w:lang w:val="fr-BE"/>
        </w:rPr>
      </w:pPr>
      <w:r w:rsidRPr="00D41810">
        <w:rPr>
          <w:lang w:val="fr-BE"/>
        </w:rPr>
        <w:t>Au sein-même de votre PCC ?</w:t>
      </w:r>
    </w:p>
    <w:tbl>
      <w:tblPr>
        <w:tblStyle w:val="TableGrid"/>
        <w:tblW w:w="0" w:type="auto"/>
        <w:tblInd w:w="360" w:type="dxa"/>
        <w:tblLook w:val="04A0" w:firstRow="1" w:lastRow="0" w:firstColumn="1" w:lastColumn="0" w:noHBand="0" w:noVBand="1"/>
      </w:tblPr>
      <w:tblGrid>
        <w:gridCol w:w="1733"/>
        <w:gridCol w:w="6804"/>
      </w:tblGrid>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Oui / Non / N.A.</w:t>
            </w:r>
          </w:p>
        </w:tc>
      </w:tr>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Borders>
              <w:top w:val="single" w:sz="4" w:space="0" w:color="auto"/>
              <w:left w:val="single" w:sz="4" w:space="0" w:color="auto"/>
              <w:bottom w:val="single" w:sz="4" w:space="0" w:color="auto"/>
              <w:right w:val="single" w:sz="4" w:space="0" w:color="auto"/>
            </w:tcBorders>
          </w:tcPr>
          <w:p w:rsidR="00FC52B7" w:rsidRPr="00D41810" w:rsidRDefault="00FC52B7" w:rsidP="00804529">
            <w:pPr>
              <w:spacing w:before="60" w:after="60" w:line="260" w:lineRule="atLeast"/>
              <w:jc w:val="both"/>
              <w:rPr>
                <w:lang w:val="fr-BE"/>
              </w:rPr>
            </w:pPr>
          </w:p>
        </w:tc>
      </w:tr>
    </w:tbl>
    <w:p w:rsidR="00FC52B7" w:rsidRPr="00D41810" w:rsidRDefault="00FC52B7" w:rsidP="00804529">
      <w:pPr>
        <w:pStyle w:val="ListParagraph"/>
        <w:numPr>
          <w:ilvl w:val="2"/>
          <w:numId w:val="40"/>
        </w:numPr>
        <w:spacing w:before="120" w:after="120"/>
        <w:ind w:left="993" w:hanging="437"/>
        <w:rPr>
          <w:lang w:val="fr-BE"/>
        </w:rPr>
      </w:pPr>
      <w:r w:rsidRPr="00D41810">
        <w:rPr>
          <w:lang w:val="fr-BE"/>
        </w:rPr>
        <w:t>Au siège principal de l’établissement de paiement ou de l’établissement de monnaie électronique européen représenté</w:t>
      </w:r>
    </w:p>
    <w:tbl>
      <w:tblPr>
        <w:tblStyle w:val="TableGrid"/>
        <w:tblW w:w="0" w:type="auto"/>
        <w:tblInd w:w="360" w:type="dxa"/>
        <w:tblLook w:val="04A0" w:firstRow="1" w:lastRow="0" w:firstColumn="1" w:lastColumn="0" w:noHBand="0" w:noVBand="1"/>
      </w:tblPr>
      <w:tblGrid>
        <w:gridCol w:w="1733"/>
        <w:gridCol w:w="6804"/>
      </w:tblGrid>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Oui / Non / N.A.</w:t>
            </w:r>
          </w:p>
        </w:tc>
      </w:tr>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Borders>
              <w:top w:val="single" w:sz="4" w:space="0" w:color="auto"/>
              <w:left w:val="single" w:sz="4" w:space="0" w:color="auto"/>
              <w:bottom w:val="single" w:sz="4" w:space="0" w:color="auto"/>
              <w:right w:val="single" w:sz="4" w:space="0" w:color="auto"/>
            </w:tcBorders>
          </w:tcPr>
          <w:p w:rsidR="00FC52B7" w:rsidRPr="00D41810" w:rsidRDefault="00FC52B7" w:rsidP="00804529">
            <w:pPr>
              <w:spacing w:before="60" w:after="60" w:line="260" w:lineRule="atLeast"/>
              <w:jc w:val="both"/>
              <w:rPr>
                <w:lang w:val="fr-BE"/>
              </w:rPr>
            </w:pPr>
          </w:p>
        </w:tc>
      </w:tr>
    </w:tbl>
    <w:p w:rsidR="00FC52B7" w:rsidRPr="00D41810" w:rsidRDefault="00FC52B7" w:rsidP="00804529">
      <w:pPr>
        <w:pStyle w:val="ListParagraph"/>
        <w:numPr>
          <w:ilvl w:val="1"/>
          <w:numId w:val="38"/>
        </w:numPr>
        <w:spacing w:before="240" w:after="120"/>
        <w:ind w:left="567" w:hanging="567"/>
        <w:rPr>
          <w:lang w:val="fr-BE"/>
        </w:rPr>
      </w:pPr>
      <w:r w:rsidRPr="00D41810">
        <w:rPr>
          <w:lang w:val="fr-BE"/>
        </w:rPr>
        <w:t>Vos procédures internes prévoient-elles d'appliquer des mesures de vigilance accrue à l’égard des opérations (1</w:t>
      </w:r>
      <w:r w:rsidRPr="00D41810">
        <w:rPr>
          <w:vertAlign w:val="superscript"/>
          <w:lang w:val="fr-BE"/>
        </w:rPr>
        <w:t>ère</w:t>
      </w:r>
      <w:r w:rsidRPr="00D41810">
        <w:rPr>
          <w:lang w:val="fr-BE"/>
        </w:rPr>
        <w:t xml:space="preserve"> et 2</w:t>
      </w:r>
      <w:r w:rsidRPr="00D41810">
        <w:rPr>
          <w:vertAlign w:val="superscript"/>
          <w:lang w:val="fr-BE"/>
        </w:rPr>
        <w:t>ème</w:t>
      </w:r>
      <w:r w:rsidRPr="00D41810">
        <w:rPr>
          <w:lang w:val="fr-BE"/>
        </w:rPr>
        <w:t xml:space="preserve"> ligne) dans les situations suivantes :</w:t>
      </w:r>
    </w:p>
    <w:p w:rsidR="00FC52B7" w:rsidRPr="00D41810" w:rsidRDefault="00FC52B7" w:rsidP="00804529">
      <w:pPr>
        <w:pStyle w:val="ListParagraph"/>
        <w:numPr>
          <w:ilvl w:val="2"/>
          <w:numId w:val="41"/>
        </w:numPr>
        <w:spacing w:before="120" w:after="120"/>
        <w:ind w:left="993" w:hanging="426"/>
        <w:rPr>
          <w:lang w:val="fr-BE"/>
        </w:rPr>
      </w:pPr>
      <w:r w:rsidRPr="00D41810">
        <w:rPr>
          <w:lang w:val="fr-BE"/>
        </w:rPr>
        <w:t>Lorsque le client ou son mandataire a été identifié à distance?</w:t>
      </w:r>
    </w:p>
    <w:tbl>
      <w:tblPr>
        <w:tblStyle w:val="TableGrid"/>
        <w:tblW w:w="0" w:type="auto"/>
        <w:tblInd w:w="360" w:type="dxa"/>
        <w:tblLook w:val="04A0" w:firstRow="1" w:lastRow="0" w:firstColumn="1" w:lastColumn="0" w:noHBand="0" w:noVBand="1"/>
      </w:tblPr>
      <w:tblGrid>
        <w:gridCol w:w="1733"/>
        <w:gridCol w:w="6804"/>
      </w:tblGrid>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Oui / Non / N.A.</w:t>
            </w:r>
          </w:p>
        </w:tc>
      </w:tr>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Borders>
              <w:top w:val="single" w:sz="4" w:space="0" w:color="auto"/>
              <w:left w:val="single" w:sz="4" w:space="0" w:color="auto"/>
              <w:bottom w:val="single" w:sz="4" w:space="0" w:color="auto"/>
              <w:right w:val="single" w:sz="4" w:space="0" w:color="auto"/>
            </w:tcBorders>
          </w:tcPr>
          <w:p w:rsidR="00FC52B7" w:rsidRPr="00D41810" w:rsidRDefault="00FC52B7" w:rsidP="00804529">
            <w:pPr>
              <w:spacing w:before="60" w:after="60" w:line="260" w:lineRule="atLeast"/>
              <w:jc w:val="both"/>
              <w:rPr>
                <w:lang w:val="fr-BE"/>
              </w:rPr>
            </w:pPr>
          </w:p>
        </w:tc>
      </w:tr>
    </w:tbl>
    <w:p w:rsidR="00FC52B7" w:rsidRPr="00D41810" w:rsidRDefault="00FC52B7" w:rsidP="00804529">
      <w:pPr>
        <w:pStyle w:val="ListParagraph"/>
        <w:numPr>
          <w:ilvl w:val="2"/>
          <w:numId w:val="41"/>
        </w:numPr>
        <w:spacing w:before="120" w:after="120"/>
        <w:ind w:left="993" w:hanging="426"/>
        <w:rPr>
          <w:lang w:val="fr-BE"/>
        </w:rPr>
      </w:pPr>
      <w:r w:rsidRPr="00D41810">
        <w:rPr>
          <w:lang w:val="fr-BE"/>
        </w:rPr>
        <w:t>Lorsque le client, son mandataire ou un de ses bénéficiaires effectifs est une personne politiquement exposée?</w:t>
      </w:r>
    </w:p>
    <w:tbl>
      <w:tblPr>
        <w:tblStyle w:val="TableGrid"/>
        <w:tblW w:w="0" w:type="auto"/>
        <w:tblInd w:w="360" w:type="dxa"/>
        <w:tblLook w:val="04A0" w:firstRow="1" w:lastRow="0" w:firstColumn="1" w:lastColumn="0" w:noHBand="0" w:noVBand="1"/>
      </w:tblPr>
      <w:tblGrid>
        <w:gridCol w:w="1733"/>
        <w:gridCol w:w="6804"/>
      </w:tblGrid>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Oui / Non / N.A.</w:t>
            </w:r>
          </w:p>
        </w:tc>
      </w:tr>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Borders>
              <w:top w:val="single" w:sz="4" w:space="0" w:color="auto"/>
              <w:left w:val="single" w:sz="4" w:space="0" w:color="auto"/>
              <w:bottom w:val="single" w:sz="4" w:space="0" w:color="auto"/>
              <w:right w:val="single" w:sz="4" w:space="0" w:color="auto"/>
            </w:tcBorders>
          </w:tcPr>
          <w:p w:rsidR="00FC52B7" w:rsidRPr="00D41810" w:rsidRDefault="00FC52B7" w:rsidP="00804529">
            <w:pPr>
              <w:spacing w:before="60" w:after="60" w:line="260" w:lineRule="atLeast"/>
              <w:jc w:val="both"/>
              <w:rPr>
                <w:lang w:val="fr-BE"/>
              </w:rPr>
            </w:pPr>
          </w:p>
        </w:tc>
      </w:tr>
    </w:tbl>
    <w:p w:rsidR="00FC52B7" w:rsidRPr="00D41810" w:rsidRDefault="00FC52B7" w:rsidP="00804529">
      <w:pPr>
        <w:pStyle w:val="ListParagraph"/>
        <w:numPr>
          <w:ilvl w:val="2"/>
          <w:numId w:val="41"/>
        </w:numPr>
        <w:spacing w:before="120" w:after="120"/>
        <w:ind w:left="993" w:hanging="426"/>
        <w:rPr>
          <w:lang w:val="fr-BE"/>
        </w:rPr>
      </w:pPr>
      <w:r w:rsidRPr="00D41810">
        <w:rPr>
          <w:lang w:val="fr-BE"/>
        </w:rPr>
        <w:t>Lorsque le client a sa résidence ou son domicile dans un pays ou territoire à l'égard duquel GAFI recommande l'exercice d'une vigilance renforcée ou l’application de contre-mesures?</w:t>
      </w:r>
    </w:p>
    <w:tbl>
      <w:tblPr>
        <w:tblStyle w:val="TableGrid"/>
        <w:tblW w:w="0" w:type="auto"/>
        <w:tblInd w:w="360" w:type="dxa"/>
        <w:tblLook w:val="04A0" w:firstRow="1" w:lastRow="0" w:firstColumn="1" w:lastColumn="0" w:noHBand="0" w:noVBand="1"/>
      </w:tblPr>
      <w:tblGrid>
        <w:gridCol w:w="1733"/>
        <w:gridCol w:w="6804"/>
      </w:tblGrid>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Oui / Non / N.A.</w:t>
            </w:r>
          </w:p>
        </w:tc>
      </w:tr>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Borders>
              <w:top w:val="single" w:sz="4" w:space="0" w:color="auto"/>
              <w:left w:val="single" w:sz="4" w:space="0" w:color="auto"/>
              <w:bottom w:val="single" w:sz="4" w:space="0" w:color="auto"/>
              <w:right w:val="single" w:sz="4" w:space="0" w:color="auto"/>
            </w:tcBorders>
          </w:tcPr>
          <w:p w:rsidR="00FC52B7" w:rsidRPr="00D41810" w:rsidRDefault="00FC52B7" w:rsidP="00804529">
            <w:pPr>
              <w:spacing w:before="60" w:after="60" w:line="260" w:lineRule="atLeast"/>
              <w:jc w:val="both"/>
              <w:rPr>
                <w:lang w:val="fr-BE"/>
              </w:rPr>
            </w:pPr>
          </w:p>
        </w:tc>
      </w:tr>
    </w:tbl>
    <w:p w:rsidR="00CF4C6B" w:rsidRPr="00D41810" w:rsidRDefault="00CF4C6B" w:rsidP="00804529">
      <w:pPr>
        <w:tabs>
          <w:tab w:val="clear" w:pos="284"/>
        </w:tabs>
        <w:spacing w:line="240" w:lineRule="auto"/>
        <w:jc w:val="both"/>
        <w:rPr>
          <w:lang w:val="fr-BE"/>
        </w:rPr>
      </w:pPr>
      <w:r w:rsidRPr="00D41810">
        <w:rPr>
          <w:lang w:val="fr-BE"/>
        </w:rPr>
        <w:br w:type="page"/>
      </w:r>
    </w:p>
    <w:p w:rsidR="00FC52B7" w:rsidRPr="00D41810" w:rsidRDefault="00FC52B7" w:rsidP="00804529">
      <w:pPr>
        <w:pStyle w:val="ListParagraph"/>
        <w:numPr>
          <w:ilvl w:val="2"/>
          <w:numId w:val="41"/>
        </w:numPr>
        <w:spacing w:before="120" w:after="120"/>
        <w:ind w:left="993" w:hanging="426"/>
        <w:rPr>
          <w:lang w:val="fr-BE"/>
        </w:rPr>
      </w:pPr>
      <w:r w:rsidRPr="00D41810">
        <w:rPr>
          <w:lang w:val="fr-BE"/>
        </w:rPr>
        <w:lastRenderedPageBreak/>
        <w:t>Lorsque l'opération porte sur des montants inhabituellement élevés au regard de la connaissance que votre organisme a du client?</w:t>
      </w:r>
    </w:p>
    <w:tbl>
      <w:tblPr>
        <w:tblStyle w:val="TableGrid"/>
        <w:tblW w:w="0" w:type="auto"/>
        <w:tblInd w:w="360" w:type="dxa"/>
        <w:tblLook w:val="04A0" w:firstRow="1" w:lastRow="0" w:firstColumn="1" w:lastColumn="0" w:noHBand="0" w:noVBand="1"/>
      </w:tblPr>
      <w:tblGrid>
        <w:gridCol w:w="1733"/>
        <w:gridCol w:w="6804"/>
      </w:tblGrid>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Oui / Non / N.A.</w:t>
            </w:r>
          </w:p>
        </w:tc>
      </w:tr>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Borders>
              <w:top w:val="single" w:sz="4" w:space="0" w:color="auto"/>
              <w:left w:val="single" w:sz="4" w:space="0" w:color="auto"/>
              <w:bottom w:val="single" w:sz="4" w:space="0" w:color="auto"/>
              <w:right w:val="single" w:sz="4" w:space="0" w:color="auto"/>
            </w:tcBorders>
          </w:tcPr>
          <w:p w:rsidR="00FC52B7" w:rsidRPr="00D41810" w:rsidRDefault="00FC52B7" w:rsidP="00804529">
            <w:pPr>
              <w:spacing w:before="60" w:after="60" w:line="260" w:lineRule="atLeast"/>
              <w:jc w:val="both"/>
              <w:rPr>
                <w:lang w:val="fr-BE"/>
              </w:rPr>
            </w:pPr>
          </w:p>
        </w:tc>
      </w:tr>
    </w:tbl>
    <w:p w:rsidR="00FC52B7" w:rsidRPr="00D41810" w:rsidRDefault="00FC52B7" w:rsidP="00804529">
      <w:pPr>
        <w:pStyle w:val="ListParagraph"/>
        <w:numPr>
          <w:ilvl w:val="1"/>
          <w:numId w:val="38"/>
        </w:numPr>
        <w:spacing w:before="240" w:after="120"/>
        <w:ind w:left="567" w:hanging="567"/>
        <w:rPr>
          <w:lang w:val="fr-BE"/>
        </w:rPr>
      </w:pPr>
      <w:r w:rsidRPr="00D41810">
        <w:rPr>
          <w:lang w:val="fr-BE"/>
        </w:rPr>
        <w:t>Vos procédures internes précisent-elles les modalités d'examen attentif des opérations atypiques ou faits intrigants détectés par le système de surveillance afin de déterminer s'ils suscitent des soupçons de blanchiment de capitaux ou de financement de terrorisme qui pourraient conduire votre organisme à procéder à une déclaration à la CTIF?</w:t>
      </w:r>
    </w:p>
    <w:tbl>
      <w:tblPr>
        <w:tblStyle w:val="TableGrid"/>
        <w:tblW w:w="0" w:type="auto"/>
        <w:tblInd w:w="360" w:type="dxa"/>
        <w:tblLook w:val="04A0" w:firstRow="1" w:lastRow="0" w:firstColumn="1" w:lastColumn="0" w:noHBand="0" w:noVBand="1"/>
      </w:tblPr>
      <w:tblGrid>
        <w:gridCol w:w="1733"/>
        <w:gridCol w:w="6804"/>
      </w:tblGrid>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Oui / Non / N.A.</w:t>
            </w:r>
          </w:p>
        </w:tc>
      </w:tr>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Borders>
              <w:top w:val="single" w:sz="4" w:space="0" w:color="auto"/>
              <w:left w:val="single" w:sz="4" w:space="0" w:color="auto"/>
              <w:bottom w:val="single" w:sz="4" w:space="0" w:color="auto"/>
              <w:right w:val="single" w:sz="4" w:space="0" w:color="auto"/>
            </w:tcBorders>
          </w:tcPr>
          <w:p w:rsidR="00FC52B7" w:rsidRPr="00D41810" w:rsidRDefault="00FC52B7" w:rsidP="00804529">
            <w:pPr>
              <w:spacing w:before="60" w:after="60" w:line="260" w:lineRule="atLeast"/>
              <w:jc w:val="both"/>
              <w:rPr>
                <w:lang w:val="fr-BE"/>
              </w:rPr>
            </w:pPr>
          </w:p>
        </w:tc>
      </w:tr>
    </w:tbl>
    <w:p w:rsidR="00FC52B7" w:rsidRPr="00D41810" w:rsidRDefault="00FC52B7" w:rsidP="00804529">
      <w:pPr>
        <w:numPr>
          <w:ilvl w:val="1"/>
          <w:numId w:val="38"/>
        </w:numPr>
        <w:tabs>
          <w:tab w:val="clear" w:pos="284"/>
        </w:tabs>
        <w:spacing w:before="240" w:after="120" w:line="260" w:lineRule="atLeast"/>
        <w:ind w:left="567" w:hanging="567"/>
        <w:jc w:val="both"/>
        <w:rPr>
          <w:lang w:val="fr-BE"/>
        </w:rPr>
      </w:pPr>
      <w:r w:rsidRPr="00D41810">
        <w:rPr>
          <w:lang w:val="fr-FR"/>
        </w:rPr>
        <w:t>Les procédures internes et systèmes mis en œuvre par votre organisme empêchent-ils d’exécuter un transfert de fonds sans que le transfert soit accompagné des informations complètes sur le donneur d’ordre (son nom, son adresse ou son lieu et sa date de naissance, et son numéro de compte ou un identifiant unique) ou, si le prestataire de services de paiement du bénéficiaire est situé dans l’Espace économique européen, sans qu’il soit accompagné au minimum d’un identifiant unique permettant de remonter au donneur d’ordre?</w:t>
      </w:r>
    </w:p>
    <w:tbl>
      <w:tblPr>
        <w:tblStyle w:val="TableGrid2"/>
        <w:tblW w:w="0" w:type="auto"/>
        <w:tblInd w:w="360" w:type="dxa"/>
        <w:tblLook w:val="04A0" w:firstRow="1" w:lastRow="0" w:firstColumn="1" w:lastColumn="0" w:noHBand="0" w:noVBand="1"/>
      </w:tblPr>
      <w:tblGrid>
        <w:gridCol w:w="1733"/>
        <w:gridCol w:w="6804"/>
      </w:tblGrid>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Oui / Non / N.A.</w:t>
            </w:r>
          </w:p>
        </w:tc>
      </w:tr>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Borders>
              <w:top w:val="single" w:sz="4" w:space="0" w:color="auto"/>
              <w:left w:val="single" w:sz="4" w:space="0" w:color="auto"/>
              <w:bottom w:val="single" w:sz="4" w:space="0" w:color="auto"/>
              <w:right w:val="single" w:sz="4" w:space="0" w:color="auto"/>
            </w:tcBorders>
          </w:tcPr>
          <w:p w:rsidR="00FC52B7" w:rsidRPr="00D41810" w:rsidRDefault="00FC52B7" w:rsidP="00804529">
            <w:pPr>
              <w:spacing w:before="60" w:after="60" w:line="260" w:lineRule="atLeast"/>
              <w:jc w:val="both"/>
              <w:rPr>
                <w:lang w:val="fr-BE"/>
              </w:rPr>
            </w:pPr>
          </w:p>
        </w:tc>
      </w:tr>
    </w:tbl>
    <w:p w:rsidR="00FC52B7" w:rsidRPr="00D41810" w:rsidRDefault="00FC52B7" w:rsidP="00804529">
      <w:pPr>
        <w:numPr>
          <w:ilvl w:val="1"/>
          <w:numId w:val="38"/>
        </w:numPr>
        <w:tabs>
          <w:tab w:val="clear" w:pos="284"/>
        </w:tabs>
        <w:spacing w:before="240" w:after="120" w:line="260" w:lineRule="atLeast"/>
        <w:ind w:left="567" w:hanging="567"/>
        <w:jc w:val="both"/>
        <w:rPr>
          <w:lang w:val="fr-BE"/>
        </w:rPr>
      </w:pPr>
      <w:r w:rsidRPr="00D41810">
        <w:rPr>
          <w:lang w:val="fr-FR"/>
        </w:rPr>
        <w:t>Lorsque seul un identifiant unique est transmis avec un virement de fonds destiné à un bénéficiaire dont le prestataire de services de paiement est situé dans l’Espace économique européen, les procédures internes et systèmes mis en œuvre par votre organisme garantissent-ils de pouvoir de mettre à la disposition du prestataire de services de paiement du bénéficiaire les informations complètes sur le donneur d’ordre, dans les trois jours ouvrables suivant la réception de la demande dans ce sens de ce prestataire de services de paiement?</w:t>
      </w:r>
    </w:p>
    <w:tbl>
      <w:tblPr>
        <w:tblStyle w:val="TableGrid2"/>
        <w:tblW w:w="0" w:type="auto"/>
        <w:tblInd w:w="360" w:type="dxa"/>
        <w:tblLook w:val="04A0" w:firstRow="1" w:lastRow="0" w:firstColumn="1" w:lastColumn="0" w:noHBand="0" w:noVBand="1"/>
      </w:tblPr>
      <w:tblGrid>
        <w:gridCol w:w="1733"/>
        <w:gridCol w:w="6804"/>
      </w:tblGrid>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Oui / Non / N.A.</w:t>
            </w:r>
          </w:p>
        </w:tc>
      </w:tr>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Borders>
              <w:top w:val="single" w:sz="4" w:space="0" w:color="auto"/>
              <w:left w:val="single" w:sz="4" w:space="0" w:color="auto"/>
              <w:bottom w:val="single" w:sz="4" w:space="0" w:color="auto"/>
              <w:right w:val="single" w:sz="4" w:space="0" w:color="auto"/>
            </w:tcBorders>
          </w:tcPr>
          <w:p w:rsidR="00FC52B7" w:rsidRPr="00D41810" w:rsidRDefault="00FC52B7" w:rsidP="00804529">
            <w:pPr>
              <w:spacing w:before="60" w:after="60" w:line="260" w:lineRule="atLeast"/>
              <w:jc w:val="both"/>
              <w:rPr>
                <w:lang w:val="fr-BE"/>
              </w:rPr>
            </w:pPr>
          </w:p>
        </w:tc>
      </w:tr>
    </w:tbl>
    <w:p w:rsidR="00CF4C6B" w:rsidRPr="00D41810" w:rsidRDefault="00CF4C6B" w:rsidP="00804529">
      <w:pPr>
        <w:tabs>
          <w:tab w:val="clear" w:pos="284"/>
        </w:tabs>
        <w:spacing w:line="240" w:lineRule="auto"/>
        <w:jc w:val="both"/>
        <w:rPr>
          <w:lang w:val="fr-FR"/>
        </w:rPr>
      </w:pPr>
      <w:r w:rsidRPr="00D41810">
        <w:rPr>
          <w:lang w:val="fr-FR"/>
        </w:rPr>
        <w:br w:type="page"/>
      </w:r>
    </w:p>
    <w:p w:rsidR="00FC52B7" w:rsidRPr="00D41810" w:rsidRDefault="00FC52B7" w:rsidP="00804529">
      <w:pPr>
        <w:numPr>
          <w:ilvl w:val="1"/>
          <w:numId w:val="38"/>
        </w:numPr>
        <w:tabs>
          <w:tab w:val="clear" w:pos="284"/>
        </w:tabs>
        <w:spacing w:before="240" w:after="120" w:line="260" w:lineRule="atLeast"/>
        <w:ind w:left="567" w:hanging="567"/>
        <w:jc w:val="both"/>
        <w:rPr>
          <w:lang w:val="fr-BE"/>
        </w:rPr>
      </w:pPr>
      <w:r w:rsidRPr="00D41810">
        <w:rPr>
          <w:lang w:val="fr-FR"/>
        </w:rPr>
        <w:lastRenderedPageBreak/>
        <w:t>Les procédures internes et systèmes mis en œuvre par votre organisme lui garantissent-ils de pouvoir détecter les transferts de fonds reçus qui ne sont pas accompagnés des informations requises concernant le donneur d’ordre?</w:t>
      </w:r>
    </w:p>
    <w:tbl>
      <w:tblPr>
        <w:tblStyle w:val="TableGrid2"/>
        <w:tblW w:w="0" w:type="auto"/>
        <w:tblInd w:w="360" w:type="dxa"/>
        <w:tblLook w:val="04A0" w:firstRow="1" w:lastRow="0" w:firstColumn="1" w:lastColumn="0" w:noHBand="0" w:noVBand="1"/>
      </w:tblPr>
      <w:tblGrid>
        <w:gridCol w:w="1733"/>
        <w:gridCol w:w="6804"/>
      </w:tblGrid>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Oui / Non / N.A.</w:t>
            </w:r>
          </w:p>
        </w:tc>
      </w:tr>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Borders>
              <w:top w:val="single" w:sz="4" w:space="0" w:color="auto"/>
              <w:left w:val="single" w:sz="4" w:space="0" w:color="auto"/>
              <w:bottom w:val="single" w:sz="4" w:space="0" w:color="auto"/>
              <w:right w:val="single" w:sz="4" w:space="0" w:color="auto"/>
            </w:tcBorders>
          </w:tcPr>
          <w:p w:rsidR="00FC52B7" w:rsidRPr="00D41810" w:rsidRDefault="00FC52B7" w:rsidP="00804529">
            <w:pPr>
              <w:spacing w:before="60" w:after="60" w:line="260" w:lineRule="atLeast"/>
              <w:jc w:val="both"/>
              <w:rPr>
                <w:lang w:val="fr-BE"/>
              </w:rPr>
            </w:pPr>
          </w:p>
        </w:tc>
      </w:tr>
    </w:tbl>
    <w:p w:rsidR="00FC52B7" w:rsidRPr="00D41810" w:rsidRDefault="00FC52B7" w:rsidP="00804529">
      <w:pPr>
        <w:numPr>
          <w:ilvl w:val="1"/>
          <w:numId w:val="38"/>
        </w:numPr>
        <w:tabs>
          <w:tab w:val="clear" w:pos="284"/>
        </w:tabs>
        <w:spacing w:before="240" w:after="120" w:line="260" w:lineRule="atLeast"/>
        <w:ind w:left="567" w:hanging="567"/>
        <w:jc w:val="both"/>
        <w:rPr>
          <w:lang w:val="fr-BE"/>
        </w:rPr>
      </w:pPr>
      <w:r w:rsidRPr="00D41810">
        <w:rPr>
          <w:lang w:val="fr-FR"/>
        </w:rPr>
        <w:t>Les procédures internes de votre organisme définissent-elles la politique appliquée quant au rejet des transferts de fonds, à la suspension de leur exécution ou à la demande d’informations complètes aux prestataires de service de paiement des donneurs d’ordre en réaction du constat que ces transferts de fonds reçus ne sont pas accompagnés des informations requises?</w:t>
      </w:r>
    </w:p>
    <w:tbl>
      <w:tblPr>
        <w:tblStyle w:val="TableGrid2"/>
        <w:tblW w:w="0" w:type="auto"/>
        <w:tblInd w:w="360" w:type="dxa"/>
        <w:tblLook w:val="04A0" w:firstRow="1" w:lastRow="0" w:firstColumn="1" w:lastColumn="0" w:noHBand="0" w:noVBand="1"/>
      </w:tblPr>
      <w:tblGrid>
        <w:gridCol w:w="1733"/>
        <w:gridCol w:w="6804"/>
      </w:tblGrid>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Oui / Non / N.A.</w:t>
            </w:r>
          </w:p>
        </w:tc>
      </w:tr>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Borders>
              <w:top w:val="single" w:sz="4" w:space="0" w:color="auto"/>
              <w:left w:val="single" w:sz="4" w:space="0" w:color="auto"/>
              <w:bottom w:val="single" w:sz="4" w:space="0" w:color="auto"/>
              <w:right w:val="single" w:sz="4" w:space="0" w:color="auto"/>
            </w:tcBorders>
          </w:tcPr>
          <w:p w:rsidR="00FC52B7" w:rsidRPr="00D41810" w:rsidRDefault="00FC52B7" w:rsidP="00804529">
            <w:pPr>
              <w:spacing w:before="60" w:after="60" w:line="260" w:lineRule="atLeast"/>
              <w:jc w:val="both"/>
              <w:rPr>
                <w:lang w:val="fr-BE"/>
              </w:rPr>
            </w:pPr>
          </w:p>
        </w:tc>
      </w:tr>
    </w:tbl>
    <w:p w:rsidR="00FC52B7" w:rsidRPr="00D41810" w:rsidRDefault="00FC52B7" w:rsidP="00804529">
      <w:pPr>
        <w:numPr>
          <w:ilvl w:val="1"/>
          <w:numId w:val="38"/>
        </w:numPr>
        <w:tabs>
          <w:tab w:val="clear" w:pos="284"/>
        </w:tabs>
        <w:spacing w:before="240" w:after="120" w:line="260" w:lineRule="atLeast"/>
        <w:ind w:left="567" w:hanging="567"/>
        <w:jc w:val="both"/>
        <w:rPr>
          <w:lang w:val="fr-BE"/>
        </w:rPr>
      </w:pPr>
      <w:r w:rsidRPr="00D41810">
        <w:rPr>
          <w:lang w:val="fr-FR"/>
        </w:rPr>
        <w:t>Les procédures internes de votre organisme imposent-elles de considérer les informations manquantes ou incomplètes sur le donneur d’ordre comme un facteur à prendre en compte dans l’appréciation du caractère éventuellement suspect du transfert de fonds et, le cas échéant, de la nécessité de procéder à une déclaration d’opération suspecte à la CTIF?</w:t>
      </w:r>
    </w:p>
    <w:tbl>
      <w:tblPr>
        <w:tblStyle w:val="TableGrid2"/>
        <w:tblW w:w="0" w:type="auto"/>
        <w:tblInd w:w="360" w:type="dxa"/>
        <w:tblLook w:val="04A0" w:firstRow="1" w:lastRow="0" w:firstColumn="1" w:lastColumn="0" w:noHBand="0" w:noVBand="1"/>
      </w:tblPr>
      <w:tblGrid>
        <w:gridCol w:w="1733"/>
        <w:gridCol w:w="6804"/>
      </w:tblGrid>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Oui / Non / N.A.</w:t>
            </w:r>
          </w:p>
        </w:tc>
      </w:tr>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Borders>
              <w:top w:val="single" w:sz="4" w:space="0" w:color="auto"/>
              <w:left w:val="single" w:sz="4" w:space="0" w:color="auto"/>
              <w:bottom w:val="single" w:sz="4" w:space="0" w:color="auto"/>
              <w:right w:val="single" w:sz="4" w:space="0" w:color="auto"/>
            </w:tcBorders>
          </w:tcPr>
          <w:p w:rsidR="00FC52B7" w:rsidRPr="00D41810" w:rsidRDefault="00FC52B7" w:rsidP="00804529">
            <w:pPr>
              <w:spacing w:before="60" w:after="60" w:line="260" w:lineRule="atLeast"/>
              <w:jc w:val="both"/>
              <w:rPr>
                <w:lang w:val="fr-BE"/>
              </w:rPr>
            </w:pPr>
          </w:p>
        </w:tc>
      </w:tr>
    </w:tbl>
    <w:p w:rsidR="00FC52B7" w:rsidRPr="00D41810" w:rsidRDefault="00FC52B7" w:rsidP="00804529">
      <w:pPr>
        <w:numPr>
          <w:ilvl w:val="1"/>
          <w:numId w:val="38"/>
        </w:numPr>
        <w:tabs>
          <w:tab w:val="clear" w:pos="284"/>
        </w:tabs>
        <w:spacing w:before="240" w:after="120" w:line="260" w:lineRule="atLeast"/>
        <w:ind w:left="567" w:hanging="567"/>
        <w:jc w:val="both"/>
        <w:rPr>
          <w:lang w:val="fr-BE"/>
        </w:rPr>
      </w:pPr>
      <w:r w:rsidRPr="00D41810">
        <w:rPr>
          <w:lang w:val="fr-FR"/>
        </w:rPr>
        <w:t>Les procédures internes et systèmes mis en œuvre par votre organisme assurent-ils le contrôle des informations concernant les donneurs d’ordre dont il est le prestataire de services de paiement et des bénéficiaires des transferts de fonds reçus au regard des listes en vigueur de personnes ou entités visées par des mesures d’embargo financier et ou de gel des avoirs?</w:t>
      </w:r>
    </w:p>
    <w:tbl>
      <w:tblPr>
        <w:tblStyle w:val="TableGrid2"/>
        <w:tblW w:w="0" w:type="auto"/>
        <w:tblInd w:w="360" w:type="dxa"/>
        <w:tblLook w:val="04A0" w:firstRow="1" w:lastRow="0" w:firstColumn="1" w:lastColumn="0" w:noHBand="0" w:noVBand="1"/>
      </w:tblPr>
      <w:tblGrid>
        <w:gridCol w:w="1733"/>
        <w:gridCol w:w="6804"/>
      </w:tblGrid>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line="260" w:lineRule="atLeast"/>
              <w:jc w:val="both"/>
              <w:rPr>
                <w:lang w:val="fr-BE"/>
              </w:rPr>
            </w:pPr>
            <w:r w:rsidRPr="00D41810">
              <w:rPr>
                <w:lang w:val="fr-BE"/>
              </w:rPr>
              <w:t>Oui / Non / N.A.</w:t>
            </w:r>
          </w:p>
        </w:tc>
      </w:tr>
      <w:tr w:rsidR="00FC52B7" w:rsidRPr="00D41810" w:rsidTr="00FC52B7">
        <w:tc>
          <w:tcPr>
            <w:tcW w:w="1733" w:type="dxa"/>
            <w:tcBorders>
              <w:top w:val="single" w:sz="4" w:space="0" w:color="auto"/>
              <w:left w:val="single" w:sz="4" w:space="0" w:color="auto"/>
              <w:bottom w:val="single" w:sz="4" w:space="0" w:color="auto"/>
              <w:right w:val="single" w:sz="4" w:space="0" w:color="auto"/>
            </w:tcBorders>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Borders>
              <w:top w:val="single" w:sz="4" w:space="0" w:color="auto"/>
              <w:left w:val="single" w:sz="4" w:space="0" w:color="auto"/>
              <w:bottom w:val="single" w:sz="4" w:space="0" w:color="auto"/>
              <w:right w:val="single" w:sz="4" w:space="0" w:color="auto"/>
            </w:tcBorders>
          </w:tcPr>
          <w:p w:rsidR="00FC52B7" w:rsidRPr="00D41810" w:rsidRDefault="00FC52B7" w:rsidP="00804529">
            <w:pPr>
              <w:spacing w:before="60" w:after="60" w:line="260" w:lineRule="atLeast"/>
              <w:jc w:val="both"/>
              <w:rPr>
                <w:lang w:val="fr-BE"/>
              </w:rPr>
            </w:pPr>
          </w:p>
        </w:tc>
      </w:tr>
    </w:tbl>
    <w:p w:rsidR="00C02115" w:rsidRPr="00D41810" w:rsidRDefault="00C02115" w:rsidP="00804529">
      <w:pPr>
        <w:tabs>
          <w:tab w:val="clear" w:pos="284"/>
        </w:tabs>
        <w:spacing w:line="240" w:lineRule="auto"/>
        <w:jc w:val="both"/>
        <w:rPr>
          <w:b/>
          <w:i/>
          <w:u w:val="single"/>
          <w:lang w:val="fr-BE"/>
        </w:rPr>
      </w:pPr>
      <w:r w:rsidRPr="00D41810">
        <w:rPr>
          <w:b/>
          <w:i/>
          <w:u w:val="single"/>
          <w:lang w:val="fr-BE"/>
        </w:rPr>
        <w:br w:type="page"/>
      </w:r>
    </w:p>
    <w:p w:rsidR="00FC52B7" w:rsidRPr="00D41810" w:rsidRDefault="00FC52B7" w:rsidP="00804529">
      <w:pPr>
        <w:pStyle w:val="ListParagraph"/>
        <w:numPr>
          <w:ilvl w:val="0"/>
          <w:numId w:val="38"/>
        </w:numPr>
        <w:spacing w:before="120" w:after="120"/>
        <w:ind w:left="357" w:hanging="357"/>
        <w:contextualSpacing w:val="0"/>
        <w:rPr>
          <w:b/>
          <w:i/>
          <w:u w:val="single"/>
          <w:lang w:val="fr-BE"/>
        </w:rPr>
      </w:pPr>
      <w:r w:rsidRPr="00D41810">
        <w:rPr>
          <w:b/>
          <w:i/>
          <w:u w:val="single"/>
          <w:lang w:val="fr-BE"/>
        </w:rPr>
        <w:lastRenderedPageBreak/>
        <w:t>Questions générales d’auto-évaluation</w:t>
      </w:r>
    </w:p>
    <w:p w:rsidR="00FC52B7" w:rsidRPr="00D41810" w:rsidRDefault="00FC52B7" w:rsidP="00804529">
      <w:pPr>
        <w:pStyle w:val="ListParagraph"/>
        <w:numPr>
          <w:ilvl w:val="1"/>
          <w:numId w:val="38"/>
        </w:numPr>
        <w:spacing w:before="120" w:after="120"/>
        <w:contextualSpacing w:val="0"/>
        <w:rPr>
          <w:u w:val="single"/>
          <w:lang w:val="fr-BE"/>
        </w:rPr>
      </w:pPr>
      <w:r w:rsidRPr="00D41810">
        <w:rPr>
          <w:lang w:val="fr-BE"/>
        </w:rPr>
        <w:t xml:space="preserve">Estimez-vous que les procédures internes relatives à la prévention du blanchiment de capitaux et du financement du terrorisme qui sont applicables dans votre établissement de paiement / établissement de monnaie électronique ou dans l’entièreté du réseau pour lequel vous intervenez en qualité de PCC (ci-après « vos procédures internes ») sont pleinement, largement, partiellement ou insuffisamment </w:t>
      </w:r>
      <w:r w:rsidRPr="00D41810">
        <w:rPr>
          <w:u w:val="single"/>
          <w:lang w:val="fr-BE"/>
        </w:rPr>
        <w:t>conformes aux exigences légales et réglementaires belges</w:t>
      </w:r>
      <w:r w:rsidRPr="00D41810">
        <w:rPr>
          <w:lang w:val="fr-BE"/>
        </w:rPr>
        <w:t> en la matière?</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804"/>
      </w:tblGrid>
      <w:tr w:rsidR="00FC52B7" w:rsidRPr="00D41810" w:rsidTr="00936480">
        <w:tc>
          <w:tcPr>
            <w:tcW w:w="1733" w:type="dxa"/>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hideMark/>
          </w:tcPr>
          <w:p w:rsidR="00FC52B7" w:rsidRPr="00D41810" w:rsidRDefault="00FC52B7" w:rsidP="00804529">
            <w:pPr>
              <w:spacing w:before="60" w:after="60" w:line="260" w:lineRule="atLeast"/>
              <w:jc w:val="both"/>
              <w:rPr>
                <w:lang w:val="fr-BE"/>
              </w:rPr>
            </w:pPr>
            <w:r w:rsidRPr="00D41810">
              <w:rPr>
                <w:lang w:val="fr-BE"/>
              </w:rPr>
              <w:t>Pleinement conforme / Largement conforme / Partiellement conforme / Insuffisamment conforme</w:t>
            </w:r>
          </w:p>
        </w:tc>
      </w:tr>
      <w:tr w:rsidR="00FC52B7" w:rsidRPr="00D41810" w:rsidTr="00936480">
        <w:tc>
          <w:tcPr>
            <w:tcW w:w="1733" w:type="dxa"/>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Pr>
          <w:p w:rsidR="00FC52B7" w:rsidRPr="00D41810" w:rsidRDefault="00FC52B7" w:rsidP="00804529">
            <w:pPr>
              <w:spacing w:before="60" w:after="60" w:line="260" w:lineRule="atLeast"/>
              <w:jc w:val="both"/>
              <w:rPr>
                <w:lang w:val="fr-BE"/>
              </w:rPr>
            </w:pPr>
          </w:p>
        </w:tc>
      </w:tr>
    </w:tbl>
    <w:p w:rsidR="00FC52B7" w:rsidRPr="00D41810" w:rsidRDefault="00FC52B7" w:rsidP="00804529">
      <w:pPr>
        <w:pStyle w:val="ListParagraph"/>
        <w:numPr>
          <w:ilvl w:val="1"/>
          <w:numId w:val="38"/>
        </w:numPr>
        <w:spacing w:before="120" w:after="120"/>
        <w:rPr>
          <w:lang w:val="fr-BE"/>
        </w:rPr>
      </w:pPr>
      <w:r w:rsidRPr="00D41810">
        <w:rPr>
          <w:lang w:val="fr-BE"/>
        </w:rPr>
        <w:t xml:space="preserve">Estimez-vous que vos procédures internes sont pleinement, largement, partiellement ou insuffisamment </w:t>
      </w:r>
      <w:r w:rsidRPr="00D41810">
        <w:rPr>
          <w:u w:val="single"/>
          <w:lang w:val="fr-BE"/>
        </w:rPr>
        <w:t>mises en œuvre de façon effective</w:t>
      </w:r>
      <w:r w:rsidRPr="00D41810">
        <w:rPr>
          <w:lang w:val="fr-BE"/>
        </w:rPr>
        <w:t> dans votre établissement de paiement / établissement de monnaie électronique ou au sein du réseau pour lequel vous intervenez en qualité de « point de contact central »?</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804"/>
      </w:tblGrid>
      <w:tr w:rsidR="00FC52B7" w:rsidRPr="00D41810" w:rsidTr="00936480">
        <w:tc>
          <w:tcPr>
            <w:tcW w:w="1733" w:type="dxa"/>
            <w:hideMark/>
          </w:tcPr>
          <w:p w:rsidR="00FC52B7" w:rsidRPr="00D41810" w:rsidRDefault="00FC52B7" w:rsidP="00804529">
            <w:pPr>
              <w:spacing w:before="60" w:after="60" w:line="260" w:lineRule="atLeast"/>
              <w:jc w:val="both"/>
              <w:rPr>
                <w:lang w:val="fr-BE"/>
              </w:rPr>
            </w:pPr>
            <w:r w:rsidRPr="00D41810">
              <w:rPr>
                <w:lang w:val="fr-BE"/>
              </w:rPr>
              <w:t>Réponse :</w:t>
            </w:r>
          </w:p>
        </w:tc>
        <w:tc>
          <w:tcPr>
            <w:tcW w:w="6804" w:type="dxa"/>
            <w:hideMark/>
          </w:tcPr>
          <w:p w:rsidR="00FC52B7" w:rsidRPr="00D41810" w:rsidRDefault="00FC52B7" w:rsidP="00804529">
            <w:pPr>
              <w:spacing w:before="60" w:after="60" w:line="260" w:lineRule="atLeast"/>
              <w:jc w:val="both"/>
              <w:rPr>
                <w:lang w:val="fr-BE"/>
              </w:rPr>
            </w:pPr>
            <w:r w:rsidRPr="00D41810">
              <w:rPr>
                <w:lang w:val="fr-BE"/>
              </w:rPr>
              <w:t>Pleinement effectif / Largement effectif / Partiellement effectif / Insuffisamment effectif</w:t>
            </w:r>
          </w:p>
        </w:tc>
      </w:tr>
      <w:tr w:rsidR="00FC52B7" w:rsidRPr="00D41810" w:rsidTr="00936480">
        <w:tc>
          <w:tcPr>
            <w:tcW w:w="1733" w:type="dxa"/>
            <w:hideMark/>
          </w:tcPr>
          <w:p w:rsidR="00FC52B7" w:rsidRPr="00D41810" w:rsidRDefault="00FC52B7" w:rsidP="00804529">
            <w:pPr>
              <w:spacing w:before="60" w:after="60"/>
              <w:jc w:val="both"/>
              <w:rPr>
                <w:lang w:val="fr-BE"/>
              </w:rPr>
            </w:pPr>
            <w:r w:rsidRPr="00D41810">
              <w:rPr>
                <w:lang w:val="fr-BE"/>
              </w:rPr>
              <w:t>Commentaires éventuels :</w:t>
            </w:r>
          </w:p>
          <w:p w:rsidR="00FC52B7" w:rsidRPr="00D41810" w:rsidRDefault="00FC52B7" w:rsidP="00804529">
            <w:pPr>
              <w:spacing w:before="60" w:after="60" w:line="260" w:lineRule="atLeast"/>
              <w:jc w:val="both"/>
              <w:rPr>
                <w:lang w:val="fr-BE"/>
              </w:rPr>
            </w:pPr>
            <w:r w:rsidRPr="00D41810">
              <w:rPr>
                <w:lang w:val="fr-BE"/>
              </w:rPr>
              <w:t>(maximum 150 caractères)</w:t>
            </w:r>
          </w:p>
        </w:tc>
        <w:tc>
          <w:tcPr>
            <w:tcW w:w="6804" w:type="dxa"/>
          </w:tcPr>
          <w:p w:rsidR="00FC52B7" w:rsidRPr="00D41810" w:rsidRDefault="00FC52B7" w:rsidP="00804529">
            <w:pPr>
              <w:spacing w:before="60" w:after="60" w:line="260" w:lineRule="atLeast"/>
              <w:jc w:val="both"/>
              <w:rPr>
                <w:lang w:val="fr-BE"/>
              </w:rPr>
            </w:pPr>
          </w:p>
        </w:tc>
      </w:tr>
    </w:tbl>
    <w:p w:rsidR="005A529B" w:rsidRDefault="005A529B" w:rsidP="00804529">
      <w:pPr>
        <w:spacing w:line="260" w:lineRule="atLeast"/>
        <w:contextualSpacing/>
        <w:jc w:val="both"/>
        <w:rPr>
          <w:lang w:val="fr-BE"/>
        </w:rPr>
      </w:pPr>
    </w:p>
    <w:p w:rsidR="00B859E5" w:rsidRDefault="00B859E5" w:rsidP="00804529">
      <w:pPr>
        <w:spacing w:line="260" w:lineRule="atLeast"/>
        <w:jc w:val="both"/>
        <w:rPr>
          <w:lang w:val="fr-BE"/>
        </w:rPr>
      </w:pPr>
    </w:p>
    <w:p w:rsidR="00532252" w:rsidRPr="00661E1D" w:rsidRDefault="005F1303">
      <w:pPr>
        <w:tabs>
          <w:tab w:val="clear" w:pos="284"/>
        </w:tabs>
        <w:spacing w:line="240" w:lineRule="auto"/>
        <w:rPr>
          <w:lang w:val="nl-BE"/>
        </w:rPr>
      </w:pPr>
      <w:r>
        <w:rPr>
          <w:lang w:val="fr-BE"/>
        </w:rPr>
        <w:pict>
          <v:rect id="_x0000_i1025" style="width:468pt;height:1.5pt" o:hrstd="t" o:hr="t" fillcolor="#a0a0a0" stroked="f"/>
        </w:pict>
      </w:r>
    </w:p>
    <w:sectPr w:rsidR="00532252" w:rsidRPr="00661E1D" w:rsidSect="00D850C8">
      <w:headerReference w:type="even" r:id="rId10"/>
      <w:headerReference w:type="default" r:id="rId11"/>
      <w:footerReference w:type="even" r:id="rId12"/>
      <w:footerReference w:type="default" r:id="rId13"/>
      <w:footerReference w:type="first" r:id="rId14"/>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D2E" w:rsidRDefault="00BB7D2E">
      <w:r>
        <w:separator/>
      </w:r>
    </w:p>
  </w:endnote>
  <w:endnote w:type="continuationSeparator" w:id="0">
    <w:p w:rsidR="00BB7D2E" w:rsidRDefault="00BB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8A" w:rsidRPr="00B71DAA" w:rsidRDefault="00BA518A" w:rsidP="00E87276">
    <w:pPr>
      <w:pStyle w:val="Footer"/>
      <w:pBdr>
        <w:top w:val="single" w:sz="4" w:space="1" w:color="auto"/>
      </w:pBdr>
      <w:rPr>
        <w:b/>
        <w:sz w:val="16"/>
        <w:szCs w:val="16"/>
        <w:lang w:val="fr-BE"/>
      </w:rPr>
    </w:pPr>
    <w:r w:rsidRPr="00D41810">
      <w:rPr>
        <w:b/>
        <w:sz w:val="16"/>
        <w:szCs w:val="16"/>
        <w:lang w:val="fr-BE"/>
      </w:rPr>
      <w:t>Annexe 1</w:t>
    </w:r>
    <w:r w:rsidRPr="00D41810">
      <w:rPr>
        <w:rFonts w:cs="Arial"/>
        <w:b/>
        <w:sz w:val="16"/>
        <w:szCs w:val="16"/>
        <w:lang w:val="nl-BE"/>
      </w:rPr>
      <w:t> </w:t>
    </w:r>
    <w:r w:rsidRPr="00D41810">
      <w:rPr>
        <w:rFonts w:cs="Arial"/>
        <w:b/>
        <w:sz w:val="16"/>
        <w:szCs w:val="16"/>
        <w:lang w:val="fr-BE"/>
      </w:rPr>
      <w:t>–</w:t>
    </w:r>
    <w:r w:rsidRPr="00D41810">
      <w:rPr>
        <w:rFonts w:cs="Arial"/>
        <w:b/>
        <w:sz w:val="16"/>
        <w:szCs w:val="16"/>
        <w:lang w:val="nl-BE"/>
      </w:rPr>
      <w:t> </w:t>
    </w:r>
    <w:r w:rsidRPr="00D41810">
      <w:rPr>
        <w:b/>
        <w:sz w:val="16"/>
        <w:szCs w:val="16"/>
        <w:lang w:val="fr-BE"/>
      </w:rPr>
      <w:t xml:space="preserve">Page </w:t>
    </w:r>
    <w:r w:rsidRPr="00D41810">
      <w:rPr>
        <w:b/>
        <w:sz w:val="16"/>
        <w:szCs w:val="16"/>
        <w:lang w:val="nl-BE"/>
      </w:rPr>
      <w:fldChar w:fldCharType="begin"/>
    </w:r>
    <w:r w:rsidRPr="00D41810">
      <w:rPr>
        <w:b/>
        <w:sz w:val="16"/>
        <w:szCs w:val="16"/>
        <w:lang w:val="fr-BE"/>
      </w:rPr>
      <w:instrText xml:space="preserve"> PAGE   </w:instrText>
    </w:r>
    <w:r w:rsidRPr="00D41810">
      <w:rPr>
        <w:b/>
        <w:sz w:val="16"/>
        <w:szCs w:val="16"/>
        <w:lang w:val="nl-BE"/>
      </w:rPr>
      <w:fldChar w:fldCharType="separate"/>
    </w:r>
    <w:r w:rsidR="005F1303">
      <w:rPr>
        <w:b/>
        <w:noProof/>
        <w:sz w:val="16"/>
        <w:szCs w:val="16"/>
        <w:lang w:val="fr-BE"/>
      </w:rPr>
      <w:t>2</w:t>
    </w:r>
    <w:r w:rsidRPr="00D41810">
      <w:rPr>
        <w:b/>
        <w:sz w:val="16"/>
        <w:szCs w:val="16"/>
        <w:lang w:val="nl-BE"/>
      </w:rPr>
      <w:fldChar w:fldCharType="end"/>
    </w:r>
    <w:r w:rsidRPr="00D41810">
      <w:rPr>
        <w:b/>
        <w:sz w:val="16"/>
        <w:szCs w:val="16"/>
        <w:lang w:val="fr-BE"/>
      </w:rPr>
      <w:t>/</w:t>
    </w:r>
    <w:r w:rsidRPr="00D41810">
      <w:rPr>
        <w:b/>
        <w:sz w:val="16"/>
        <w:szCs w:val="16"/>
        <w:lang w:val="nl-BE"/>
      </w:rPr>
      <w:fldChar w:fldCharType="begin"/>
    </w:r>
    <w:r w:rsidRPr="00D41810">
      <w:rPr>
        <w:b/>
        <w:sz w:val="16"/>
        <w:szCs w:val="16"/>
        <w:lang w:val="fr-BE"/>
      </w:rPr>
      <w:instrText xml:space="preserve"> NUMPAGES   </w:instrText>
    </w:r>
    <w:r w:rsidRPr="00D41810">
      <w:rPr>
        <w:b/>
        <w:sz w:val="16"/>
        <w:szCs w:val="16"/>
        <w:lang w:val="nl-BE"/>
      </w:rPr>
      <w:fldChar w:fldCharType="separate"/>
    </w:r>
    <w:r w:rsidR="005F1303">
      <w:rPr>
        <w:b/>
        <w:noProof/>
        <w:sz w:val="16"/>
        <w:szCs w:val="16"/>
        <w:lang w:val="fr-BE"/>
      </w:rPr>
      <w:t>11</w:t>
    </w:r>
    <w:r w:rsidRPr="00D41810">
      <w:rPr>
        <w:b/>
        <w:sz w:val="16"/>
        <w:szCs w:val="16"/>
        <w:lang w:val="nl-BE"/>
      </w:rPr>
      <w:fldChar w:fldCharType="end"/>
    </w:r>
    <w:r w:rsidRPr="00D41810">
      <w:rPr>
        <w:b/>
        <w:sz w:val="16"/>
        <w:szCs w:val="16"/>
        <w:lang w:val="fr-BE"/>
      </w:rPr>
      <w:tab/>
    </w:r>
    <w:r w:rsidR="00D31A72" w:rsidRPr="00D31A72">
      <w:rPr>
        <w:sz w:val="14"/>
        <w:szCs w:val="16"/>
        <w:lang w:val="nl-BE"/>
      </w:rPr>
      <w:t>NBB_2016_43</w:t>
    </w:r>
    <w:r w:rsidR="00D31A72" w:rsidRPr="00D31A72">
      <w:rPr>
        <w:rFonts w:cs="Arial"/>
        <w:sz w:val="14"/>
        <w:szCs w:val="16"/>
        <w:lang w:val="nl-BE"/>
      </w:rPr>
      <w:t> </w:t>
    </w:r>
    <w:r w:rsidR="00D31A72" w:rsidRPr="00D31A72">
      <w:rPr>
        <w:rFonts w:cs="Arial"/>
        <w:sz w:val="14"/>
        <w:szCs w:val="16"/>
        <w:lang w:val="nl-BE"/>
      </w:rPr>
      <w:t>–</w:t>
    </w:r>
    <w:r w:rsidR="00D31A72" w:rsidRPr="00D31A72">
      <w:rPr>
        <w:rFonts w:cs="Arial"/>
        <w:sz w:val="14"/>
        <w:szCs w:val="16"/>
        <w:lang w:val="nl-BE"/>
      </w:rPr>
      <w:t> </w:t>
    </w:r>
    <w:r w:rsidR="00D31A72" w:rsidRPr="00D31A72">
      <w:rPr>
        <w:rFonts w:cs="Arial"/>
        <w:sz w:val="14"/>
        <w:szCs w:val="16"/>
        <w:lang w:val="nl-BE"/>
      </w:rPr>
      <w:t>26 octobre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8A" w:rsidRPr="00B71DAA" w:rsidRDefault="00BA518A" w:rsidP="00F64E38">
    <w:pPr>
      <w:pStyle w:val="Footer"/>
      <w:pBdr>
        <w:top w:val="single" w:sz="4" w:space="1" w:color="auto"/>
      </w:pBdr>
      <w:rPr>
        <w:b/>
        <w:sz w:val="16"/>
        <w:szCs w:val="14"/>
        <w:lang w:val="fr-BE"/>
      </w:rPr>
    </w:pPr>
    <w:r>
      <w:rPr>
        <w:b/>
        <w:sz w:val="16"/>
        <w:szCs w:val="14"/>
        <w:lang w:val="nl-BE"/>
      </w:rPr>
      <w:tab/>
    </w:r>
    <w:r w:rsidR="00D31A72" w:rsidRPr="00D31A72">
      <w:rPr>
        <w:sz w:val="14"/>
        <w:szCs w:val="16"/>
        <w:lang w:val="nl-BE"/>
      </w:rPr>
      <w:t>NBB_2016_43</w:t>
    </w:r>
    <w:r w:rsidR="00D31A72" w:rsidRPr="00D31A72">
      <w:rPr>
        <w:rFonts w:cs="Arial"/>
        <w:sz w:val="14"/>
        <w:szCs w:val="16"/>
        <w:lang w:val="nl-BE"/>
      </w:rPr>
      <w:t> </w:t>
    </w:r>
    <w:r w:rsidR="00D31A72" w:rsidRPr="00D31A72">
      <w:rPr>
        <w:rFonts w:cs="Arial"/>
        <w:sz w:val="14"/>
        <w:szCs w:val="16"/>
        <w:lang w:val="nl-BE"/>
      </w:rPr>
      <w:t>–</w:t>
    </w:r>
    <w:r w:rsidR="00D31A72" w:rsidRPr="00D31A72">
      <w:rPr>
        <w:rFonts w:cs="Arial"/>
        <w:sz w:val="14"/>
        <w:szCs w:val="16"/>
        <w:lang w:val="nl-BE"/>
      </w:rPr>
      <w:t> </w:t>
    </w:r>
    <w:r w:rsidR="00D31A72" w:rsidRPr="00D31A72">
      <w:rPr>
        <w:rFonts w:cs="Arial"/>
        <w:sz w:val="14"/>
        <w:szCs w:val="16"/>
        <w:lang w:val="nl-BE"/>
      </w:rPr>
      <w:t>26 octobre 2016</w:t>
    </w:r>
    <w:r w:rsidRPr="00D41810">
      <w:rPr>
        <w:b/>
        <w:sz w:val="16"/>
        <w:szCs w:val="14"/>
        <w:lang w:val="fr-BE"/>
      </w:rPr>
      <w:tab/>
      <w:t>Annexe 1</w:t>
    </w:r>
    <w:r w:rsidRPr="00D41810">
      <w:rPr>
        <w:rFonts w:cs="Arial"/>
        <w:b/>
        <w:sz w:val="16"/>
        <w:szCs w:val="14"/>
        <w:lang w:val="nl-BE"/>
      </w:rPr>
      <w:t> </w:t>
    </w:r>
    <w:r w:rsidRPr="00D41810">
      <w:rPr>
        <w:rFonts w:cs="Arial"/>
        <w:b/>
        <w:sz w:val="16"/>
        <w:szCs w:val="14"/>
        <w:lang w:val="fr-BE"/>
      </w:rPr>
      <w:t>–</w:t>
    </w:r>
    <w:r w:rsidRPr="00D41810">
      <w:rPr>
        <w:rFonts w:cs="Arial"/>
        <w:b/>
        <w:sz w:val="16"/>
        <w:szCs w:val="14"/>
        <w:lang w:val="nl-BE"/>
      </w:rPr>
      <w:t> </w:t>
    </w:r>
    <w:r w:rsidRPr="00D41810">
      <w:rPr>
        <w:b/>
        <w:sz w:val="16"/>
        <w:szCs w:val="14"/>
        <w:lang w:val="fr-BE"/>
      </w:rPr>
      <w:t xml:space="preserve">Page </w:t>
    </w:r>
    <w:r w:rsidRPr="00D41810">
      <w:rPr>
        <w:b/>
        <w:sz w:val="16"/>
        <w:szCs w:val="14"/>
        <w:lang w:val="nl-BE"/>
      </w:rPr>
      <w:fldChar w:fldCharType="begin"/>
    </w:r>
    <w:r w:rsidRPr="00D41810">
      <w:rPr>
        <w:b/>
        <w:sz w:val="16"/>
        <w:szCs w:val="14"/>
        <w:lang w:val="fr-BE"/>
      </w:rPr>
      <w:instrText xml:space="preserve"> PAGE   </w:instrText>
    </w:r>
    <w:r w:rsidRPr="00D41810">
      <w:rPr>
        <w:b/>
        <w:sz w:val="16"/>
        <w:szCs w:val="14"/>
        <w:lang w:val="nl-BE"/>
      </w:rPr>
      <w:fldChar w:fldCharType="separate"/>
    </w:r>
    <w:r w:rsidR="005F1303">
      <w:rPr>
        <w:b/>
        <w:noProof/>
        <w:sz w:val="16"/>
        <w:szCs w:val="14"/>
        <w:lang w:val="fr-BE"/>
      </w:rPr>
      <w:t>11</w:t>
    </w:r>
    <w:r w:rsidRPr="00D41810">
      <w:rPr>
        <w:b/>
        <w:sz w:val="16"/>
        <w:szCs w:val="14"/>
        <w:lang w:val="nl-BE"/>
      </w:rPr>
      <w:fldChar w:fldCharType="end"/>
    </w:r>
    <w:r w:rsidRPr="00D41810">
      <w:rPr>
        <w:b/>
        <w:sz w:val="16"/>
        <w:szCs w:val="14"/>
        <w:lang w:val="fr-BE"/>
      </w:rPr>
      <w:t>/</w:t>
    </w:r>
    <w:r w:rsidRPr="00D41810">
      <w:rPr>
        <w:b/>
        <w:sz w:val="16"/>
        <w:szCs w:val="14"/>
        <w:lang w:val="nl-BE"/>
      </w:rPr>
      <w:fldChar w:fldCharType="begin"/>
    </w:r>
    <w:r w:rsidRPr="00D41810">
      <w:rPr>
        <w:b/>
        <w:sz w:val="16"/>
        <w:szCs w:val="14"/>
        <w:lang w:val="fr-BE"/>
      </w:rPr>
      <w:instrText xml:space="preserve"> NUMPAGES   </w:instrText>
    </w:r>
    <w:r w:rsidRPr="00D41810">
      <w:rPr>
        <w:b/>
        <w:sz w:val="16"/>
        <w:szCs w:val="14"/>
        <w:lang w:val="nl-BE"/>
      </w:rPr>
      <w:fldChar w:fldCharType="separate"/>
    </w:r>
    <w:r w:rsidR="005F1303">
      <w:rPr>
        <w:b/>
        <w:noProof/>
        <w:sz w:val="16"/>
        <w:szCs w:val="14"/>
        <w:lang w:val="fr-BE"/>
      </w:rPr>
      <w:t>11</w:t>
    </w:r>
    <w:r w:rsidRPr="00D41810">
      <w:rPr>
        <w:b/>
        <w:sz w:val="16"/>
        <w:szCs w:val="14"/>
        <w:lang w:val="nl-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8A" w:rsidRPr="00C5236C" w:rsidRDefault="00BA518A" w:rsidP="00CB2202">
    <w:pPr>
      <w:pStyle w:val="Footer"/>
      <w:pBdr>
        <w:top w:val="single" w:sz="4" w:space="1" w:color="auto"/>
      </w:pBdr>
      <w:rPr>
        <w:b/>
        <w:sz w:val="16"/>
        <w:szCs w:val="16"/>
        <w:lang w:val="fr-BE"/>
      </w:rPr>
    </w:pPr>
    <w:r>
      <w:rPr>
        <w:b/>
        <w:sz w:val="16"/>
        <w:szCs w:val="16"/>
        <w:lang w:val="nl-BE"/>
      </w:rPr>
      <w:tab/>
    </w:r>
    <w:r w:rsidRPr="00D31A72">
      <w:rPr>
        <w:sz w:val="14"/>
        <w:szCs w:val="16"/>
        <w:lang w:val="nl-BE"/>
      </w:rPr>
      <w:t>NBB_</w:t>
    </w:r>
    <w:r w:rsidR="00D31A72" w:rsidRPr="00D31A72">
      <w:rPr>
        <w:sz w:val="14"/>
        <w:szCs w:val="16"/>
        <w:lang w:val="nl-BE"/>
      </w:rPr>
      <w:t>2016</w:t>
    </w:r>
    <w:r w:rsidRPr="00D31A72">
      <w:rPr>
        <w:sz w:val="14"/>
        <w:szCs w:val="16"/>
        <w:lang w:val="nl-BE"/>
      </w:rPr>
      <w:t>_</w:t>
    </w:r>
    <w:r w:rsidR="00D31A72" w:rsidRPr="00D31A72">
      <w:rPr>
        <w:sz w:val="14"/>
        <w:szCs w:val="16"/>
        <w:lang w:val="nl-BE"/>
      </w:rPr>
      <w:t>43</w:t>
    </w:r>
    <w:r w:rsidRPr="00D31A72">
      <w:rPr>
        <w:rFonts w:cs="Arial"/>
        <w:sz w:val="14"/>
        <w:szCs w:val="16"/>
        <w:lang w:val="nl-BE"/>
      </w:rPr>
      <w:t> </w:t>
    </w:r>
    <w:r w:rsidRPr="00D31A72">
      <w:rPr>
        <w:rFonts w:cs="Arial"/>
        <w:sz w:val="14"/>
        <w:szCs w:val="16"/>
        <w:lang w:val="nl-BE"/>
      </w:rPr>
      <w:t>–</w:t>
    </w:r>
    <w:r w:rsidRPr="00D31A72">
      <w:rPr>
        <w:rFonts w:cs="Arial"/>
        <w:sz w:val="14"/>
        <w:szCs w:val="16"/>
        <w:lang w:val="nl-BE"/>
      </w:rPr>
      <w:t> </w:t>
    </w:r>
    <w:r w:rsidR="00D31A72" w:rsidRPr="00D31A72">
      <w:rPr>
        <w:rFonts w:cs="Arial"/>
        <w:sz w:val="14"/>
        <w:szCs w:val="16"/>
        <w:lang w:val="nl-BE"/>
      </w:rPr>
      <w:t>26 octobre</w:t>
    </w:r>
    <w:r w:rsidRPr="00D31A72">
      <w:rPr>
        <w:rFonts w:cs="Arial"/>
        <w:sz w:val="14"/>
        <w:szCs w:val="16"/>
        <w:lang w:val="nl-BE"/>
      </w:rPr>
      <w:t xml:space="preserve"> 201</w:t>
    </w:r>
    <w:r w:rsidR="00AF67F5" w:rsidRPr="00D31A72">
      <w:rPr>
        <w:rFonts w:cs="Arial"/>
        <w:sz w:val="14"/>
        <w:szCs w:val="16"/>
        <w:lang w:val="nl-BE"/>
      </w:rPr>
      <w:t>6</w:t>
    </w:r>
    <w:r w:rsidRPr="00D41810">
      <w:rPr>
        <w:b/>
        <w:sz w:val="16"/>
        <w:szCs w:val="16"/>
        <w:lang w:val="fr-BE"/>
      </w:rPr>
      <w:tab/>
      <w:t>Annexe 1</w:t>
    </w:r>
    <w:r w:rsidRPr="00D41810">
      <w:rPr>
        <w:rFonts w:cs="Arial"/>
        <w:b/>
        <w:sz w:val="16"/>
        <w:szCs w:val="16"/>
        <w:lang w:val="nl-BE"/>
      </w:rPr>
      <w:t> </w:t>
    </w:r>
    <w:r w:rsidRPr="00D41810">
      <w:rPr>
        <w:rFonts w:cs="Arial"/>
        <w:b/>
        <w:sz w:val="16"/>
        <w:szCs w:val="16"/>
        <w:lang w:val="fr-BE"/>
      </w:rPr>
      <w:t>–</w:t>
    </w:r>
    <w:r w:rsidRPr="00D41810">
      <w:rPr>
        <w:rFonts w:cs="Arial"/>
        <w:b/>
        <w:sz w:val="16"/>
        <w:szCs w:val="16"/>
        <w:lang w:val="nl-BE"/>
      </w:rPr>
      <w:t> </w:t>
    </w:r>
    <w:r w:rsidRPr="00D41810">
      <w:rPr>
        <w:b/>
        <w:sz w:val="16"/>
        <w:szCs w:val="16"/>
        <w:lang w:val="fr-BE"/>
      </w:rPr>
      <w:t xml:space="preserve">Page </w:t>
    </w:r>
    <w:r w:rsidRPr="00D41810">
      <w:rPr>
        <w:b/>
        <w:sz w:val="16"/>
        <w:szCs w:val="16"/>
        <w:lang w:val="nl-BE"/>
      </w:rPr>
      <w:fldChar w:fldCharType="begin"/>
    </w:r>
    <w:r w:rsidRPr="00D41810">
      <w:rPr>
        <w:b/>
        <w:sz w:val="16"/>
        <w:szCs w:val="16"/>
        <w:lang w:val="fr-BE"/>
      </w:rPr>
      <w:instrText xml:space="preserve"> PAGE   </w:instrText>
    </w:r>
    <w:r w:rsidRPr="00D41810">
      <w:rPr>
        <w:b/>
        <w:sz w:val="16"/>
        <w:szCs w:val="16"/>
        <w:lang w:val="nl-BE"/>
      </w:rPr>
      <w:fldChar w:fldCharType="separate"/>
    </w:r>
    <w:r w:rsidR="005F1303">
      <w:rPr>
        <w:b/>
        <w:noProof/>
        <w:sz w:val="16"/>
        <w:szCs w:val="16"/>
        <w:lang w:val="fr-BE"/>
      </w:rPr>
      <w:t>1</w:t>
    </w:r>
    <w:r w:rsidRPr="00D41810">
      <w:rPr>
        <w:b/>
        <w:sz w:val="16"/>
        <w:szCs w:val="16"/>
        <w:lang w:val="nl-BE"/>
      </w:rPr>
      <w:fldChar w:fldCharType="end"/>
    </w:r>
    <w:r w:rsidRPr="00D41810">
      <w:rPr>
        <w:b/>
        <w:sz w:val="16"/>
        <w:szCs w:val="16"/>
        <w:lang w:val="fr-BE"/>
      </w:rPr>
      <w:t>/</w:t>
    </w:r>
    <w:r w:rsidRPr="00D41810">
      <w:rPr>
        <w:b/>
        <w:sz w:val="16"/>
        <w:szCs w:val="16"/>
        <w:lang w:val="nl-BE"/>
      </w:rPr>
      <w:fldChar w:fldCharType="begin"/>
    </w:r>
    <w:r w:rsidRPr="00D41810">
      <w:rPr>
        <w:b/>
        <w:sz w:val="16"/>
        <w:szCs w:val="16"/>
        <w:lang w:val="fr-BE"/>
      </w:rPr>
      <w:instrText xml:space="preserve"> NUMPAGES   </w:instrText>
    </w:r>
    <w:r w:rsidRPr="00D41810">
      <w:rPr>
        <w:b/>
        <w:sz w:val="16"/>
        <w:szCs w:val="16"/>
        <w:lang w:val="nl-BE"/>
      </w:rPr>
      <w:fldChar w:fldCharType="separate"/>
    </w:r>
    <w:r w:rsidR="005F1303">
      <w:rPr>
        <w:b/>
        <w:noProof/>
        <w:sz w:val="16"/>
        <w:szCs w:val="16"/>
        <w:lang w:val="fr-BE"/>
      </w:rPr>
      <w:t>11</w:t>
    </w:r>
    <w:r w:rsidRPr="00D41810">
      <w:rPr>
        <w:b/>
        <w:sz w:val="16"/>
        <w:szCs w:val="16"/>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D2E" w:rsidRPr="00117F31" w:rsidRDefault="00BB7D2E" w:rsidP="00117F31">
      <w:pPr>
        <w:pStyle w:val="Footer"/>
      </w:pPr>
    </w:p>
  </w:footnote>
  <w:footnote w:type="continuationSeparator" w:id="0">
    <w:p w:rsidR="00BB7D2E" w:rsidRPr="00117F31" w:rsidRDefault="00BB7D2E" w:rsidP="00117F31">
      <w:pPr>
        <w:pStyle w:val="Footer"/>
      </w:pPr>
    </w:p>
  </w:footnote>
  <w:footnote w:type="continuationNotice" w:id="1">
    <w:p w:rsidR="00BB7D2E" w:rsidRDefault="00BB7D2E"/>
  </w:footnote>
  <w:footnote w:id="2">
    <w:p w:rsidR="00BA518A" w:rsidRDefault="00BA518A" w:rsidP="00804529">
      <w:pPr>
        <w:autoSpaceDE w:val="0"/>
        <w:autoSpaceDN w:val="0"/>
        <w:adjustRightInd w:val="0"/>
        <w:spacing w:line="240" w:lineRule="auto"/>
        <w:ind w:left="284" w:hanging="284"/>
        <w:jc w:val="both"/>
        <w:rPr>
          <w:sz w:val="16"/>
          <w:szCs w:val="16"/>
          <w:lang w:val="fr-BE"/>
        </w:rPr>
      </w:pPr>
      <w:r>
        <w:rPr>
          <w:rStyle w:val="FootnoteReference"/>
          <w:lang w:val="fr-BE"/>
        </w:rPr>
        <w:footnoteRef/>
      </w:r>
      <w:r>
        <w:rPr>
          <w:sz w:val="16"/>
          <w:szCs w:val="16"/>
          <w:lang w:val="fr-BE"/>
        </w:rPr>
        <w:t xml:space="preserve"> </w:t>
      </w:r>
      <w:r>
        <w:rPr>
          <w:sz w:val="16"/>
          <w:szCs w:val="16"/>
          <w:lang w:val="fr-BE"/>
        </w:rPr>
        <w:tab/>
        <w:t>Loi du 11 janvier 1993 relative à la prévention de l’utilisation du système financier aux fins du blanchiment de capitaux et du financement du terrorisme, article 39, § 2, alinéa 1</w:t>
      </w:r>
      <w:r>
        <w:rPr>
          <w:sz w:val="16"/>
          <w:szCs w:val="16"/>
          <w:vertAlign w:val="superscript"/>
          <w:lang w:val="fr-BE"/>
        </w:rPr>
        <w:t>er</w:t>
      </w:r>
      <w:r>
        <w:rPr>
          <w:sz w:val="16"/>
          <w:szCs w:val="16"/>
          <w:lang w:val="fr-BE"/>
        </w:rPr>
        <w:t>.</w:t>
      </w:r>
    </w:p>
  </w:footnote>
  <w:footnote w:id="3">
    <w:p w:rsidR="00BA518A" w:rsidRDefault="00BA518A" w:rsidP="00804529">
      <w:pPr>
        <w:pStyle w:val="FootnoteText"/>
        <w:jc w:val="both"/>
        <w:rPr>
          <w:sz w:val="16"/>
          <w:szCs w:val="16"/>
          <w:lang w:val="fr-BE"/>
        </w:rPr>
      </w:pPr>
      <w:r>
        <w:rPr>
          <w:rStyle w:val="FootnoteReference"/>
          <w:lang w:val="fr-BE"/>
        </w:rPr>
        <w:footnoteRef/>
      </w:r>
      <w:r>
        <w:rPr>
          <w:sz w:val="16"/>
          <w:szCs w:val="16"/>
          <w:lang w:val="fr-BE"/>
        </w:rPr>
        <w:t xml:space="preserve"> </w:t>
      </w:r>
      <w:r>
        <w:rPr>
          <w:sz w:val="16"/>
          <w:szCs w:val="16"/>
          <w:lang w:val="fr-BE"/>
        </w:rPr>
        <w:tab/>
        <w:t>Le Groupe d’action financière (GAFI) est un organisme intergouvernemental créé en 1989 par les Ministres de ses Etats Membres, dont la Belgique.  Les objectifs du GAFI sont l’élaboration des normes (par le biais des “40 Recommandations” du GAFI) et la promotion de l’efficace application de mesures législatives, réglementaires et opérationnelles en matière de lutte contre le blanchiment de capitaux, le financement du terrorisme et les autres menaces liées pour l’intégrité du système financier international. </w:t>
      </w:r>
    </w:p>
    <w:p w:rsidR="00BA518A" w:rsidRDefault="00BA518A" w:rsidP="00804529">
      <w:pPr>
        <w:pStyle w:val="FootnoteText"/>
        <w:jc w:val="both"/>
        <w:rPr>
          <w:sz w:val="16"/>
          <w:szCs w:val="16"/>
          <w:lang w:val="fr-BE"/>
        </w:rPr>
      </w:pPr>
      <w:r>
        <w:rPr>
          <w:sz w:val="16"/>
          <w:szCs w:val="16"/>
          <w:lang w:val="fr-BE"/>
        </w:rPr>
        <w:tab/>
        <w:t>La liste des pays visés à la question 1.9 ci-dessus peut être consultée sur le site internet du GAFI : http://www.fatf-gafi.org/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8A" w:rsidRDefault="00BA518A" w:rsidP="00E829D6">
    <w:pPr>
      <w:pStyle w:val="Header"/>
      <w:tabs>
        <w:tab w:val="clear" w:pos="4394"/>
        <w:tab w:val="center" w:pos="4395"/>
      </w:tabs>
      <w:rPr>
        <w:lang w:val="nl-BE"/>
      </w:rPr>
    </w:pPr>
  </w:p>
  <w:p w:rsidR="00BA518A" w:rsidRPr="00BF29ED" w:rsidRDefault="00BA518A" w:rsidP="00E829D6">
    <w:pPr>
      <w:pStyle w:val="Header"/>
      <w:tabs>
        <w:tab w:val="clear" w:pos="4394"/>
        <w:tab w:val="center" w:pos="4395"/>
      </w:tabs>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8A" w:rsidRDefault="00BA518A" w:rsidP="00D850C8">
    <w:pPr>
      <w:pStyle w:val="Header"/>
      <w:rPr>
        <w:lang w:val="nl-BE"/>
      </w:rPr>
    </w:pPr>
  </w:p>
  <w:p w:rsidR="00BA518A" w:rsidRPr="00D850C8" w:rsidRDefault="00BA518A" w:rsidP="00D850C8">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4C596"/>
    <w:lvl w:ilvl="0">
      <w:start w:val="1"/>
      <w:numFmt w:val="decimal"/>
      <w:lvlText w:val="%1."/>
      <w:lvlJc w:val="left"/>
      <w:pPr>
        <w:tabs>
          <w:tab w:val="num" w:pos="1492"/>
        </w:tabs>
        <w:ind w:left="1492" w:hanging="360"/>
      </w:pPr>
    </w:lvl>
  </w:abstractNum>
  <w:abstractNum w:abstractNumId="1">
    <w:nsid w:val="FFFFFF7D"/>
    <w:multiLevelType w:val="singleLevel"/>
    <w:tmpl w:val="B456B8EA"/>
    <w:lvl w:ilvl="0">
      <w:start w:val="1"/>
      <w:numFmt w:val="decimal"/>
      <w:lvlText w:val="%1."/>
      <w:lvlJc w:val="left"/>
      <w:pPr>
        <w:tabs>
          <w:tab w:val="num" w:pos="1209"/>
        </w:tabs>
        <w:ind w:left="1209" w:hanging="360"/>
      </w:pPr>
    </w:lvl>
  </w:abstractNum>
  <w:abstractNum w:abstractNumId="2">
    <w:nsid w:val="FFFFFF7E"/>
    <w:multiLevelType w:val="singleLevel"/>
    <w:tmpl w:val="FB5CC4CE"/>
    <w:lvl w:ilvl="0">
      <w:start w:val="1"/>
      <w:numFmt w:val="decimal"/>
      <w:lvlText w:val="%1."/>
      <w:lvlJc w:val="left"/>
      <w:pPr>
        <w:tabs>
          <w:tab w:val="num" w:pos="926"/>
        </w:tabs>
        <w:ind w:left="926" w:hanging="360"/>
      </w:pPr>
    </w:lvl>
  </w:abstractNum>
  <w:abstractNum w:abstractNumId="3">
    <w:nsid w:val="FFFFFF7F"/>
    <w:multiLevelType w:val="singleLevel"/>
    <w:tmpl w:val="5A54D732"/>
    <w:lvl w:ilvl="0">
      <w:start w:val="1"/>
      <w:numFmt w:val="decimal"/>
      <w:lvlText w:val="%1."/>
      <w:lvlJc w:val="left"/>
      <w:pPr>
        <w:tabs>
          <w:tab w:val="num" w:pos="643"/>
        </w:tabs>
        <w:ind w:left="643" w:hanging="360"/>
      </w:pPr>
    </w:lvl>
  </w:abstractNum>
  <w:abstractNum w:abstractNumId="4">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C288AE"/>
    <w:lvl w:ilvl="0">
      <w:start w:val="1"/>
      <w:numFmt w:val="decimal"/>
      <w:lvlText w:val="%1."/>
      <w:lvlJc w:val="left"/>
      <w:pPr>
        <w:tabs>
          <w:tab w:val="num" w:pos="360"/>
        </w:tabs>
        <w:ind w:left="360" w:hanging="360"/>
      </w:pPr>
    </w:lvl>
  </w:abstractNum>
  <w:abstractNum w:abstractNumId="9">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nsid w:val="025F1506"/>
    <w:multiLevelType w:val="hybridMultilevel"/>
    <w:tmpl w:val="6074B1E0"/>
    <w:lvl w:ilvl="0" w:tplc="0B04FA40">
      <w:start w:val="1"/>
      <w:numFmt w:val="lowerLetter"/>
      <w:lvlText w:val="%1."/>
      <w:lvlJc w:val="left"/>
      <w:pPr>
        <w:ind w:left="1429"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07090AEC"/>
    <w:multiLevelType w:val="multilevel"/>
    <w:tmpl w:val="D3D89174"/>
    <w:lvl w:ilvl="0">
      <w:start w:val="1"/>
      <w:numFmt w:val="upperRoman"/>
      <w:lvlText w:val="%1."/>
      <w:lvlJc w:val="left"/>
      <w:pPr>
        <w:ind w:left="360" w:hanging="360"/>
      </w:pPr>
    </w:lvl>
    <w:lvl w:ilvl="1">
      <w:start w:val="1"/>
      <w:numFmt w:val="decimal"/>
      <w:isLgl/>
      <w:lvlText w:val="%1.%2"/>
      <w:lvlJc w:val="left"/>
      <w:pPr>
        <w:ind w:left="390" w:hanging="39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3">
    <w:nsid w:val="0F364267"/>
    <w:multiLevelType w:val="hybridMultilevel"/>
    <w:tmpl w:val="5BB8178C"/>
    <w:lvl w:ilvl="0" w:tplc="080C0001">
      <w:start w:val="1"/>
      <w:numFmt w:val="bullet"/>
      <w:lvlText w:val=""/>
      <w:lvlJc w:val="left"/>
      <w:pPr>
        <w:ind w:left="1125" w:hanging="360"/>
      </w:pPr>
      <w:rPr>
        <w:rFonts w:ascii="Symbol" w:hAnsi="Symbol" w:hint="default"/>
      </w:rPr>
    </w:lvl>
    <w:lvl w:ilvl="1" w:tplc="080C0003">
      <w:start w:val="1"/>
      <w:numFmt w:val="bullet"/>
      <w:lvlText w:val="o"/>
      <w:lvlJc w:val="left"/>
      <w:pPr>
        <w:ind w:left="1845" w:hanging="360"/>
      </w:pPr>
      <w:rPr>
        <w:rFonts w:ascii="Courier New" w:hAnsi="Courier New" w:cs="Courier New" w:hint="default"/>
      </w:rPr>
    </w:lvl>
    <w:lvl w:ilvl="2" w:tplc="080C0005">
      <w:start w:val="1"/>
      <w:numFmt w:val="bullet"/>
      <w:lvlText w:val=""/>
      <w:lvlJc w:val="left"/>
      <w:pPr>
        <w:ind w:left="2565" w:hanging="360"/>
      </w:pPr>
      <w:rPr>
        <w:rFonts w:ascii="Wingdings" w:hAnsi="Wingdings" w:hint="default"/>
      </w:rPr>
    </w:lvl>
    <w:lvl w:ilvl="3" w:tplc="080C0001">
      <w:start w:val="1"/>
      <w:numFmt w:val="bullet"/>
      <w:lvlText w:val=""/>
      <w:lvlJc w:val="left"/>
      <w:pPr>
        <w:ind w:left="3285" w:hanging="360"/>
      </w:pPr>
      <w:rPr>
        <w:rFonts w:ascii="Symbol" w:hAnsi="Symbol" w:hint="default"/>
      </w:rPr>
    </w:lvl>
    <w:lvl w:ilvl="4" w:tplc="080C0003">
      <w:start w:val="1"/>
      <w:numFmt w:val="bullet"/>
      <w:lvlText w:val="o"/>
      <w:lvlJc w:val="left"/>
      <w:pPr>
        <w:ind w:left="4005" w:hanging="360"/>
      </w:pPr>
      <w:rPr>
        <w:rFonts w:ascii="Courier New" w:hAnsi="Courier New" w:cs="Courier New" w:hint="default"/>
      </w:rPr>
    </w:lvl>
    <w:lvl w:ilvl="5" w:tplc="080C0005">
      <w:start w:val="1"/>
      <w:numFmt w:val="bullet"/>
      <w:lvlText w:val=""/>
      <w:lvlJc w:val="left"/>
      <w:pPr>
        <w:ind w:left="4725" w:hanging="360"/>
      </w:pPr>
      <w:rPr>
        <w:rFonts w:ascii="Wingdings" w:hAnsi="Wingdings" w:hint="default"/>
      </w:rPr>
    </w:lvl>
    <w:lvl w:ilvl="6" w:tplc="080C0001">
      <w:start w:val="1"/>
      <w:numFmt w:val="bullet"/>
      <w:lvlText w:val=""/>
      <w:lvlJc w:val="left"/>
      <w:pPr>
        <w:ind w:left="5445" w:hanging="360"/>
      </w:pPr>
      <w:rPr>
        <w:rFonts w:ascii="Symbol" w:hAnsi="Symbol" w:hint="default"/>
      </w:rPr>
    </w:lvl>
    <w:lvl w:ilvl="7" w:tplc="080C0003">
      <w:start w:val="1"/>
      <w:numFmt w:val="bullet"/>
      <w:lvlText w:val="o"/>
      <w:lvlJc w:val="left"/>
      <w:pPr>
        <w:ind w:left="6165" w:hanging="360"/>
      </w:pPr>
      <w:rPr>
        <w:rFonts w:ascii="Courier New" w:hAnsi="Courier New" w:cs="Courier New" w:hint="default"/>
      </w:rPr>
    </w:lvl>
    <w:lvl w:ilvl="8" w:tplc="080C0005">
      <w:start w:val="1"/>
      <w:numFmt w:val="bullet"/>
      <w:lvlText w:val=""/>
      <w:lvlJc w:val="left"/>
      <w:pPr>
        <w:ind w:left="6885" w:hanging="360"/>
      </w:pPr>
      <w:rPr>
        <w:rFonts w:ascii="Wingdings" w:hAnsi="Wingdings" w:hint="default"/>
      </w:rPr>
    </w:lvl>
  </w:abstractNum>
  <w:abstractNum w:abstractNumId="14">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5">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6">
    <w:nsid w:val="18DB385E"/>
    <w:multiLevelType w:val="hybridMultilevel"/>
    <w:tmpl w:val="776CEB3E"/>
    <w:lvl w:ilvl="0" w:tplc="ACB4EAB2">
      <w:start w:val="1"/>
      <w:numFmt w:val="low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61709FC"/>
    <w:multiLevelType w:val="multilevel"/>
    <w:tmpl w:val="934AF448"/>
    <w:lvl w:ilvl="0">
      <w:start w:val="1"/>
      <w:numFmt w:val="decimal"/>
      <w:lvlText w:val="%1."/>
      <w:lvlJc w:val="left"/>
      <w:pPr>
        <w:ind w:left="360" w:hanging="360"/>
      </w:pPr>
    </w:lvl>
    <w:lvl w:ilvl="1">
      <w:start w:val="1"/>
      <w:numFmt w:val="decimal"/>
      <w:isLgl/>
      <w:lvlText w:val="%1.%2"/>
      <w:lvlJc w:val="left"/>
      <w:pPr>
        <w:ind w:left="390" w:hanging="390"/>
      </w:pPr>
    </w:lvl>
    <w:lvl w:ilvl="2">
      <w:start w:val="1"/>
      <w:numFmt w:val="lowerLetter"/>
      <w:lvlText w:val="(%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20">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1">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2">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3">
    <w:nsid w:val="37C70A6B"/>
    <w:multiLevelType w:val="multilevel"/>
    <w:tmpl w:val="934AF448"/>
    <w:lvl w:ilvl="0">
      <w:start w:val="1"/>
      <w:numFmt w:val="decimal"/>
      <w:lvlText w:val="%1."/>
      <w:lvlJc w:val="left"/>
      <w:pPr>
        <w:ind w:left="360" w:hanging="360"/>
      </w:pPr>
    </w:lvl>
    <w:lvl w:ilvl="1">
      <w:start w:val="1"/>
      <w:numFmt w:val="decimal"/>
      <w:isLgl/>
      <w:lvlText w:val="%1.%2"/>
      <w:lvlJc w:val="left"/>
      <w:pPr>
        <w:ind w:left="390" w:hanging="390"/>
      </w:pPr>
    </w:lvl>
    <w:lvl w:ilvl="2">
      <w:start w:val="1"/>
      <w:numFmt w:val="lowerLetter"/>
      <w:lvlText w:val="(%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4">
    <w:nsid w:val="3ABC0FED"/>
    <w:multiLevelType w:val="multilevel"/>
    <w:tmpl w:val="F336F3E6"/>
    <w:lvl w:ilvl="0">
      <w:start w:val="1"/>
      <w:numFmt w:val="decimal"/>
      <w:lvlText w:val="%1."/>
      <w:lvlJc w:val="left"/>
      <w:pPr>
        <w:ind w:left="360" w:hanging="360"/>
      </w:pPr>
    </w:lvl>
    <w:lvl w:ilvl="1">
      <w:start w:val="1"/>
      <w:numFmt w:val="decimal"/>
      <w:isLgl/>
      <w:lvlText w:val="%1.%2"/>
      <w:lvlJc w:val="left"/>
      <w:pPr>
        <w:ind w:left="390" w:hanging="390"/>
      </w:pPr>
      <w:rPr>
        <w:strike w:val="0"/>
        <w:color w:val="auto"/>
      </w:rPr>
    </w:lvl>
    <w:lvl w:ilvl="2">
      <w:start w:val="1"/>
      <w:numFmt w:val="lowerLetter"/>
      <w:lvlText w:val="%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5">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5AC5C77"/>
    <w:multiLevelType w:val="hybridMultilevel"/>
    <w:tmpl w:val="176A7B2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56E30052"/>
    <w:multiLevelType w:val="hybridMultilevel"/>
    <w:tmpl w:val="B5A2760A"/>
    <w:lvl w:ilvl="0" w:tplc="F8581210">
      <w:start w:val="1"/>
      <w:numFmt w:val="bullet"/>
      <w:lvlText w:val="-"/>
      <w:lvlJc w:val="left"/>
      <w:pPr>
        <w:ind w:left="720" w:hanging="360"/>
      </w:pPr>
      <w:rPr>
        <w:rFonts w:ascii="Arial" w:hAnsi="Arial" w:hint="default"/>
        <w:b w:val="0"/>
        <w:sz w:val="20"/>
        <w:szCs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3">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5264116"/>
    <w:multiLevelType w:val="multilevel"/>
    <w:tmpl w:val="60ECAE10"/>
    <w:lvl w:ilvl="0">
      <w:start w:val="1"/>
      <w:numFmt w:val="decimal"/>
      <w:lvlText w:val="%1."/>
      <w:lvlJc w:val="left"/>
      <w:pPr>
        <w:ind w:left="360" w:hanging="360"/>
      </w:pPr>
    </w:lvl>
    <w:lvl w:ilvl="1">
      <w:start w:val="1"/>
      <w:numFmt w:val="lowerRoman"/>
      <w:lvlText w:val="%2)"/>
      <w:lvlJc w:val="left"/>
      <w:pPr>
        <w:ind w:left="390" w:hanging="390"/>
      </w:pPr>
    </w:lvl>
    <w:lvl w:ilvl="2">
      <w:start w:val="1"/>
      <w:numFmt w:val="lowerLetter"/>
      <w:lvlText w:val="(%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5">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9F812C8"/>
    <w:multiLevelType w:val="hybridMultilevel"/>
    <w:tmpl w:val="CD409E9E"/>
    <w:lvl w:ilvl="0" w:tplc="86C0016C">
      <w:numFmt w:val="bullet"/>
      <w:lvlText w:val="-"/>
      <w:lvlJc w:val="left"/>
      <w:pPr>
        <w:ind w:left="1074" w:hanging="360"/>
      </w:pPr>
      <w:rPr>
        <w:rFonts w:ascii="Arial" w:eastAsia="Times New Roman" w:hAnsi="Arial" w:cs="Aria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7">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3CE7AF1"/>
    <w:multiLevelType w:val="hybridMultilevel"/>
    <w:tmpl w:val="785A8588"/>
    <w:lvl w:ilvl="0" w:tplc="F41C627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41">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3"/>
  </w:num>
  <w:num w:numId="12">
    <w:abstractNumId w:val="26"/>
  </w:num>
  <w:num w:numId="13">
    <w:abstractNumId w:val="38"/>
  </w:num>
  <w:num w:numId="14">
    <w:abstractNumId w:val="28"/>
  </w:num>
  <w:num w:numId="15">
    <w:abstractNumId w:val="25"/>
  </w:num>
  <w:num w:numId="16">
    <w:abstractNumId w:val="17"/>
  </w:num>
  <w:num w:numId="17">
    <w:abstractNumId w:val="40"/>
  </w:num>
  <w:num w:numId="18">
    <w:abstractNumId w:val="15"/>
  </w:num>
  <w:num w:numId="19">
    <w:abstractNumId w:val="19"/>
  </w:num>
  <w:num w:numId="20">
    <w:abstractNumId w:val="41"/>
  </w:num>
  <w:num w:numId="21">
    <w:abstractNumId w:val="14"/>
  </w:num>
  <w:num w:numId="22">
    <w:abstractNumId w:val="31"/>
  </w:num>
  <w:num w:numId="23">
    <w:abstractNumId w:val="35"/>
  </w:num>
  <w:num w:numId="24">
    <w:abstractNumId w:val="21"/>
  </w:num>
  <w:num w:numId="25">
    <w:abstractNumId w:val="20"/>
  </w:num>
  <w:num w:numId="26">
    <w:abstractNumId w:val="32"/>
  </w:num>
  <w:num w:numId="27">
    <w:abstractNumId w:val="12"/>
  </w:num>
  <w:num w:numId="28">
    <w:abstractNumId w:val="22"/>
  </w:num>
  <w:num w:numId="29">
    <w:abstractNumId w:val="37"/>
  </w:num>
  <w:num w:numId="30">
    <w:abstractNumId w:val="27"/>
  </w:num>
  <w:num w:numId="31">
    <w:abstractNumId w:val="30"/>
  </w:num>
  <w:num w:numId="32">
    <w:abstractNumId w:val="29"/>
  </w:num>
  <w:num w:numId="33">
    <w:abstractNumId w:val="39"/>
  </w:num>
  <w:num w:numId="34">
    <w:abstractNumId w:val="1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3"/>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03"/>
    <w:rsid w:val="00015E8A"/>
    <w:rsid w:val="00024A9E"/>
    <w:rsid w:val="000252A1"/>
    <w:rsid w:val="000327D2"/>
    <w:rsid w:val="0003333C"/>
    <w:rsid w:val="00036E81"/>
    <w:rsid w:val="0004319E"/>
    <w:rsid w:val="0004570B"/>
    <w:rsid w:val="000506F2"/>
    <w:rsid w:val="00051F2C"/>
    <w:rsid w:val="00053A55"/>
    <w:rsid w:val="00053EEF"/>
    <w:rsid w:val="00055193"/>
    <w:rsid w:val="00062C1B"/>
    <w:rsid w:val="00064AC6"/>
    <w:rsid w:val="00082FA7"/>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0378F"/>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130A"/>
    <w:rsid w:val="001B1353"/>
    <w:rsid w:val="001B4EEE"/>
    <w:rsid w:val="001B7F21"/>
    <w:rsid w:val="001C2F68"/>
    <w:rsid w:val="001D22B9"/>
    <w:rsid w:val="001D503F"/>
    <w:rsid w:val="001F1805"/>
    <w:rsid w:val="001F711D"/>
    <w:rsid w:val="00200D79"/>
    <w:rsid w:val="00202B0B"/>
    <w:rsid w:val="00204BE8"/>
    <w:rsid w:val="002060B5"/>
    <w:rsid w:val="00215E02"/>
    <w:rsid w:val="00221231"/>
    <w:rsid w:val="00223911"/>
    <w:rsid w:val="002307B0"/>
    <w:rsid w:val="00231694"/>
    <w:rsid w:val="00231A42"/>
    <w:rsid w:val="002333AF"/>
    <w:rsid w:val="00233828"/>
    <w:rsid w:val="002406B2"/>
    <w:rsid w:val="002477FA"/>
    <w:rsid w:val="002554D2"/>
    <w:rsid w:val="00261D63"/>
    <w:rsid w:val="002754A4"/>
    <w:rsid w:val="00275C1C"/>
    <w:rsid w:val="00276804"/>
    <w:rsid w:val="00277EDB"/>
    <w:rsid w:val="002859A3"/>
    <w:rsid w:val="00287538"/>
    <w:rsid w:val="0028790D"/>
    <w:rsid w:val="00287C7A"/>
    <w:rsid w:val="002975D8"/>
    <w:rsid w:val="002B5743"/>
    <w:rsid w:val="002D5723"/>
    <w:rsid w:val="002D75B3"/>
    <w:rsid w:val="002E10A2"/>
    <w:rsid w:val="002E15B9"/>
    <w:rsid w:val="002E409B"/>
    <w:rsid w:val="002E4EB3"/>
    <w:rsid w:val="002E5144"/>
    <w:rsid w:val="002E7072"/>
    <w:rsid w:val="002E714A"/>
    <w:rsid w:val="002F1611"/>
    <w:rsid w:val="00304941"/>
    <w:rsid w:val="003116AA"/>
    <w:rsid w:val="003135E6"/>
    <w:rsid w:val="00316D90"/>
    <w:rsid w:val="00327AF4"/>
    <w:rsid w:val="003364D4"/>
    <w:rsid w:val="00336912"/>
    <w:rsid w:val="003419C5"/>
    <w:rsid w:val="00344E68"/>
    <w:rsid w:val="00351CD2"/>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2B8D"/>
    <w:rsid w:val="003E4928"/>
    <w:rsid w:val="003E5624"/>
    <w:rsid w:val="003F2836"/>
    <w:rsid w:val="003F792F"/>
    <w:rsid w:val="004003CC"/>
    <w:rsid w:val="00406C12"/>
    <w:rsid w:val="00407822"/>
    <w:rsid w:val="00412C56"/>
    <w:rsid w:val="0042595A"/>
    <w:rsid w:val="004275C8"/>
    <w:rsid w:val="004449B7"/>
    <w:rsid w:val="00450949"/>
    <w:rsid w:val="004540E1"/>
    <w:rsid w:val="00454C65"/>
    <w:rsid w:val="00456DEB"/>
    <w:rsid w:val="004619EE"/>
    <w:rsid w:val="00464101"/>
    <w:rsid w:val="004679FA"/>
    <w:rsid w:val="00477F18"/>
    <w:rsid w:val="00485F3C"/>
    <w:rsid w:val="00495B0F"/>
    <w:rsid w:val="004A477F"/>
    <w:rsid w:val="004A4C5C"/>
    <w:rsid w:val="004B400F"/>
    <w:rsid w:val="004C14FA"/>
    <w:rsid w:val="004C2424"/>
    <w:rsid w:val="004C6CD7"/>
    <w:rsid w:val="004D12DD"/>
    <w:rsid w:val="004E136D"/>
    <w:rsid w:val="004E188E"/>
    <w:rsid w:val="004F04DA"/>
    <w:rsid w:val="004F0F6B"/>
    <w:rsid w:val="004F41BA"/>
    <w:rsid w:val="005033DA"/>
    <w:rsid w:val="0050792E"/>
    <w:rsid w:val="0051268A"/>
    <w:rsid w:val="00532252"/>
    <w:rsid w:val="005361DD"/>
    <w:rsid w:val="00552963"/>
    <w:rsid w:val="0055492B"/>
    <w:rsid w:val="00557A3F"/>
    <w:rsid w:val="0056043D"/>
    <w:rsid w:val="005616A3"/>
    <w:rsid w:val="00561A9A"/>
    <w:rsid w:val="00567693"/>
    <w:rsid w:val="00571A24"/>
    <w:rsid w:val="00573A08"/>
    <w:rsid w:val="00582D56"/>
    <w:rsid w:val="005871D1"/>
    <w:rsid w:val="00592469"/>
    <w:rsid w:val="00592957"/>
    <w:rsid w:val="005932C7"/>
    <w:rsid w:val="0059396D"/>
    <w:rsid w:val="005A27B5"/>
    <w:rsid w:val="005A3DA7"/>
    <w:rsid w:val="005A529B"/>
    <w:rsid w:val="005B4C1C"/>
    <w:rsid w:val="005C1B25"/>
    <w:rsid w:val="005C3450"/>
    <w:rsid w:val="005C3B2D"/>
    <w:rsid w:val="005C3F84"/>
    <w:rsid w:val="005E33F6"/>
    <w:rsid w:val="005F1303"/>
    <w:rsid w:val="00606B88"/>
    <w:rsid w:val="006107D5"/>
    <w:rsid w:val="00610B4E"/>
    <w:rsid w:val="00611E02"/>
    <w:rsid w:val="00627AF2"/>
    <w:rsid w:val="0063089E"/>
    <w:rsid w:val="006316A4"/>
    <w:rsid w:val="00631E3C"/>
    <w:rsid w:val="00634558"/>
    <w:rsid w:val="00635750"/>
    <w:rsid w:val="00635AD7"/>
    <w:rsid w:val="00635DCE"/>
    <w:rsid w:val="006372C7"/>
    <w:rsid w:val="006376E3"/>
    <w:rsid w:val="006506E6"/>
    <w:rsid w:val="00651843"/>
    <w:rsid w:val="00653A88"/>
    <w:rsid w:val="006602F1"/>
    <w:rsid w:val="00661E1D"/>
    <w:rsid w:val="006626A0"/>
    <w:rsid w:val="00667481"/>
    <w:rsid w:val="006703F5"/>
    <w:rsid w:val="0067198D"/>
    <w:rsid w:val="0068065A"/>
    <w:rsid w:val="00683802"/>
    <w:rsid w:val="0069769C"/>
    <w:rsid w:val="00697F48"/>
    <w:rsid w:val="006A3829"/>
    <w:rsid w:val="006B6BFC"/>
    <w:rsid w:val="006E4062"/>
    <w:rsid w:val="006E7D13"/>
    <w:rsid w:val="00702DA6"/>
    <w:rsid w:val="00706B32"/>
    <w:rsid w:val="0071004E"/>
    <w:rsid w:val="00714070"/>
    <w:rsid w:val="007148AA"/>
    <w:rsid w:val="00715003"/>
    <w:rsid w:val="00730DDA"/>
    <w:rsid w:val="00733829"/>
    <w:rsid w:val="00733DE9"/>
    <w:rsid w:val="00741E9C"/>
    <w:rsid w:val="007435A3"/>
    <w:rsid w:val="0074376B"/>
    <w:rsid w:val="007459B1"/>
    <w:rsid w:val="00745D36"/>
    <w:rsid w:val="00750B57"/>
    <w:rsid w:val="00752FC4"/>
    <w:rsid w:val="00763050"/>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5D9"/>
    <w:rsid w:val="007F5AF5"/>
    <w:rsid w:val="007F78DB"/>
    <w:rsid w:val="00804480"/>
    <w:rsid w:val="00804529"/>
    <w:rsid w:val="00805AFA"/>
    <w:rsid w:val="0081015C"/>
    <w:rsid w:val="00814FBE"/>
    <w:rsid w:val="00820E51"/>
    <w:rsid w:val="00821F74"/>
    <w:rsid w:val="00822375"/>
    <w:rsid w:val="00824A23"/>
    <w:rsid w:val="00836C05"/>
    <w:rsid w:val="008437C4"/>
    <w:rsid w:val="00843F67"/>
    <w:rsid w:val="00847145"/>
    <w:rsid w:val="008503E8"/>
    <w:rsid w:val="008837CF"/>
    <w:rsid w:val="00891417"/>
    <w:rsid w:val="008934C9"/>
    <w:rsid w:val="00896CFE"/>
    <w:rsid w:val="008977A1"/>
    <w:rsid w:val="008C4032"/>
    <w:rsid w:val="008D288C"/>
    <w:rsid w:val="008E0D65"/>
    <w:rsid w:val="008E4EF7"/>
    <w:rsid w:val="008E5948"/>
    <w:rsid w:val="008E6931"/>
    <w:rsid w:val="008E6C2C"/>
    <w:rsid w:val="0090354E"/>
    <w:rsid w:val="0090398E"/>
    <w:rsid w:val="00905D03"/>
    <w:rsid w:val="0091265E"/>
    <w:rsid w:val="00914031"/>
    <w:rsid w:val="00932175"/>
    <w:rsid w:val="00935B26"/>
    <w:rsid w:val="00936480"/>
    <w:rsid w:val="00937808"/>
    <w:rsid w:val="00940C81"/>
    <w:rsid w:val="009417CD"/>
    <w:rsid w:val="00942B19"/>
    <w:rsid w:val="00942EE2"/>
    <w:rsid w:val="009466D6"/>
    <w:rsid w:val="00950C45"/>
    <w:rsid w:val="00954143"/>
    <w:rsid w:val="009600D3"/>
    <w:rsid w:val="009669B1"/>
    <w:rsid w:val="00974952"/>
    <w:rsid w:val="00983714"/>
    <w:rsid w:val="00985229"/>
    <w:rsid w:val="00987DEA"/>
    <w:rsid w:val="00991E7A"/>
    <w:rsid w:val="009930F0"/>
    <w:rsid w:val="009939BE"/>
    <w:rsid w:val="00994BF4"/>
    <w:rsid w:val="00997257"/>
    <w:rsid w:val="009A0346"/>
    <w:rsid w:val="009A140C"/>
    <w:rsid w:val="009B132A"/>
    <w:rsid w:val="009B5175"/>
    <w:rsid w:val="009B6FA0"/>
    <w:rsid w:val="009C0BC7"/>
    <w:rsid w:val="009D10D0"/>
    <w:rsid w:val="009D1225"/>
    <w:rsid w:val="009D15BD"/>
    <w:rsid w:val="009D277D"/>
    <w:rsid w:val="009D3040"/>
    <w:rsid w:val="009D3082"/>
    <w:rsid w:val="009D784B"/>
    <w:rsid w:val="009E2A0A"/>
    <w:rsid w:val="009E56DB"/>
    <w:rsid w:val="009F0C0B"/>
    <w:rsid w:val="00A01013"/>
    <w:rsid w:val="00A06B19"/>
    <w:rsid w:val="00A11F91"/>
    <w:rsid w:val="00A122B7"/>
    <w:rsid w:val="00A141C9"/>
    <w:rsid w:val="00A147E1"/>
    <w:rsid w:val="00A16F91"/>
    <w:rsid w:val="00A1738C"/>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2D53"/>
    <w:rsid w:val="00A876D8"/>
    <w:rsid w:val="00A912F7"/>
    <w:rsid w:val="00A973C8"/>
    <w:rsid w:val="00AA074E"/>
    <w:rsid w:val="00AB4D11"/>
    <w:rsid w:val="00AB5B67"/>
    <w:rsid w:val="00AB5F38"/>
    <w:rsid w:val="00AB6BD9"/>
    <w:rsid w:val="00AC0B2F"/>
    <w:rsid w:val="00AC619F"/>
    <w:rsid w:val="00AD63CC"/>
    <w:rsid w:val="00AD7BAB"/>
    <w:rsid w:val="00AE028E"/>
    <w:rsid w:val="00AE0FA5"/>
    <w:rsid w:val="00AF67F5"/>
    <w:rsid w:val="00AF77D2"/>
    <w:rsid w:val="00B04933"/>
    <w:rsid w:val="00B11BB2"/>
    <w:rsid w:val="00B144C0"/>
    <w:rsid w:val="00B338D7"/>
    <w:rsid w:val="00B34FEF"/>
    <w:rsid w:val="00B352D4"/>
    <w:rsid w:val="00B35D27"/>
    <w:rsid w:val="00B402AF"/>
    <w:rsid w:val="00B404A0"/>
    <w:rsid w:val="00B41942"/>
    <w:rsid w:val="00B44C6F"/>
    <w:rsid w:val="00B44D45"/>
    <w:rsid w:val="00B46BAE"/>
    <w:rsid w:val="00B52F2E"/>
    <w:rsid w:val="00B600AA"/>
    <w:rsid w:val="00B614D1"/>
    <w:rsid w:val="00B63B89"/>
    <w:rsid w:val="00B661C8"/>
    <w:rsid w:val="00B71DAA"/>
    <w:rsid w:val="00B80CFD"/>
    <w:rsid w:val="00B859E5"/>
    <w:rsid w:val="00B908B1"/>
    <w:rsid w:val="00B91BB5"/>
    <w:rsid w:val="00B92424"/>
    <w:rsid w:val="00B97B40"/>
    <w:rsid w:val="00BA1CD4"/>
    <w:rsid w:val="00BA510B"/>
    <w:rsid w:val="00BA518A"/>
    <w:rsid w:val="00BB7D2E"/>
    <w:rsid w:val="00BC351F"/>
    <w:rsid w:val="00BD110A"/>
    <w:rsid w:val="00BD7A38"/>
    <w:rsid w:val="00BE0CD8"/>
    <w:rsid w:val="00BF29ED"/>
    <w:rsid w:val="00BF5C8A"/>
    <w:rsid w:val="00C02115"/>
    <w:rsid w:val="00C0402A"/>
    <w:rsid w:val="00C0490F"/>
    <w:rsid w:val="00C079B3"/>
    <w:rsid w:val="00C24707"/>
    <w:rsid w:val="00C33CD7"/>
    <w:rsid w:val="00C34E1C"/>
    <w:rsid w:val="00C36FEA"/>
    <w:rsid w:val="00C40C62"/>
    <w:rsid w:val="00C474DC"/>
    <w:rsid w:val="00C47857"/>
    <w:rsid w:val="00C5236C"/>
    <w:rsid w:val="00C5387A"/>
    <w:rsid w:val="00C563FE"/>
    <w:rsid w:val="00C61050"/>
    <w:rsid w:val="00C634C5"/>
    <w:rsid w:val="00C641E4"/>
    <w:rsid w:val="00C66480"/>
    <w:rsid w:val="00C67806"/>
    <w:rsid w:val="00C753E9"/>
    <w:rsid w:val="00C81B69"/>
    <w:rsid w:val="00C84EA1"/>
    <w:rsid w:val="00C86E3A"/>
    <w:rsid w:val="00C90176"/>
    <w:rsid w:val="00C9043A"/>
    <w:rsid w:val="00C93C01"/>
    <w:rsid w:val="00C94B35"/>
    <w:rsid w:val="00C961A9"/>
    <w:rsid w:val="00CA5A74"/>
    <w:rsid w:val="00CB2202"/>
    <w:rsid w:val="00CB30C8"/>
    <w:rsid w:val="00CB4A52"/>
    <w:rsid w:val="00CC0365"/>
    <w:rsid w:val="00CC4296"/>
    <w:rsid w:val="00CC5641"/>
    <w:rsid w:val="00CE5D84"/>
    <w:rsid w:val="00CF4C6B"/>
    <w:rsid w:val="00CF6318"/>
    <w:rsid w:val="00CF63B4"/>
    <w:rsid w:val="00D00492"/>
    <w:rsid w:val="00D05113"/>
    <w:rsid w:val="00D0540B"/>
    <w:rsid w:val="00D06A39"/>
    <w:rsid w:val="00D231CE"/>
    <w:rsid w:val="00D25CC0"/>
    <w:rsid w:val="00D2603A"/>
    <w:rsid w:val="00D2703D"/>
    <w:rsid w:val="00D31A72"/>
    <w:rsid w:val="00D32B1A"/>
    <w:rsid w:val="00D346B5"/>
    <w:rsid w:val="00D36C5D"/>
    <w:rsid w:val="00D41810"/>
    <w:rsid w:val="00D423C7"/>
    <w:rsid w:val="00D42432"/>
    <w:rsid w:val="00D527DE"/>
    <w:rsid w:val="00D556C0"/>
    <w:rsid w:val="00D61B88"/>
    <w:rsid w:val="00D62D9B"/>
    <w:rsid w:val="00D63DA6"/>
    <w:rsid w:val="00D650B1"/>
    <w:rsid w:val="00D718C9"/>
    <w:rsid w:val="00D75B6C"/>
    <w:rsid w:val="00D82C98"/>
    <w:rsid w:val="00D850C8"/>
    <w:rsid w:val="00D96EDC"/>
    <w:rsid w:val="00DA51C9"/>
    <w:rsid w:val="00DB1E1F"/>
    <w:rsid w:val="00DB31C8"/>
    <w:rsid w:val="00DC0B0F"/>
    <w:rsid w:val="00DC1B28"/>
    <w:rsid w:val="00DC727C"/>
    <w:rsid w:val="00DD0C56"/>
    <w:rsid w:val="00DD1D39"/>
    <w:rsid w:val="00DD2826"/>
    <w:rsid w:val="00DE2B1B"/>
    <w:rsid w:val="00DF3B32"/>
    <w:rsid w:val="00DF758C"/>
    <w:rsid w:val="00DF7D48"/>
    <w:rsid w:val="00E04E63"/>
    <w:rsid w:val="00E07CCE"/>
    <w:rsid w:val="00E13E2F"/>
    <w:rsid w:val="00E13E61"/>
    <w:rsid w:val="00E162FC"/>
    <w:rsid w:val="00E16B13"/>
    <w:rsid w:val="00E22E1D"/>
    <w:rsid w:val="00E26ABD"/>
    <w:rsid w:val="00E348BA"/>
    <w:rsid w:val="00E34A80"/>
    <w:rsid w:val="00E34C21"/>
    <w:rsid w:val="00E36D9F"/>
    <w:rsid w:val="00E471A8"/>
    <w:rsid w:val="00E65C86"/>
    <w:rsid w:val="00E66CEF"/>
    <w:rsid w:val="00E73749"/>
    <w:rsid w:val="00E759E4"/>
    <w:rsid w:val="00E767B9"/>
    <w:rsid w:val="00E77B8A"/>
    <w:rsid w:val="00E829D6"/>
    <w:rsid w:val="00E87276"/>
    <w:rsid w:val="00E9511F"/>
    <w:rsid w:val="00E966D1"/>
    <w:rsid w:val="00EA0613"/>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45CF0"/>
    <w:rsid w:val="00F46310"/>
    <w:rsid w:val="00F55AC8"/>
    <w:rsid w:val="00F57B63"/>
    <w:rsid w:val="00F62B97"/>
    <w:rsid w:val="00F63335"/>
    <w:rsid w:val="00F64E38"/>
    <w:rsid w:val="00F65486"/>
    <w:rsid w:val="00F747FC"/>
    <w:rsid w:val="00F76523"/>
    <w:rsid w:val="00F8157C"/>
    <w:rsid w:val="00F8549F"/>
    <w:rsid w:val="00F917ED"/>
    <w:rsid w:val="00FA14B8"/>
    <w:rsid w:val="00FA56DE"/>
    <w:rsid w:val="00FB03CF"/>
    <w:rsid w:val="00FC52B7"/>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link w:val="FootnoteTextChar"/>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3E5624"/>
    <w:pPr>
      <w:spacing w:line="260" w:lineRule="atLeast"/>
    </w:pPr>
    <w:rPr>
      <w:rFonts w:ascii="Arial" w:hAnsi="Arial"/>
      <w:b/>
      <w:noProof/>
      <w:sz w:val="24"/>
      <w:szCs w:val="16"/>
      <w:lang w:val="fr-FR" w:eastAsia="en-US"/>
    </w:rPr>
  </w:style>
  <w:style w:type="paragraph" w:styleId="ListParagraph">
    <w:name w:val="List Paragraph"/>
    <w:basedOn w:val="Normal"/>
    <w:uiPriority w:val="34"/>
    <w:qFormat/>
    <w:rsid w:val="003E5624"/>
    <w:pPr>
      <w:tabs>
        <w:tab w:val="clear" w:pos="284"/>
      </w:tabs>
      <w:spacing w:line="260" w:lineRule="atLeast"/>
      <w:ind w:left="720"/>
      <w:contextualSpacing/>
      <w:jc w:val="both"/>
    </w:pPr>
  </w:style>
  <w:style w:type="character" w:styleId="FollowedHyperlink">
    <w:name w:val="FollowedHyperlink"/>
    <w:basedOn w:val="DefaultParagraphFont"/>
    <w:rsid w:val="00B71DAA"/>
    <w:rPr>
      <w:color w:val="800080" w:themeColor="followedHyperlink"/>
      <w:u w:val="single"/>
    </w:rPr>
  </w:style>
  <w:style w:type="character" w:customStyle="1" w:styleId="FootnoteTextChar">
    <w:name w:val="Footnote Text Char"/>
    <w:basedOn w:val="DefaultParagraphFont"/>
    <w:link w:val="FootnoteText"/>
    <w:semiHidden/>
    <w:rsid w:val="00FC52B7"/>
    <w:rPr>
      <w:rFonts w:ascii="Arial" w:hAnsi="Arial"/>
      <w:sz w:val="18"/>
      <w:lang w:val="en-GB" w:eastAsia="en-US"/>
    </w:rPr>
  </w:style>
  <w:style w:type="table" w:customStyle="1" w:styleId="TableGrid1">
    <w:name w:val="Table Grid1"/>
    <w:basedOn w:val="TableNormal"/>
    <w:rsid w:val="00FC52B7"/>
    <w:pPr>
      <w:spacing w:line="240" w:lineRule="atLeast"/>
    </w:pPr>
    <w:rPr>
      <w:rFonts w:ascii="Arial" w:hAnsi="Arial"/>
    </w:rPr>
    <w:tblPr/>
  </w:style>
  <w:style w:type="table" w:customStyle="1" w:styleId="TableGrid2">
    <w:name w:val="Table Grid2"/>
    <w:basedOn w:val="TableNormal"/>
    <w:rsid w:val="00FC5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D22B9"/>
    <w:rPr>
      <w:sz w:val="16"/>
      <w:szCs w:val="16"/>
    </w:rPr>
  </w:style>
  <w:style w:type="paragraph" w:styleId="CommentText">
    <w:name w:val="annotation text"/>
    <w:basedOn w:val="Normal"/>
    <w:link w:val="CommentTextChar"/>
    <w:rsid w:val="001D22B9"/>
    <w:pPr>
      <w:spacing w:line="240" w:lineRule="auto"/>
    </w:pPr>
  </w:style>
  <w:style w:type="character" w:customStyle="1" w:styleId="CommentTextChar">
    <w:name w:val="Comment Text Char"/>
    <w:basedOn w:val="DefaultParagraphFont"/>
    <w:link w:val="CommentText"/>
    <w:rsid w:val="001D22B9"/>
    <w:rPr>
      <w:rFonts w:ascii="Arial" w:hAnsi="Arial"/>
      <w:lang w:val="en-GB" w:eastAsia="en-US"/>
    </w:rPr>
  </w:style>
  <w:style w:type="paragraph" w:styleId="CommentSubject">
    <w:name w:val="annotation subject"/>
    <w:basedOn w:val="CommentText"/>
    <w:next w:val="CommentText"/>
    <w:link w:val="CommentSubjectChar"/>
    <w:rsid w:val="001D22B9"/>
    <w:rPr>
      <w:b/>
      <w:bCs/>
    </w:rPr>
  </w:style>
  <w:style w:type="character" w:customStyle="1" w:styleId="CommentSubjectChar">
    <w:name w:val="Comment Subject Char"/>
    <w:basedOn w:val="CommentTextChar"/>
    <w:link w:val="CommentSubject"/>
    <w:rsid w:val="001D22B9"/>
    <w:rPr>
      <w:rFonts w:ascii="Arial" w:hAnsi="Arial"/>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link w:val="FootnoteTextChar"/>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3E5624"/>
    <w:pPr>
      <w:spacing w:line="260" w:lineRule="atLeast"/>
    </w:pPr>
    <w:rPr>
      <w:rFonts w:ascii="Arial" w:hAnsi="Arial"/>
      <w:b/>
      <w:noProof/>
      <w:sz w:val="24"/>
      <w:szCs w:val="16"/>
      <w:lang w:val="fr-FR" w:eastAsia="en-US"/>
    </w:rPr>
  </w:style>
  <w:style w:type="paragraph" w:styleId="ListParagraph">
    <w:name w:val="List Paragraph"/>
    <w:basedOn w:val="Normal"/>
    <w:uiPriority w:val="34"/>
    <w:qFormat/>
    <w:rsid w:val="003E5624"/>
    <w:pPr>
      <w:tabs>
        <w:tab w:val="clear" w:pos="284"/>
      </w:tabs>
      <w:spacing w:line="260" w:lineRule="atLeast"/>
      <w:ind w:left="720"/>
      <w:contextualSpacing/>
      <w:jc w:val="both"/>
    </w:pPr>
  </w:style>
  <w:style w:type="character" w:styleId="FollowedHyperlink">
    <w:name w:val="FollowedHyperlink"/>
    <w:basedOn w:val="DefaultParagraphFont"/>
    <w:rsid w:val="00B71DAA"/>
    <w:rPr>
      <w:color w:val="800080" w:themeColor="followedHyperlink"/>
      <w:u w:val="single"/>
    </w:rPr>
  </w:style>
  <w:style w:type="character" w:customStyle="1" w:styleId="FootnoteTextChar">
    <w:name w:val="Footnote Text Char"/>
    <w:basedOn w:val="DefaultParagraphFont"/>
    <w:link w:val="FootnoteText"/>
    <w:semiHidden/>
    <w:rsid w:val="00FC52B7"/>
    <w:rPr>
      <w:rFonts w:ascii="Arial" w:hAnsi="Arial"/>
      <w:sz w:val="18"/>
      <w:lang w:val="en-GB" w:eastAsia="en-US"/>
    </w:rPr>
  </w:style>
  <w:style w:type="table" w:customStyle="1" w:styleId="TableGrid1">
    <w:name w:val="Table Grid1"/>
    <w:basedOn w:val="TableNormal"/>
    <w:rsid w:val="00FC52B7"/>
    <w:pPr>
      <w:spacing w:line="240" w:lineRule="atLeast"/>
    </w:pPr>
    <w:rPr>
      <w:rFonts w:ascii="Arial" w:hAnsi="Arial"/>
    </w:rPr>
    <w:tblPr/>
  </w:style>
  <w:style w:type="table" w:customStyle="1" w:styleId="TableGrid2">
    <w:name w:val="Table Grid2"/>
    <w:basedOn w:val="TableNormal"/>
    <w:rsid w:val="00FC5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D22B9"/>
    <w:rPr>
      <w:sz w:val="16"/>
      <w:szCs w:val="16"/>
    </w:rPr>
  </w:style>
  <w:style w:type="paragraph" w:styleId="CommentText">
    <w:name w:val="annotation text"/>
    <w:basedOn w:val="Normal"/>
    <w:link w:val="CommentTextChar"/>
    <w:rsid w:val="001D22B9"/>
    <w:pPr>
      <w:spacing w:line="240" w:lineRule="auto"/>
    </w:pPr>
  </w:style>
  <w:style w:type="character" w:customStyle="1" w:styleId="CommentTextChar">
    <w:name w:val="Comment Text Char"/>
    <w:basedOn w:val="DefaultParagraphFont"/>
    <w:link w:val="CommentText"/>
    <w:rsid w:val="001D22B9"/>
    <w:rPr>
      <w:rFonts w:ascii="Arial" w:hAnsi="Arial"/>
      <w:lang w:val="en-GB" w:eastAsia="en-US"/>
    </w:rPr>
  </w:style>
  <w:style w:type="paragraph" w:styleId="CommentSubject">
    <w:name w:val="annotation subject"/>
    <w:basedOn w:val="CommentText"/>
    <w:next w:val="CommentText"/>
    <w:link w:val="CommentSubjectChar"/>
    <w:rsid w:val="001D22B9"/>
    <w:rPr>
      <w:b/>
      <w:bCs/>
    </w:rPr>
  </w:style>
  <w:style w:type="character" w:customStyle="1" w:styleId="CommentSubjectChar">
    <w:name w:val="Comment Subject Char"/>
    <w:basedOn w:val="CommentTextChar"/>
    <w:link w:val="CommentSubject"/>
    <w:rsid w:val="001D22B9"/>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29600">
      <w:bodyDiv w:val="1"/>
      <w:marLeft w:val="0"/>
      <w:marRight w:val="0"/>
      <w:marTop w:val="0"/>
      <w:marBottom w:val="0"/>
      <w:divBdr>
        <w:top w:val="none" w:sz="0" w:space="0" w:color="auto"/>
        <w:left w:val="none" w:sz="0" w:space="0" w:color="auto"/>
        <w:bottom w:val="none" w:sz="0" w:space="0" w:color="auto"/>
        <w:right w:val="none" w:sz="0" w:space="0" w:color="auto"/>
      </w:divBdr>
      <w:divsChild>
        <w:div w:id="1500387187">
          <w:marLeft w:val="0"/>
          <w:marRight w:val="0"/>
          <w:marTop w:val="0"/>
          <w:marBottom w:val="0"/>
          <w:divBdr>
            <w:top w:val="none" w:sz="0" w:space="0" w:color="auto"/>
            <w:left w:val="none" w:sz="0" w:space="0" w:color="auto"/>
            <w:bottom w:val="none" w:sz="0" w:space="0" w:color="auto"/>
            <w:right w:val="none" w:sz="0" w:space="0" w:color="auto"/>
          </w:divBdr>
        </w:div>
      </w:divsChild>
    </w:div>
    <w:div w:id="1520004869">
      <w:bodyDiv w:val="1"/>
      <w:marLeft w:val="0"/>
      <w:marRight w:val="0"/>
      <w:marTop w:val="0"/>
      <w:marBottom w:val="0"/>
      <w:divBdr>
        <w:top w:val="none" w:sz="0" w:space="0" w:color="auto"/>
        <w:left w:val="none" w:sz="0" w:space="0" w:color="auto"/>
        <w:bottom w:val="none" w:sz="0" w:space="0" w:color="auto"/>
        <w:right w:val="none" w:sz="0" w:space="0" w:color="auto"/>
      </w:divBdr>
      <w:divsChild>
        <w:div w:id="177961728">
          <w:marLeft w:val="0"/>
          <w:marRight w:val="0"/>
          <w:marTop w:val="120"/>
          <w:marBottom w:val="120"/>
          <w:divBdr>
            <w:top w:val="none" w:sz="0" w:space="0" w:color="auto"/>
            <w:left w:val="none" w:sz="0" w:space="0" w:color="auto"/>
            <w:bottom w:val="none" w:sz="0" w:space="0" w:color="auto"/>
            <w:right w:val="none" w:sz="0" w:space="0" w:color="auto"/>
          </w:divBdr>
        </w:div>
      </w:divsChild>
    </w:div>
    <w:div w:id="1596791516">
      <w:bodyDiv w:val="1"/>
      <w:marLeft w:val="0"/>
      <w:marRight w:val="0"/>
      <w:marTop w:val="0"/>
      <w:marBottom w:val="0"/>
      <w:divBdr>
        <w:top w:val="none" w:sz="0" w:space="0" w:color="auto"/>
        <w:left w:val="none" w:sz="0" w:space="0" w:color="auto"/>
        <w:bottom w:val="none" w:sz="0" w:space="0" w:color="auto"/>
        <w:right w:val="none" w:sz="0" w:space="0" w:color="auto"/>
      </w:divBdr>
      <w:divsChild>
        <w:div w:id="637758541">
          <w:marLeft w:val="0"/>
          <w:marRight w:val="0"/>
          <w:marTop w:val="0"/>
          <w:marBottom w:val="0"/>
          <w:divBdr>
            <w:top w:val="none" w:sz="0" w:space="0" w:color="auto"/>
            <w:left w:val="none" w:sz="0" w:space="0" w:color="auto"/>
            <w:bottom w:val="none" w:sz="0" w:space="0" w:color="auto"/>
            <w:right w:val="none" w:sz="0" w:space="0" w:color="auto"/>
          </w:divBdr>
        </w:div>
      </w:divsChild>
    </w:div>
    <w:div w:id="205877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B3C09-3C0C-4D60-AD27-0579AAF2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1</TotalTime>
  <Pages>11</Pages>
  <Words>3125</Words>
  <Characters>17819</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20903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Maïté</dc:creator>
  <cp:lastModifiedBy>Arys Viviane</cp:lastModifiedBy>
  <cp:revision>2</cp:revision>
  <cp:lastPrinted>2016-10-26T09:48:00Z</cp:lastPrinted>
  <dcterms:created xsi:type="dcterms:W3CDTF">2016-11-08T09:30:00Z</dcterms:created>
  <dcterms:modified xsi:type="dcterms:W3CDTF">2016-11-08T09:30:00Z</dcterms:modified>
</cp:coreProperties>
</file>