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113" w:type="dxa"/>
          <w:right w:w="0" w:type="dxa"/>
        </w:tblCellMar>
        <w:tblLook w:val="01E0" w:firstRow="1" w:lastRow="1" w:firstColumn="1" w:lastColumn="1" w:noHBand="0" w:noVBand="0"/>
      </w:tblPr>
      <w:tblGrid>
        <w:gridCol w:w="6067"/>
        <w:gridCol w:w="3856"/>
      </w:tblGrid>
      <w:tr w:rsidR="003E5624" w:rsidRPr="006B4C0E" w:rsidTr="00C8519A">
        <w:trPr>
          <w:cantSplit/>
          <w:trHeight w:hRule="exact" w:val="1077"/>
        </w:trPr>
        <w:tc>
          <w:tcPr>
            <w:tcW w:w="6067" w:type="dxa"/>
            <w:vAlign w:val="center"/>
          </w:tcPr>
          <w:p w:rsidR="003E5624" w:rsidRPr="006B4C0E" w:rsidRDefault="003E5624" w:rsidP="00C8519A">
            <w:pPr>
              <w:pStyle w:val="AdresseAdres"/>
              <w:spacing w:before="300"/>
              <w:rPr>
                <w:noProof w:val="0"/>
                <w:lang w:val="fr-BE"/>
              </w:rPr>
            </w:pPr>
            <w:bookmarkStart w:id="0" w:name="_GoBack"/>
            <w:bookmarkEnd w:id="0"/>
            <w:r w:rsidRPr="006B4C0E">
              <w:rPr>
                <w:noProof w:val="0"/>
                <w:lang w:val="fr-BE"/>
              </w:rPr>
              <w:t>boulevard de Berlaimont 14 – BE-1000 Bruxelles</w:t>
            </w:r>
          </w:p>
          <w:p w:rsidR="003E5624" w:rsidRPr="006B4C0E" w:rsidRDefault="003E5624" w:rsidP="00C8519A">
            <w:pPr>
              <w:pStyle w:val="AdresseAdres"/>
              <w:rPr>
                <w:noProof w:val="0"/>
                <w:lang w:val="fr-BE"/>
              </w:rPr>
            </w:pPr>
            <w:r w:rsidRPr="006B4C0E">
              <w:rPr>
                <w:noProof w:val="0"/>
                <w:lang w:val="fr-BE"/>
              </w:rPr>
              <w:t>tél. +32 2 221 3</w:t>
            </w:r>
            <w:r w:rsidR="00327AF4" w:rsidRPr="006B4C0E">
              <w:rPr>
                <w:noProof w:val="0"/>
                <w:lang w:val="fr-BE"/>
              </w:rPr>
              <w:t>8</w:t>
            </w:r>
            <w:r w:rsidRPr="006B4C0E">
              <w:rPr>
                <w:noProof w:val="0"/>
                <w:lang w:val="fr-BE"/>
              </w:rPr>
              <w:t xml:space="preserve"> 12 – fax + 32 2 221 31 04</w:t>
            </w:r>
          </w:p>
          <w:p w:rsidR="003E5624" w:rsidRPr="006B4C0E" w:rsidRDefault="003E5624" w:rsidP="00C8519A">
            <w:pPr>
              <w:pStyle w:val="AdresseAdres"/>
              <w:rPr>
                <w:noProof w:val="0"/>
                <w:lang w:val="fr-BE"/>
              </w:rPr>
            </w:pPr>
            <w:r w:rsidRPr="006B4C0E">
              <w:rPr>
                <w:noProof w:val="0"/>
                <w:lang w:val="fr-BE"/>
              </w:rPr>
              <w:t>numéro d’entreprise: 0203.201.340</w:t>
            </w:r>
          </w:p>
          <w:p w:rsidR="003E5624" w:rsidRPr="006B4C0E" w:rsidRDefault="003E5624" w:rsidP="00C8519A">
            <w:pPr>
              <w:pStyle w:val="AdresseAdres"/>
              <w:rPr>
                <w:noProof w:val="0"/>
                <w:lang w:val="fr-BE"/>
              </w:rPr>
            </w:pPr>
            <w:r w:rsidRPr="006B4C0E">
              <w:rPr>
                <w:noProof w:val="0"/>
                <w:lang w:val="fr-BE"/>
              </w:rPr>
              <w:t>RPM Bruxelles</w:t>
            </w:r>
          </w:p>
          <w:p w:rsidR="003E5624" w:rsidRPr="006B4C0E" w:rsidRDefault="003E5624" w:rsidP="003E5624">
            <w:pPr>
              <w:pStyle w:val="AdresseAdres"/>
              <w:rPr>
                <w:noProof w:val="0"/>
                <w:lang w:val="fr-BE"/>
              </w:rPr>
            </w:pPr>
            <w:r w:rsidRPr="006B4C0E">
              <w:rPr>
                <w:noProof w:val="0"/>
                <w:lang w:val="fr-BE"/>
              </w:rPr>
              <w:t>www.bnb.be</w:t>
            </w:r>
          </w:p>
        </w:tc>
        <w:tc>
          <w:tcPr>
            <w:tcW w:w="3856" w:type="dxa"/>
            <w:shd w:val="clear" w:color="auto" w:fill="auto"/>
            <w:vAlign w:val="center"/>
          </w:tcPr>
          <w:p w:rsidR="003E5624" w:rsidRPr="006B4C0E" w:rsidRDefault="003E5624" w:rsidP="00C8519A">
            <w:pPr>
              <w:spacing w:line="260" w:lineRule="atLeast"/>
              <w:rPr>
                <w:sz w:val="16"/>
                <w:szCs w:val="16"/>
                <w:lang w:val="fr-BE"/>
              </w:rPr>
            </w:pPr>
            <w:r w:rsidRPr="005373D9">
              <w:rPr>
                <w:noProof/>
                <w:sz w:val="16"/>
                <w:szCs w:val="16"/>
                <w:lang w:val="en-US"/>
              </w:rPr>
              <w:drawing>
                <wp:inline distT="0" distB="0" distL="0" distR="0" wp14:anchorId="1DBC0819" wp14:editId="518F7BE6">
                  <wp:extent cx="2343150" cy="581025"/>
                  <wp:effectExtent l="19050" t="0" r="0" b="0"/>
                  <wp:docPr id="15"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9"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p>
        </w:tc>
      </w:tr>
      <w:tr w:rsidR="003E5624" w:rsidRPr="006B4C0E" w:rsidTr="00C8519A">
        <w:trPr>
          <w:cantSplit/>
          <w:trHeight w:hRule="exact" w:val="850"/>
        </w:trPr>
        <w:tc>
          <w:tcPr>
            <w:tcW w:w="6067" w:type="dxa"/>
            <w:shd w:val="clear" w:color="auto" w:fill="auto"/>
          </w:tcPr>
          <w:p w:rsidR="003E5624" w:rsidRPr="006B4C0E" w:rsidRDefault="003E5624" w:rsidP="00C8519A">
            <w:pPr>
              <w:pStyle w:val="AdresseAdres"/>
              <w:tabs>
                <w:tab w:val="center" w:pos="4678"/>
                <w:tab w:val="right" w:pos="9356"/>
              </w:tabs>
              <w:spacing w:line="260" w:lineRule="atLeast"/>
              <w:rPr>
                <w:noProof w:val="0"/>
                <w:sz w:val="16"/>
                <w:lang w:val="fr-BE"/>
              </w:rPr>
            </w:pPr>
          </w:p>
        </w:tc>
        <w:tc>
          <w:tcPr>
            <w:tcW w:w="3856" w:type="dxa"/>
            <w:shd w:val="clear" w:color="auto" w:fill="auto"/>
            <w:vAlign w:val="bottom"/>
          </w:tcPr>
          <w:p w:rsidR="003E5624" w:rsidRPr="0033717B" w:rsidRDefault="003E5624" w:rsidP="00C8519A">
            <w:pPr>
              <w:pStyle w:val="TitreTitel"/>
              <w:keepLines/>
              <w:tabs>
                <w:tab w:val="left" w:pos="284"/>
                <w:tab w:val="right" w:leader="dot" w:pos="9639"/>
              </w:tabs>
              <w:spacing w:after="170"/>
              <w:ind w:left="397" w:right="567" w:hanging="397"/>
              <w:rPr>
                <w:noProof w:val="0"/>
                <w:lang w:val="fr-BE"/>
              </w:rPr>
            </w:pPr>
          </w:p>
        </w:tc>
      </w:tr>
      <w:tr w:rsidR="003E5624" w:rsidRPr="006B4C0E" w:rsidTr="00C8519A">
        <w:trPr>
          <w:cantSplit/>
          <w:trHeight w:hRule="exact" w:val="794"/>
        </w:trPr>
        <w:tc>
          <w:tcPr>
            <w:tcW w:w="6067" w:type="dxa"/>
            <w:shd w:val="clear" w:color="auto" w:fill="auto"/>
          </w:tcPr>
          <w:p w:rsidR="003E5624" w:rsidRPr="006B4C0E" w:rsidRDefault="003E5624" w:rsidP="00C8519A">
            <w:pPr>
              <w:pStyle w:val="AdresseAdres"/>
              <w:rPr>
                <w:noProof w:val="0"/>
                <w:lang w:val="fr-BE"/>
              </w:rPr>
            </w:pPr>
          </w:p>
        </w:tc>
        <w:tc>
          <w:tcPr>
            <w:tcW w:w="3856" w:type="dxa"/>
          </w:tcPr>
          <w:p w:rsidR="003E5624" w:rsidRPr="006B4C0E" w:rsidRDefault="003E5624" w:rsidP="00B44525">
            <w:pPr>
              <w:spacing w:line="260" w:lineRule="atLeast"/>
              <w:rPr>
                <w:lang w:val="fr-BE"/>
              </w:rPr>
            </w:pPr>
            <w:r w:rsidRPr="0033717B">
              <w:rPr>
                <w:lang w:val="fr-BE"/>
              </w:rPr>
              <w:t xml:space="preserve">Bruxelles, le </w:t>
            </w:r>
            <w:r w:rsidR="00B44525">
              <w:rPr>
                <w:lang w:val="fr-BE"/>
              </w:rPr>
              <w:t>26 octobre 2016</w:t>
            </w:r>
          </w:p>
        </w:tc>
      </w:tr>
      <w:tr w:rsidR="003E5624" w:rsidRPr="00B44525" w:rsidTr="00C8519A">
        <w:trPr>
          <w:cantSplit/>
          <w:trHeight w:hRule="exact" w:val="340"/>
        </w:trPr>
        <w:tc>
          <w:tcPr>
            <w:tcW w:w="9923" w:type="dxa"/>
            <w:gridSpan w:val="2"/>
            <w:shd w:val="clear" w:color="auto" w:fill="auto"/>
            <w:vAlign w:val="center"/>
          </w:tcPr>
          <w:p w:rsidR="003E5624" w:rsidRPr="00B44525" w:rsidRDefault="003E5624" w:rsidP="00B44525">
            <w:pPr>
              <w:pStyle w:val="AnnexeBijlage"/>
              <w:rPr>
                <w:noProof w:val="0"/>
                <w:lang w:val="fr-BE"/>
              </w:rPr>
            </w:pPr>
            <w:r w:rsidRPr="00B44525">
              <w:rPr>
                <w:noProof w:val="0"/>
                <w:lang w:val="fr-BE"/>
              </w:rPr>
              <w:t>Annexe 2 à la c</w:t>
            </w:r>
            <w:r w:rsidR="009930F0" w:rsidRPr="00B44525">
              <w:rPr>
                <w:noProof w:val="0"/>
                <w:lang w:val="fr-BE"/>
              </w:rPr>
              <w:t>irculaire</w:t>
            </w:r>
            <w:r w:rsidRPr="00B44525">
              <w:rPr>
                <w:noProof w:val="0"/>
                <w:lang w:val="fr-BE"/>
              </w:rPr>
              <w:t xml:space="preserve"> NBB_</w:t>
            </w:r>
            <w:r w:rsidR="00FE5B66" w:rsidRPr="00B44525">
              <w:rPr>
                <w:noProof w:val="0"/>
                <w:lang w:val="fr-BE"/>
              </w:rPr>
              <w:t>201</w:t>
            </w:r>
            <w:r w:rsidR="004D0F13" w:rsidRPr="00B44525">
              <w:rPr>
                <w:noProof w:val="0"/>
                <w:lang w:val="fr-BE"/>
              </w:rPr>
              <w:t>6</w:t>
            </w:r>
            <w:r w:rsidRPr="00B44525">
              <w:rPr>
                <w:noProof w:val="0"/>
                <w:lang w:val="fr-BE"/>
              </w:rPr>
              <w:t>_</w:t>
            </w:r>
            <w:r w:rsidR="00B44525" w:rsidRPr="00B44525">
              <w:rPr>
                <w:noProof w:val="0"/>
                <w:lang w:val="fr-BE"/>
              </w:rPr>
              <w:t>42</w:t>
            </w:r>
          </w:p>
        </w:tc>
      </w:tr>
      <w:tr w:rsidR="003E5624" w:rsidRPr="00B44525" w:rsidTr="00C8519A">
        <w:trPr>
          <w:cantSplit/>
          <w:trHeight w:hRule="exact" w:val="1304"/>
        </w:trPr>
        <w:tc>
          <w:tcPr>
            <w:tcW w:w="9923" w:type="dxa"/>
            <w:gridSpan w:val="2"/>
            <w:tcMar>
              <w:top w:w="240" w:type="dxa"/>
            </w:tcMar>
            <w:vAlign w:val="bottom"/>
          </w:tcPr>
          <w:p w:rsidR="003E5624" w:rsidRPr="00B44525" w:rsidRDefault="003E5624" w:rsidP="00C8519A">
            <w:pPr>
              <w:pStyle w:val="SujetOnderwerp"/>
              <w:rPr>
                <w:noProof w:val="0"/>
                <w:lang w:val="fr-BE"/>
              </w:rPr>
            </w:pPr>
          </w:p>
        </w:tc>
      </w:tr>
      <w:tr w:rsidR="003E5624" w:rsidRPr="00B44525" w:rsidTr="00C8519A">
        <w:trPr>
          <w:cantSplit/>
          <w:trHeight w:hRule="exact" w:val="397"/>
        </w:trPr>
        <w:tc>
          <w:tcPr>
            <w:tcW w:w="9923" w:type="dxa"/>
            <w:gridSpan w:val="2"/>
          </w:tcPr>
          <w:p w:rsidR="003E5624" w:rsidRPr="00B44525" w:rsidRDefault="003E5624" w:rsidP="00C8519A">
            <w:pPr>
              <w:spacing w:line="260" w:lineRule="atLeast"/>
              <w:rPr>
                <w:lang w:val="fr-BE"/>
              </w:rPr>
            </w:pPr>
          </w:p>
        </w:tc>
      </w:tr>
    </w:tbl>
    <w:p w:rsidR="003E5624" w:rsidRPr="00B44525" w:rsidRDefault="003E5624" w:rsidP="00C8519A">
      <w:pPr>
        <w:rPr>
          <w:lang w:val="fr-BE"/>
        </w:rPr>
      </w:pPr>
    </w:p>
    <w:p w:rsidR="003E5624" w:rsidRPr="00B44525" w:rsidRDefault="003E5624" w:rsidP="00B44525">
      <w:pPr>
        <w:pStyle w:val="Sous-titreOndertitel"/>
        <w:jc w:val="both"/>
        <w:rPr>
          <w:lang w:val="fr-BE"/>
        </w:rPr>
      </w:pPr>
      <w:r w:rsidRPr="00B44525">
        <w:rPr>
          <w:lang w:val="fr-BE"/>
        </w:rPr>
        <w:t>Champ d'application</w:t>
      </w:r>
    </w:p>
    <w:p w:rsidR="003E5624" w:rsidRPr="00B44525" w:rsidRDefault="003E5624" w:rsidP="00B44525">
      <w:pPr>
        <w:jc w:val="both"/>
        <w:rPr>
          <w:i/>
          <w:sz w:val="22"/>
          <w:lang w:val="fr-BE"/>
        </w:rPr>
      </w:pPr>
      <w:r w:rsidRPr="00B44525">
        <w:rPr>
          <w:i/>
          <w:sz w:val="22"/>
          <w:lang w:val="fr-BE"/>
        </w:rPr>
        <w:t>-</w:t>
      </w:r>
      <w:r w:rsidRPr="00B44525">
        <w:rPr>
          <w:i/>
          <w:sz w:val="22"/>
          <w:lang w:val="fr-BE"/>
        </w:rPr>
        <w:tab/>
        <w:t>tous les établissements de crédit, y compris les succursales UE et non UE;</w:t>
      </w:r>
    </w:p>
    <w:p w:rsidR="003E5624" w:rsidRPr="00B44525" w:rsidRDefault="003E5624" w:rsidP="00B44525">
      <w:pPr>
        <w:jc w:val="both"/>
        <w:rPr>
          <w:i/>
          <w:sz w:val="22"/>
          <w:lang w:val="fr-BE"/>
        </w:rPr>
      </w:pPr>
      <w:r w:rsidRPr="00B44525">
        <w:rPr>
          <w:i/>
          <w:sz w:val="22"/>
          <w:lang w:val="fr-BE"/>
        </w:rPr>
        <w:t>-</w:t>
      </w:r>
      <w:r w:rsidRPr="00B44525">
        <w:rPr>
          <w:i/>
          <w:sz w:val="22"/>
          <w:lang w:val="fr-BE"/>
        </w:rPr>
        <w:tab/>
        <w:t>toutes les sociétés de bourse, y compris les succursales UE et non UE;</w:t>
      </w:r>
    </w:p>
    <w:p w:rsidR="003E5624" w:rsidRPr="00B44525" w:rsidRDefault="003E5624" w:rsidP="00B44525">
      <w:pPr>
        <w:ind w:left="284" w:hanging="284"/>
        <w:jc w:val="both"/>
        <w:rPr>
          <w:i/>
          <w:sz w:val="22"/>
          <w:lang w:val="fr-BE"/>
        </w:rPr>
      </w:pPr>
      <w:r w:rsidRPr="00B44525">
        <w:rPr>
          <w:i/>
          <w:sz w:val="22"/>
          <w:lang w:val="fr-BE"/>
        </w:rPr>
        <w:t>-</w:t>
      </w:r>
      <w:r w:rsidRPr="00B44525">
        <w:rPr>
          <w:i/>
          <w:sz w:val="22"/>
          <w:lang w:val="fr-BE"/>
        </w:rPr>
        <w:tab/>
        <w:t xml:space="preserve">toutes les compagnies d'assurance </w:t>
      </w:r>
      <w:r w:rsidR="008E2108" w:rsidRPr="00B44525">
        <w:rPr>
          <w:i/>
          <w:sz w:val="22"/>
          <w:lang w:val="fr-BE"/>
        </w:rPr>
        <w:t>qui disposent l’agrément d’exercer</w:t>
      </w:r>
      <w:r w:rsidR="00D62DF1" w:rsidRPr="00B44525">
        <w:rPr>
          <w:i/>
          <w:sz w:val="22"/>
          <w:lang w:val="fr-BE"/>
        </w:rPr>
        <w:t xml:space="preserve"> </w:t>
      </w:r>
      <w:r w:rsidRPr="00B44525">
        <w:rPr>
          <w:i/>
          <w:sz w:val="22"/>
          <w:lang w:val="fr-BE"/>
        </w:rPr>
        <w:t xml:space="preserve">les activités d'assurance-vie, y compris les </w:t>
      </w:r>
      <w:r w:rsidRPr="00B44525">
        <w:rPr>
          <w:i/>
          <w:sz w:val="22"/>
          <w:lang w:val="fr-BE"/>
        </w:rPr>
        <w:tab/>
        <w:t>succursales UE et non UE;</w:t>
      </w:r>
    </w:p>
    <w:p w:rsidR="00DB1E1F" w:rsidRPr="00B44525" w:rsidRDefault="00AC0B2F" w:rsidP="00B44525">
      <w:pPr>
        <w:ind w:left="284" w:hanging="284"/>
        <w:jc w:val="both"/>
        <w:rPr>
          <w:i/>
          <w:sz w:val="22"/>
          <w:lang w:val="fr-BE"/>
        </w:rPr>
      </w:pPr>
      <w:r w:rsidRPr="00B44525">
        <w:rPr>
          <w:i/>
          <w:sz w:val="22"/>
          <w:lang w:val="fr-BE"/>
        </w:rPr>
        <w:t>-</w:t>
      </w:r>
      <w:r w:rsidRPr="00B44525">
        <w:rPr>
          <w:i/>
          <w:sz w:val="22"/>
          <w:lang w:val="fr-BE"/>
        </w:rPr>
        <w:tab/>
      </w:r>
      <w:r w:rsidR="00DB1E1F" w:rsidRPr="00B44525">
        <w:rPr>
          <w:i/>
          <w:sz w:val="22"/>
          <w:lang w:val="fr-BE"/>
        </w:rPr>
        <w:t xml:space="preserve">tous les établissements de paiement et les établissements de monnaie électronique, y compris les succursales UE et non UE, à l’exception toutefois des établissements qui bénéficient, en application des articles 48 </w:t>
      </w:r>
      <w:r w:rsidR="00015E8A" w:rsidRPr="00B44525">
        <w:rPr>
          <w:i/>
          <w:sz w:val="22"/>
          <w:lang w:val="fr-BE"/>
        </w:rPr>
        <w:t>ou</w:t>
      </w:r>
      <w:r w:rsidR="00DB1E1F" w:rsidRPr="00B44525">
        <w:rPr>
          <w:i/>
          <w:sz w:val="22"/>
          <w:lang w:val="fr-BE"/>
        </w:rPr>
        <w:t xml:space="preserve"> 105 de la loi du 21 décembre 2009, d’une exemption de l’application des dispositions de la loi précitée;</w:t>
      </w:r>
    </w:p>
    <w:p w:rsidR="00DB1E1F" w:rsidRPr="00B44525" w:rsidRDefault="00DB1E1F" w:rsidP="00B44525">
      <w:pPr>
        <w:ind w:left="284" w:hanging="284"/>
        <w:jc w:val="both"/>
        <w:rPr>
          <w:i/>
          <w:sz w:val="22"/>
          <w:lang w:val="fr-BE"/>
        </w:rPr>
      </w:pPr>
      <w:r w:rsidRPr="00B44525">
        <w:rPr>
          <w:i/>
          <w:sz w:val="22"/>
          <w:lang w:val="fr-BE"/>
        </w:rPr>
        <w:t>-</w:t>
      </w:r>
      <w:r w:rsidRPr="00B44525">
        <w:rPr>
          <w:i/>
          <w:sz w:val="22"/>
          <w:lang w:val="fr-BE"/>
        </w:rPr>
        <w:tab/>
        <w:t>tous les points de contact centraux en Belgique des établissements de paiement et des établissements de monnaie électronique agréés dans d’autres États membres de l’Espace économique européen, à l’exception toutefois de ceux qui sont soumis par la circulaire</w:t>
      </w:r>
      <w:r w:rsidR="0016629F" w:rsidRPr="00B44525">
        <w:rPr>
          <w:i/>
          <w:sz w:val="22"/>
          <w:lang w:val="fr-BE"/>
        </w:rPr>
        <w:t> </w:t>
      </w:r>
      <w:r w:rsidRPr="00B44525">
        <w:rPr>
          <w:i/>
          <w:sz w:val="22"/>
          <w:lang w:val="fr-BE"/>
        </w:rPr>
        <w:t>NBB_</w:t>
      </w:r>
      <w:r w:rsidR="00E818E1" w:rsidRPr="00B44525">
        <w:rPr>
          <w:i/>
          <w:sz w:val="22"/>
          <w:lang w:val="fr-BE"/>
        </w:rPr>
        <w:t>2016</w:t>
      </w:r>
      <w:r w:rsidRPr="00B44525">
        <w:rPr>
          <w:i/>
          <w:sz w:val="22"/>
          <w:lang w:val="fr-BE"/>
        </w:rPr>
        <w:t>_</w:t>
      </w:r>
      <w:r w:rsidR="00B44525" w:rsidRPr="00B44525">
        <w:rPr>
          <w:i/>
          <w:sz w:val="22"/>
          <w:lang w:val="fr-BE"/>
        </w:rPr>
        <w:t>43</w:t>
      </w:r>
      <w:r w:rsidR="00E818E1" w:rsidRPr="00B44525">
        <w:rPr>
          <w:i/>
          <w:sz w:val="22"/>
          <w:lang w:val="fr-BE"/>
        </w:rPr>
        <w:t xml:space="preserve"> </w:t>
      </w:r>
      <w:r w:rsidRPr="00B44525">
        <w:rPr>
          <w:i/>
          <w:sz w:val="22"/>
          <w:lang w:val="fr-BE"/>
        </w:rPr>
        <w:t>à l’obligation de répondre au questionnaire abrégé annexé à la présente circulaire;</w:t>
      </w:r>
    </w:p>
    <w:p w:rsidR="003E5624" w:rsidRPr="006B4C0E" w:rsidRDefault="003E5624" w:rsidP="00B44525">
      <w:pPr>
        <w:tabs>
          <w:tab w:val="clear" w:pos="284"/>
        </w:tabs>
        <w:spacing w:line="240" w:lineRule="auto"/>
        <w:jc w:val="both"/>
        <w:rPr>
          <w:lang w:val="fr-BE"/>
        </w:rPr>
      </w:pPr>
      <w:r w:rsidRPr="00B44525">
        <w:rPr>
          <w:lang w:val="fr-BE"/>
        </w:rPr>
        <w:t>-</w:t>
      </w:r>
      <w:r w:rsidRPr="00B44525">
        <w:rPr>
          <w:lang w:val="fr-BE"/>
        </w:rPr>
        <w:tab/>
      </w:r>
      <w:r w:rsidRPr="00B44525">
        <w:rPr>
          <w:i/>
          <w:sz w:val="22"/>
          <w:lang w:val="fr-BE"/>
        </w:rPr>
        <w:t>les organismes de liquidation, y compris les succursales UE et non UE.</w:t>
      </w:r>
    </w:p>
    <w:p w:rsidR="003E5624" w:rsidRPr="006B4C0E" w:rsidRDefault="003E5624" w:rsidP="00B44525">
      <w:pPr>
        <w:tabs>
          <w:tab w:val="clear" w:pos="284"/>
        </w:tabs>
        <w:spacing w:line="240" w:lineRule="auto"/>
        <w:jc w:val="both"/>
        <w:rPr>
          <w:lang w:val="fr-BE"/>
        </w:rPr>
      </w:pPr>
      <w:r w:rsidRPr="006B4C0E">
        <w:rPr>
          <w:lang w:val="fr-BE"/>
        </w:rPr>
        <w:br w:type="page"/>
      </w:r>
    </w:p>
    <w:p w:rsidR="003E5624" w:rsidRPr="006B4C0E" w:rsidRDefault="003E5624" w:rsidP="003E5624">
      <w:pPr>
        <w:pBdr>
          <w:top w:val="single" w:sz="4" w:space="1" w:color="auto"/>
          <w:left w:val="single" w:sz="4" w:space="4" w:color="auto"/>
          <w:bottom w:val="single" w:sz="4" w:space="1" w:color="auto"/>
          <w:right w:val="single" w:sz="4" w:space="4" w:color="auto"/>
        </w:pBdr>
        <w:spacing w:after="240"/>
        <w:jc w:val="center"/>
        <w:rPr>
          <w:b/>
          <w:sz w:val="24"/>
          <w:lang w:val="fr-BE"/>
        </w:rPr>
      </w:pPr>
      <w:r w:rsidRPr="006B4C0E">
        <w:rPr>
          <w:b/>
          <w:sz w:val="24"/>
          <w:lang w:val="fr-BE"/>
        </w:rPr>
        <w:lastRenderedPageBreak/>
        <w:t xml:space="preserve">Questionnaire périodique </w:t>
      </w:r>
      <w:r w:rsidRPr="006B4C0E">
        <w:rPr>
          <w:b/>
          <w:sz w:val="24"/>
          <w:lang w:val="fr-BE"/>
        </w:rPr>
        <w:br/>
        <w:t xml:space="preserve">relatif à la lutte contre le blanchiment de capitaux, </w:t>
      </w:r>
      <w:r w:rsidRPr="006B4C0E">
        <w:rPr>
          <w:b/>
          <w:sz w:val="24"/>
          <w:lang w:val="fr-BE"/>
        </w:rPr>
        <w:br/>
        <w:t xml:space="preserve">le financement du terrorisme </w:t>
      </w:r>
      <w:r w:rsidRPr="006B4C0E">
        <w:rPr>
          <w:b/>
          <w:sz w:val="24"/>
          <w:lang w:val="fr-BE"/>
        </w:rPr>
        <w:br/>
        <w:t xml:space="preserve">et la prolifération des armes de destruction massive </w:t>
      </w:r>
      <w:r w:rsidR="006B4C0E" w:rsidRPr="006B4C0E">
        <w:rPr>
          <w:b/>
          <w:sz w:val="24"/>
          <w:lang w:val="fr-BE"/>
        </w:rPr>
        <w:t>(</w:t>
      </w:r>
      <w:r w:rsidR="006B4C0E">
        <w:rPr>
          <w:b/>
          <w:sz w:val="24"/>
          <w:lang w:val="fr-BE"/>
        </w:rPr>
        <w:t>« </w:t>
      </w:r>
      <w:r w:rsidRPr="006B4C0E">
        <w:rPr>
          <w:b/>
          <w:sz w:val="24"/>
          <w:lang w:val="fr-BE"/>
        </w:rPr>
        <w:t>LBC/FT</w:t>
      </w:r>
      <w:r w:rsidR="006B4C0E">
        <w:rPr>
          <w:b/>
          <w:sz w:val="24"/>
          <w:lang w:val="fr-BE"/>
        </w:rPr>
        <w:t> »</w:t>
      </w:r>
      <w:r w:rsidR="006B4C0E" w:rsidRPr="006B4C0E">
        <w:rPr>
          <w:b/>
          <w:sz w:val="24"/>
          <w:lang w:val="fr-BE"/>
        </w:rPr>
        <w:t>)</w:t>
      </w:r>
    </w:p>
    <w:p w:rsidR="003E5624" w:rsidRPr="006B4C0E" w:rsidRDefault="003E5624" w:rsidP="00287C7A">
      <w:pPr>
        <w:pBdr>
          <w:top w:val="single" w:sz="4" w:space="1" w:color="auto"/>
          <w:left w:val="single" w:sz="4" w:space="4" w:color="auto"/>
          <w:bottom w:val="single" w:sz="4" w:space="1" w:color="auto"/>
          <w:right w:val="single" w:sz="4" w:space="4" w:color="auto"/>
        </w:pBdr>
        <w:jc w:val="center"/>
        <w:rPr>
          <w:b/>
          <w:smallCaps/>
          <w:sz w:val="28"/>
          <w:lang w:val="fr-BE"/>
        </w:rPr>
      </w:pPr>
      <w:r w:rsidRPr="006B4C0E">
        <w:rPr>
          <w:b/>
          <w:smallCaps/>
          <w:sz w:val="28"/>
          <w:lang w:val="fr-BE"/>
        </w:rPr>
        <w:t>Note méthodologique</w:t>
      </w:r>
    </w:p>
    <w:p w:rsidR="003E5624" w:rsidRPr="00A01D7A" w:rsidRDefault="003E5624" w:rsidP="00E97E9C">
      <w:pPr>
        <w:spacing w:before="480" w:after="120"/>
        <w:jc w:val="center"/>
        <w:rPr>
          <w:sz w:val="22"/>
          <w:lang w:val="fr-BE"/>
        </w:rPr>
      </w:pPr>
      <w:r w:rsidRPr="006B4C0E">
        <w:rPr>
          <w:b/>
          <w:sz w:val="22"/>
          <w:u w:val="single"/>
          <w:lang w:val="fr-BE"/>
        </w:rPr>
        <w:t xml:space="preserve">Introduction </w:t>
      </w:r>
      <w:r w:rsidRPr="006B4C0E">
        <w:rPr>
          <w:b/>
          <w:sz w:val="22"/>
          <w:u w:val="single"/>
          <w:lang w:val="fr-BE"/>
        </w:rPr>
        <w:br/>
        <w:t>Objectifs essentiels du Questionnaire LCB/FT - L'approche fondée sur les risques</w:t>
      </w:r>
    </w:p>
    <w:p w:rsidR="003E5624" w:rsidRPr="006B4C0E" w:rsidRDefault="003E5624" w:rsidP="00B44525">
      <w:pPr>
        <w:spacing w:before="240" w:after="120"/>
        <w:jc w:val="both"/>
        <w:rPr>
          <w:u w:val="single"/>
          <w:lang w:val="fr-BE"/>
        </w:rPr>
      </w:pPr>
      <w:r w:rsidRPr="006B4C0E">
        <w:rPr>
          <w:u w:val="single"/>
          <w:lang w:val="fr-BE"/>
        </w:rPr>
        <w:t>Le contexte international</w:t>
      </w:r>
    </w:p>
    <w:p w:rsidR="003E5624" w:rsidRPr="006B4C0E" w:rsidRDefault="003E5624" w:rsidP="00B44525">
      <w:pPr>
        <w:spacing w:before="240" w:after="120"/>
        <w:jc w:val="both"/>
        <w:rPr>
          <w:lang w:val="fr-BE"/>
        </w:rPr>
      </w:pPr>
      <w:r w:rsidRPr="006B4C0E">
        <w:rPr>
          <w:lang w:val="fr-BE"/>
        </w:rPr>
        <w:t xml:space="preserve">Les </w:t>
      </w:r>
      <w:r w:rsidR="006B4C0E">
        <w:rPr>
          <w:lang w:val="fr-BE"/>
        </w:rPr>
        <w:t>« </w:t>
      </w:r>
      <w:r w:rsidRPr="006B4C0E">
        <w:rPr>
          <w:i/>
          <w:lang w:val="fr-BE"/>
        </w:rPr>
        <w:t>Normes internationales sur la lutte contre le blanchiment de capitaux et le financement du terrorisme et de la prolifération (les Recommandations du GAFI</w:t>
      </w:r>
      <w:r w:rsidR="006B4C0E" w:rsidRPr="006B4C0E">
        <w:rPr>
          <w:i/>
          <w:lang w:val="fr-BE"/>
        </w:rPr>
        <w:t>)</w:t>
      </w:r>
      <w:r w:rsidR="006B4C0E">
        <w:rPr>
          <w:lang w:val="fr-BE"/>
        </w:rPr>
        <w:t> »</w:t>
      </w:r>
      <w:r w:rsidR="006B4C0E" w:rsidRPr="006B4C0E">
        <w:rPr>
          <w:lang w:val="fr-BE"/>
        </w:rPr>
        <w:t xml:space="preserve"> </w:t>
      </w:r>
      <w:r w:rsidRPr="006B4C0E">
        <w:rPr>
          <w:lang w:val="fr-BE"/>
        </w:rPr>
        <w:t>adoptées en février 2012 [</w:t>
      </w:r>
      <w:r w:rsidRPr="006B4C0E">
        <w:rPr>
          <w:rStyle w:val="FootnoteReference"/>
          <w:lang w:val="fr-BE"/>
        </w:rPr>
        <w:footnoteReference w:id="2"/>
      </w:r>
      <w:r w:rsidRPr="006B4C0E">
        <w:rPr>
          <w:lang w:val="fr-BE"/>
        </w:rPr>
        <w:t xml:space="preserve">] accentuent l'importance accordée par cette organisation internationale au recours à une approche fondée sur les risques en vue d'atteindre efficacement les objectifs de prévention qui sont notamment poursuivis. </w:t>
      </w:r>
    </w:p>
    <w:p w:rsidR="003E5624" w:rsidRPr="006B4C0E" w:rsidRDefault="003E5624" w:rsidP="00B44525">
      <w:pPr>
        <w:spacing w:after="120"/>
        <w:jc w:val="both"/>
        <w:rPr>
          <w:lang w:val="fr-BE"/>
        </w:rPr>
      </w:pPr>
      <w:r w:rsidRPr="006B4C0E">
        <w:rPr>
          <w:lang w:val="fr-BE"/>
        </w:rPr>
        <w:t xml:space="preserve">Une telle approche visant à moduler l'intensité des mesures préventives en fonction de celle des risques de blanchiment de capitaux et de financement du terrorisme et de la prolifération, n'est pas seulement recommandée dans le contexte de la prévention par les </w:t>
      </w:r>
      <w:r w:rsidR="00BC2969">
        <w:rPr>
          <w:lang w:val="fr-BE"/>
        </w:rPr>
        <w:t>établissements financiers</w:t>
      </w:r>
      <w:r w:rsidRPr="006B4C0E">
        <w:rPr>
          <w:lang w:val="fr-BE"/>
        </w:rPr>
        <w:t xml:space="preserve">, mais aussi dans le cadre du contrôle de la mise en œuvre de ces mesures par les autorités compétentes. Conformément à la Recommandation 26 du GAFI et à sa Note Interprétative, ces autorités sont ainsi tenues de renforcer l'intensité et la fréquence de leurs contrôles auprès des </w:t>
      </w:r>
      <w:r w:rsidR="006B4C0E">
        <w:rPr>
          <w:lang w:val="fr-BE"/>
        </w:rPr>
        <w:t>établissements</w:t>
      </w:r>
      <w:r w:rsidR="006B4C0E" w:rsidRPr="006B4C0E">
        <w:rPr>
          <w:lang w:val="fr-BE"/>
        </w:rPr>
        <w:t xml:space="preserve"> financi</w:t>
      </w:r>
      <w:r w:rsidR="006B4C0E">
        <w:rPr>
          <w:lang w:val="fr-BE"/>
        </w:rPr>
        <w:t>er</w:t>
      </w:r>
      <w:r w:rsidR="006B4C0E" w:rsidRPr="006B4C0E">
        <w:rPr>
          <w:lang w:val="fr-BE"/>
        </w:rPr>
        <w:t xml:space="preserve">s </w:t>
      </w:r>
      <w:r w:rsidRPr="006B4C0E">
        <w:rPr>
          <w:lang w:val="fr-BE"/>
        </w:rPr>
        <w:t xml:space="preserve">qui présentent un risque plus élevé d'être utilisés à des fins de blanchiment de capitaux ou de financement du terrorisme et de la prolifération. Elles peuvent en revanche alléger ces contrôles auprès des </w:t>
      </w:r>
      <w:r w:rsidR="006B4C0E">
        <w:rPr>
          <w:lang w:val="fr-BE"/>
        </w:rPr>
        <w:t>établissements</w:t>
      </w:r>
      <w:r w:rsidR="006B4C0E" w:rsidRPr="006B4C0E">
        <w:rPr>
          <w:lang w:val="fr-BE"/>
        </w:rPr>
        <w:t xml:space="preserve"> financi</w:t>
      </w:r>
      <w:r w:rsidR="006B4C0E">
        <w:rPr>
          <w:lang w:val="fr-BE"/>
        </w:rPr>
        <w:t>er</w:t>
      </w:r>
      <w:r w:rsidR="006B4C0E" w:rsidRPr="006B4C0E">
        <w:rPr>
          <w:lang w:val="fr-BE"/>
        </w:rPr>
        <w:t xml:space="preserve">s </w:t>
      </w:r>
      <w:r w:rsidRPr="006B4C0E">
        <w:rPr>
          <w:lang w:val="fr-BE"/>
        </w:rPr>
        <w:t>qui présentent un risque plus faible. Une telle approche du contrôle est encouragée dans la mesure où elle est de nature à permettre une allocation plus efficace des moyens de contrôle dont disposent ces autorités.</w:t>
      </w:r>
    </w:p>
    <w:p w:rsidR="003E5624" w:rsidRPr="006B4C0E" w:rsidRDefault="003E5624" w:rsidP="00B44525">
      <w:pPr>
        <w:spacing w:after="120"/>
        <w:jc w:val="both"/>
        <w:rPr>
          <w:lang w:val="fr-BE"/>
        </w:rPr>
      </w:pPr>
      <w:r w:rsidRPr="006B4C0E">
        <w:rPr>
          <w:lang w:val="fr-BE"/>
        </w:rPr>
        <w:t>De plus, tant les nouvelles Recommandations du GAFI que la nouvelle Méthodologie adoptée en février</w:t>
      </w:r>
      <w:r w:rsidR="00C36FEA" w:rsidRPr="006B4C0E">
        <w:rPr>
          <w:lang w:val="fr-BE"/>
        </w:rPr>
        <w:t> </w:t>
      </w:r>
      <w:r w:rsidRPr="006B4C0E">
        <w:rPr>
          <w:lang w:val="fr-BE"/>
        </w:rPr>
        <w:t>2013 par le GAFI pour l'évaluation de la conformité technique avec les Recommandations et de l'efficacité des systèmes de LBC/FT mis en œuvre dans les pays membres [</w:t>
      </w:r>
      <w:r w:rsidRPr="006B4C0E">
        <w:rPr>
          <w:rStyle w:val="FootnoteReference"/>
          <w:lang w:val="fr-BE"/>
        </w:rPr>
        <w:footnoteReference w:id="3"/>
      </w:r>
      <w:r w:rsidRPr="006B4C0E">
        <w:rPr>
          <w:lang w:val="fr-BE"/>
        </w:rPr>
        <w:t xml:space="preserve">] clarifient que l'efficacité du contrôle exercé par les autorités compétentes se mesure notamment à la capacité de ce contrôle de renforcer l'efficacité des mesures préventives mises en œuvre par les </w:t>
      </w:r>
      <w:r w:rsidR="0033717B">
        <w:rPr>
          <w:lang w:val="fr-BE"/>
        </w:rPr>
        <w:t>établissements</w:t>
      </w:r>
      <w:r w:rsidR="0033717B" w:rsidRPr="006B4C0E">
        <w:rPr>
          <w:lang w:val="fr-BE"/>
        </w:rPr>
        <w:t xml:space="preserve"> financi</w:t>
      </w:r>
      <w:r w:rsidR="0033717B">
        <w:rPr>
          <w:lang w:val="fr-BE"/>
        </w:rPr>
        <w:t>er</w:t>
      </w:r>
      <w:r w:rsidR="0033717B" w:rsidRPr="006B4C0E">
        <w:rPr>
          <w:lang w:val="fr-BE"/>
        </w:rPr>
        <w:t>s</w:t>
      </w:r>
      <w:r w:rsidRPr="006B4C0E">
        <w:rPr>
          <w:lang w:val="fr-BE"/>
        </w:rPr>
        <w:t>.</w:t>
      </w:r>
    </w:p>
    <w:p w:rsidR="003E5624" w:rsidRPr="006B4C0E" w:rsidRDefault="00410B49" w:rsidP="00B44525">
      <w:pPr>
        <w:spacing w:after="120"/>
        <w:jc w:val="both"/>
        <w:rPr>
          <w:lang w:val="fr-BE"/>
        </w:rPr>
      </w:pPr>
      <w:r w:rsidRPr="00410B49">
        <w:rPr>
          <w:lang w:val="fr-BE"/>
        </w:rPr>
        <w:t>Le 20 mai 2015, les institutions européennes ont adopté une nouvelle directive 2015/849 relative à la prévention de l’utilisation du système financier aux fins du blanchiment de capitaux ou du financement du terrorisme</w:t>
      </w:r>
      <w:r w:rsidR="003E5624" w:rsidRPr="00255560">
        <w:rPr>
          <w:lang w:val="fr-BE"/>
        </w:rPr>
        <w:t xml:space="preserve"> [</w:t>
      </w:r>
      <w:r w:rsidR="003E5624" w:rsidRPr="00255560">
        <w:rPr>
          <w:rStyle w:val="FootnoteReference"/>
          <w:lang w:val="fr-BE"/>
        </w:rPr>
        <w:footnoteReference w:id="4"/>
      </w:r>
      <w:r w:rsidR="003E5624" w:rsidRPr="00255560">
        <w:rPr>
          <w:lang w:val="fr-BE"/>
        </w:rPr>
        <w:t xml:space="preserve">] en vue d'adapter la législation européenne en la matière aux nouveaux standards du GAFI. </w:t>
      </w:r>
      <w:r w:rsidR="006024BE" w:rsidRPr="00255560">
        <w:rPr>
          <w:lang w:val="fr-BE"/>
        </w:rPr>
        <w:t xml:space="preserve">L’un </w:t>
      </w:r>
      <w:r w:rsidR="003E5624" w:rsidRPr="00255560">
        <w:rPr>
          <w:lang w:val="fr-BE"/>
        </w:rPr>
        <w:t>des axes majeurs des modifications qui ont de la sorte</w:t>
      </w:r>
      <w:r>
        <w:rPr>
          <w:lang w:val="fr-BE"/>
        </w:rPr>
        <w:t xml:space="preserve"> été</w:t>
      </w:r>
      <w:r w:rsidR="003E5624" w:rsidRPr="00255560">
        <w:rPr>
          <w:lang w:val="fr-BE"/>
        </w:rPr>
        <w:t xml:space="preserve"> apportées au cadre légal européen en matière de prévention du blanchiment de capitaux et du financement du terrorisme consiste également à renforcer le recours à une approche fondée sur les risques, notamment en matière de contrôle par les autorités compétentes.</w:t>
      </w:r>
      <w:r w:rsidR="003E5624" w:rsidRPr="006B4C0E">
        <w:rPr>
          <w:lang w:val="fr-BE"/>
        </w:rPr>
        <w:t xml:space="preserve"> </w:t>
      </w:r>
    </w:p>
    <w:p w:rsidR="003E5624" w:rsidRPr="006B4C0E" w:rsidRDefault="003E5624" w:rsidP="00B44525">
      <w:pPr>
        <w:spacing w:before="240" w:after="120"/>
        <w:jc w:val="both"/>
        <w:rPr>
          <w:u w:val="single"/>
          <w:lang w:val="fr-BE"/>
        </w:rPr>
      </w:pPr>
      <w:r w:rsidRPr="006B4C0E">
        <w:rPr>
          <w:u w:val="single"/>
          <w:lang w:val="fr-BE"/>
        </w:rPr>
        <w:t xml:space="preserve">Implications de l'approche fondée </w:t>
      </w:r>
      <w:r w:rsidR="0033717B">
        <w:rPr>
          <w:u w:val="single"/>
          <w:lang w:val="fr-BE"/>
        </w:rPr>
        <w:t>sur</w:t>
      </w:r>
      <w:r w:rsidR="0033717B" w:rsidRPr="006B4C0E">
        <w:rPr>
          <w:u w:val="single"/>
          <w:lang w:val="fr-BE"/>
        </w:rPr>
        <w:t xml:space="preserve"> </w:t>
      </w:r>
      <w:r w:rsidRPr="006B4C0E">
        <w:rPr>
          <w:u w:val="single"/>
          <w:lang w:val="fr-BE"/>
        </w:rPr>
        <w:t>les risques en matière de contrôle</w:t>
      </w:r>
    </w:p>
    <w:p w:rsidR="003E5624" w:rsidRPr="006B4C0E" w:rsidRDefault="003E5624" w:rsidP="00B44525">
      <w:pPr>
        <w:spacing w:before="240" w:after="120"/>
        <w:jc w:val="both"/>
        <w:rPr>
          <w:lang w:val="fr-BE"/>
        </w:rPr>
      </w:pPr>
      <w:r w:rsidRPr="006B4C0E">
        <w:rPr>
          <w:lang w:val="fr-BE"/>
        </w:rPr>
        <w:t xml:space="preserve">L'exercice du contrôle fondé sur les risques suppose que l'autorité compétente procède périodiquement à l'évaluation, sur des bases objectives, des risques associés à chaque </w:t>
      </w:r>
      <w:r w:rsidR="0033717B">
        <w:rPr>
          <w:lang w:val="fr-BE"/>
        </w:rPr>
        <w:t>établissement</w:t>
      </w:r>
      <w:r w:rsidR="0033717B" w:rsidRPr="006B4C0E">
        <w:rPr>
          <w:lang w:val="fr-BE"/>
        </w:rPr>
        <w:t xml:space="preserve"> financi</w:t>
      </w:r>
      <w:r w:rsidR="0033717B">
        <w:rPr>
          <w:lang w:val="fr-BE"/>
        </w:rPr>
        <w:t>er</w:t>
      </w:r>
      <w:r w:rsidR="0033717B" w:rsidRPr="006B4C0E">
        <w:rPr>
          <w:lang w:val="fr-BE"/>
        </w:rPr>
        <w:t xml:space="preserve"> </w:t>
      </w:r>
      <w:r w:rsidRPr="006B4C0E">
        <w:rPr>
          <w:lang w:val="fr-BE"/>
        </w:rPr>
        <w:t xml:space="preserve">contrôlé. De telles évaluations périodiques requièrent la collecte d'informations pertinentes, tant en ce qui </w:t>
      </w:r>
      <w:r w:rsidRPr="006B4C0E">
        <w:rPr>
          <w:lang w:val="fr-BE"/>
        </w:rPr>
        <w:lastRenderedPageBreak/>
        <w:t xml:space="preserve">concerne l'exposition de chaque </w:t>
      </w:r>
      <w:r w:rsidR="0033717B">
        <w:rPr>
          <w:lang w:val="fr-BE"/>
        </w:rPr>
        <w:t>établissement</w:t>
      </w:r>
      <w:r w:rsidR="0033717B" w:rsidRPr="006B4C0E">
        <w:rPr>
          <w:lang w:val="fr-BE"/>
        </w:rPr>
        <w:t xml:space="preserve"> financi</w:t>
      </w:r>
      <w:r w:rsidR="0033717B">
        <w:rPr>
          <w:lang w:val="fr-BE"/>
        </w:rPr>
        <w:t>er</w:t>
      </w:r>
      <w:r w:rsidR="0033717B" w:rsidRPr="006B4C0E">
        <w:rPr>
          <w:lang w:val="fr-BE"/>
        </w:rPr>
        <w:t xml:space="preserve"> </w:t>
      </w:r>
      <w:r w:rsidRPr="006B4C0E">
        <w:rPr>
          <w:lang w:val="fr-BE"/>
        </w:rPr>
        <w:t>à la menace qu'en ce qui concerne sa vulnérabilité face à cette menace.</w:t>
      </w:r>
    </w:p>
    <w:p w:rsidR="003E5624" w:rsidRPr="006B4C0E" w:rsidRDefault="003E5624" w:rsidP="00B44525">
      <w:pPr>
        <w:spacing w:after="60"/>
        <w:jc w:val="both"/>
        <w:rPr>
          <w:lang w:val="fr-BE"/>
        </w:rPr>
      </w:pPr>
      <w:r w:rsidRPr="006B4C0E">
        <w:rPr>
          <w:lang w:val="fr-BE"/>
        </w:rPr>
        <w:t xml:space="preserve">Outre la connaissance générale des risques présents dans le marché, deux aspects sont dès lors à prendre en compte par l'autorité de contrôle: </w:t>
      </w:r>
    </w:p>
    <w:p w:rsidR="003E5624" w:rsidRPr="006B4C0E" w:rsidRDefault="003E5624" w:rsidP="00B44525">
      <w:pPr>
        <w:pStyle w:val="ListParagraph"/>
        <w:numPr>
          <w:ilvl w:val="0"/>
          <w:numId w:val="31"/>
        </w:numPr>
        <w:spacing w:after="60"/>
        <w:ind w:left="284" w:hanging="284"/>
        <w:contextualSpacing w:val="0"/>
        <w:rPr>
          <w:lang w:val="fr-BE"/>
        </w:rPr>
      </w:pPr>
      <w:r w:rsidRPr="006B4C0E">
        <w:rPr>
          <w:u w:val="dotted"/>
          <w:lang w:val="fr-BE"/>
        </w:rPr>
        <w:t xml:space="preserve">l'exposition individuelle de chaque </w:t>
      </w:r>
      <w:r w:rsidR="002C53A0">
        <w:rPr>
          <w:u w:val="dotted"/>
          <w:lang w:val="fr-BE"/>
        </w:rPr>
        <w:t>établissement</w:t>
      </w:r>
      <w:r w:rsidR="002C53A0" w:rsidRPr="006B4C0E">
        <w:rPr>
          <w:u w:val="dotted"/>
          <w:lang w:val="fr-BE"/>
        </w:rPr>
        <w:t xml:space="preserve"> financi</w:t>
      </w:r>
      <w:r w:rsidR="002C53A0">
        <w:rPr>
          <w:u w:val="dotted"/>
          <w:lang w:val="fr-BE"/>
        </w:rPr>
        <w:t>er</w:t>
      </w:r>
      <w:r w:rsidR="002C53A0" w:rsidRPr="006B4C0E">
        <w:rPr>
          <w:u w:val="dotted"/>
          <w:lang w:val="fr-BE"/>
        </w:rPr>
        <w:t xml:space="preserve"> </w:t>
      </w:r>
      <w:r w:rsidRPr="006B4C0E">
        <w:rPr>
          <w:u w:val="dotted"/>
          <w:lang w:val="fr-BE"/>
        </w:rPr>
        <w:t>à la menace</w:t>
      </w:r>
      <w:r w:rsidRPr="006B4C0E">
        <w:rPr>
          <w:lang w:val="fr-BE"/>
        </w:rPr>
        <w:t xml:space="preserve"> d'être utilisé à des fins de blanchiment de capitaux, de financement du terrorisme et de la prolifération des armes de destruction massive, compte tenu des caractéristiques de ses activités et produits, de ses clients, de ses zones géographiques de développement, de ses canaux de distribution, de ses structures d'organisation, etc. ;</w:t>
      </w:r>
    </w:p>
    <w:p w:rsidR="003E5624" w:rsidRPr="006B4C0E" w:rsidRDefault="003E5624" w:rsidP="00B44525">
      <w:pPr>
        <w:pStyle w:val="ListParagraph"/>
        <w:numPr>
          <w:ilvl w:val="0"/>
          <w:numId w:val="31"/>
        </w:numPr>
        <w:spacing w:after="60"/>
        <w:ind w:left="284" w:hanging="284"/>
        <w:contextualSpacing w:val="0"/>
        <w:rPr>
          <w:lang w:val="fr-BE"/>
        </w:rPr>
      </w:pPr>
      <w:r w:rsidRPr="006B4C0E">
        <w:rPr>
          <w:u w:val="dotted"/>
          <w:lang w:val="fr-BE"/>
        </w:rPr>
        <w:t xml:space="preserve">la vulnérabilité/résistance de chaque </w:t>
      </w:r>
      <w:r w:rsidR="002C53A0">
        <w:rPr>
          <w:u w:val="dotted"/>
          <w:lang w:val="fr-BE"/>
        </w:rPr>
        <w:t>établissement</w:t>
      </w:r>
      <w:r w:rsidR="002C53A0" w:rsidRPr="006B4C0E">
        <w:rPr>
          <w:u w:val="dotted"/>
          <w:lang w:val="fr-BE"/>
        </w:rPr>
        <w:t xml:space="preserve"> financi</w:t>
      </w:r>
      <w:r w:rsidR="002C53A0">
        <w:rPr>
          <w:u w:val="dotted"/>
          <w:lang w:val="fr-BE"/>
        </w:rPr>
        <w:t>er</w:t>
      </w:r>
      <w:r w:rsidR="002C53A0" w:rsidRPr="006B4C0E">
        <w:rPr>
          <w:u w:val="dotted"/>
          <w:lang w:val="fr-BE"/>
        </w:rPr>
        <w:t xml:space="preserve"> </w:t>
      </w:r>
      <w:r w:rsidRPr="006B4C0E">
        <w:rPr>
          <w:u w:val="dotted"/>
          <w:lang w:val="fr-BE"/>
        </w:rPr>
        <w:t>face à cette menace</w:t>
      </w:r>
      <w:r w:rsidRPr="006B4C0E">
        <w:rPr>
          <w:lang w:val="fr-BE"/>
        </w:rPr>
        <w:t>, qui est de nature à accroître ou à réduire la probabilité de survenance du dommage et/ou à en accroître ou à en réduire les conséquences, tenant compte:</w:t>
      </w:r>
    </w:p>
    <w:p w:rsidR="003E5624" w:rsidRPr="006B4C0E" w:rsidRDefault="003E5624" w:rsidP="00B44525">
      <w:pPr>
        <w:pStyle w:val="ListParagraph"/>
        <w:numPr>
          <w:ilvl w:val="1"/>
          <w:numId w:val="31"/>
        </w:numPr>
        <w:spacing w:after="60"/>
        <w:ind w:left="567" w:hanging="283"/>
        <w:contextualSpacing w:val="0"/>
        <w:rPr>
          <w:lang w:val="fr-BE"/>
        </w:rPr>
      </w:pPr>
      <w:r w:rsidRPr="006B4C0E">
        <w:rPr>
          <w:lang w:val="fr-BE"/>
        </w:rPr>
        <w:t>de la qualité de son contrôle interne en général;</w:t>
      </w:r>
    </w:p>
    <w:p w:rsidR="003E5624" w:rsidRPr="0033717B" w:rsidRDefault="003E5624" w:rsidP="00B44525">
      <w:pPr>
        <w:pStyle w:val="ListParagraph"/>
        <w:numPr>
          <w:ilvl w:val="1"/>
          <w:numId w:val="31"/>
        </w:numPr>
        <w:spacing w:after="60"/>
        <w:ind w:left="567" w:hanging="283"/>
        <w:contextualSpacing w:val="0"/>
        <w:rPr>
          <w:lang w:val="fr-BE"/>
        </w:rPr>
      </w:pPr>
      <w:r w:rsidRPr="006B4C0E">
        <w:rPr>
          <w:lang w:val="fr-BE"/>
        </w:rPr>
        <w:t>de la qualité de ses mesures spécifiques de prévention du blanchiment de capitaux et du financement du terrorisme et de la prolifération,</w:t>
      </w:r>
      <w:r w:rsidRPr="0033717B">
        <w:rPr>
          <w:lang w:val="fr-BE"/>
        </w:rPr>
        <w:t xml:space="preserve"> ce qui inclut:</w:t>
      </w:r>
    </w:p>
    <w:p w:rsidR="003E5624" w:rsidRPr="0033717B" w:rsidRDefault="003E5624" w:rsidP="00B44525">
      <w:pPr>
        <w:pStyle w:val="ListParagraph"/>
        <w:numPr>
          <w:ilvl w:val="2"/>
          <w:numId w:val="31"/>
        </w:numPr>
        <w:spacing w:after="60"/>
        <w:ind w:left="851" w:hanging="284"/>
        <w:contextualSpacing w:val="0"/>
        <w:rPr>
          <w:lang w:val="fr-BE"/>
        </w:rPr>
      </w:pPr>
      <w:r w:rsidRPr="0033717B">
        <w:rPr>
          <w:lang w:val="fr-BE"/>
        </w:rPr>
        <w:t>la conformité de ces mesures avec les obligations légales et réglementaires;</w:t>
      </w:r>
    </w:p>
    <w:p w:rsidR="003E5624" w:rsidRPr="0033717B" w:rsidRDefault="003E5624" w:rsidP="00B44525">
      <w:pPr>
        <w:pStyle w:val="ListParagraph"/>
        <w:numPr>
          <w:ilvl w:val="2"/>
          <w:numId w:val="31"/>
        </w:numPr>
        <w:spacing w:after="120"/>
        <w:ind w:left="851" w:hanging="284"/>
        <w:contextualSpacing w:val="0"/>
        <w:rPr>
          <w:lang w:val="fr-BE"/>
        </w:rPr>
      </w:pPr>
      <w:r w:rsidRPr="0033717B">
        <w:rPr>
          <w:lang w:val="fr-BE"/>
        </w:rPr>
        <w:t>l'effectivité de la mise en œuvre de ces mesures.</w:t>
      </w:r>
    </w:p>
    <w:p w:rsidR="003E5624" w:rsidRPr="0033717B" w:rsidRDefault="003E5624" w:rsidP="00B44525">
      <w:pPr>
        <w:spacing w:before="240" w:after="120"/>
        <w:jc w:val="both"/>
        <w:rPr>
          <w:u w:val="single"/>
          <w:lang w:val="fr-BE"/>
        </w:rPr>
      </w:pPr>
      <w:r w:rsidRPr="0033717B">
        <w:rPr>
          <w:u w:val="single"/>
          <w:lang w:val="fr-BE"/>
        </w:rPr>
        <w:t xml:space="preserve">Objectifs du questionnaire et utilisation des réponses par la Banque </w:t>
      </w:r>
      <w:r w:rsidR="00FB03CF" w:rsidRPr="0033717B">
        <w:rPr>
          <w:u w:val="single"/>
          <w:lang w:val="fr-BE"/>
        </w:rPr>
        <w:t>nationale</w:t>
      </w:r>
      <w:r w:rsidRPr="0033717B">
        <w:rPr>
          <w:u w:val="single"/>
          <w:lang w:val="fr-BE"/>
        </w:rPr>
        <w:t xml:space="preserve"> de Belgique (BNB)</w:t>
      </w:r>
    </w:p>
    <w:p w:rsidR="003E5624" w:rsidRPr="002C53A0" w:rsidRDefault="009F0C0B" w:rsidP="00B44525">
      <w:pPr>
        <w:spacing w:before="240" w:after="120"/>
        <w:jc w:val="both"/>
        <w:rPr>
          <w:lang w:val="fr-BE"/>
        </w:rPr>
      </w:pPr>
      <w:r w:rsidRPr="002C53A0">
        <w:rPr>
          <w:lang w:val="fr-BE"/>
        </w:rPr>
        <w:t>L</w:t>
      </w:r>
      <w:r w:rsidR="003E5624" w:rsidRPr="002C53A0">
        <w:rPr>
          <w:lang w:val="fr-BE"/>
        </w:rPr>
        <w:t xml:space="preserve">a BNB se fonde sur un certain nombre de sources d'information pour fonder son appréciation des risques individuels de chaque </w:t>
      </w:r>
      <w:r w:rsidR="002C53A0">
        <w:rPr>
          <w:lang w:val="fr-BE"/>
        </w:rPr>
        <w:t>établissement financier</w:t>
      </w:r>
      <w:r w:rsidR="003E5624" w:rsidRPr="002C53A0">
        <w:rPr>
          <w:lang w:val="fr-BE"/>
        </w:rPr>
        <w:t xml:space="preserve"> (notamment, la connaissance générale de la qualité d'organisation et de contrôle interne qui est obtenue dans l'exercice du contrôle prudentiel général, les rapports annuels de la direction effective sur le fonctionnement du contrôle interne, les rapports annuels du compliance </w:t>
      </w:r>
      <w:proofErr w:type="spellStart"/>
      <w:r w:rsidR="003E5624" w:rsidRPr="002C53A0">
        <w:rPr>
          <w:lang w:val="fr-BE"/>
        </w:rPr>
        <w:t>officer</w:t>
      </w:r>
      <w:proofErr w:type="spellEnd"/>
      <w:r w:rsidR="003E5624" w:rsidRPr="002C53A0">
        <w:rPr>
          <w:lang w:val="fr-BE"/>
        </w:rPr>
        <w:t xml:space="preserve"> et du responsable de la prévention du blanchiment de capitaux et du financement du terrorisme, les entretiens réguliers avec la direction effective, l'audit interne et le compliance </w:t>
      </w:r>
      <w:proofErr w:type="spellStart"/>
      <w:r w:rsidR="003E5624" w:rsidRPr="002C53A0">
        <w:rPr>
          <w:lang w:val="fr-BE"/>
        </w:rPr>
        <w:t>officer</w:t>
      </w:r>
      <w:proofErr w:type="spellEnd"/>
      <w:r w:rsidR="003E5624" w:rsidRPr="002C53A0">
        <w:rPr>
          <w:lang w:val="fr-BE"/>
        </w:rPr>
        <w:t>, les résultats des contrôles antérieurs, tant à distance que sur place, etc.)</w:t>
      </w:r>
      <w:r w:rsidRPr="002C53A0">
        <w:rPr>
          <w:lang w:val="fr-BE"/>
        </w:rPr>
        <w:t>.</w:t>
      </w:r>
    </w:p>
    <w:p w:rsidR="003E5624" w:rsidRPr="002C53A0" w:rsidRDefault="003E5624" w:rsidP="00B44525">
      <w:pPr>
        <w:spacing w:after="120"/>
        <w:jc w:val="both"/>
        <w:rPr>
          <w:lang w:val="fr-BE"/>
        </w:rPr>
      </w:pPr>
      <w:r w:rsidRPr="00A01D7A">
        <w:rPr>
          <w:lang w:val="fr-BE"/>
        </w:rPr>
        <w:t xml:space="preserve">Cependant, vu le renforcement des standards internationaux, il </w:t>
      </w:r>
      <w:r w:rsidR="009F0C0B" w:rsidRPr="00A01D7A">
        <w:rPr>
          <w:lang w:val="fr-BE"/>
        </w:rPr>
        <w:t>est apparu</w:t>
      </w:r>
      <w:r w:rsidR="00001B32" w:rsidRPr="005373D9">
        <w:rPr>
          <w:lang w:val="fr-BE"/>
        </w:rPr>
        <w:t xml:space="preserve"> </w:t>
      </w:r>
      <w:r w:rsidRPr="006B4C0E">
        <w:rPr>
          <w:lang w:val="fr-BE"/>
        </w:rPr>
        <w:t xml:space="preserve">nécessaire de diversifier les sources d'information fondant l'évaluation par la BNB </w:t>
      </w:r>
      <w:r w:rsidRPr="002C53A0">
        <w:rPr>
          <w:lang w:val="fr-BE"/>
        </w:rPr>
        <w:t xml:space="preserve">des risques de blanchiment des capitaux et de financement du terrorisme et de la prolifération et, dans le même temps, de poursuivre et de renforcer les efforts de sensibilisation des </w:t>
      </w:r>
      <w:r w:rsidR="002C53A0">
        <w:rPr>
          <w:lang w:val="fr-BE"/>
        </w:rPr>
        <w:t>établissements financiers</w:t>
      </w:r>
      <w:r w:rsidRPr="002C53A0">
        <w:rPr>
          <w:lang w:val="fr-BE"/>
        </w:rPr>
        <w:t>.</w:t>
      </w:r>
    </w:p>
    <w:p w:rsidR="003E5624" w:rsidRPr="006B4C0E" w:rsidRDefault="003E5624" w:rsidP="00B44525">
      <w:pPr>
        <w:spacing w:after="120"/>
        <w:jc w:val="both"/>
        <w:rPr>
          <w:lang w:val="fr-BE"/>
        </w:rPr>
      </w:pPr>
      <w:r w:rsidRPr="006B4C0E">
        <w:rPr>
          <w:lang w:val="fr-BE"/>
        </w:rPr>
        <w:t>Tels sont les objectifs du questionnaire périodique,</w:t>
      </w:r>
      <w:r w:rsidR="009F0C0B" w:rsidRPr="006B4C0E">
        <w:rPr>
          <w:lang w:val="fr-BE"/>
        </w:rPr>
        <w:t xml:space="preserve"> qui a été lancé pour la première fois en 2014, et qui se concentre encore</w:t>
      </w:r>
      <w:r w:rsidRPr="006B4C0E">
        <w:rPr>
          <w:lang w:val="fr-BE"/>
        </w:rPr>
        <w:t xml:space="preserve">, au stade actuel, sur les informations relatives à la conformité des dispositifs de LBC/FT mis en place avec les obligations légales et réglementaires. </w:t>
      </w:r>
    </w:p>
    <w:p w:rsidR="003E5624" w:rsidRPr="009C032A" w:rsidRDefault="003E5624" w:rsidP="00B44525">
      <w:pPr>
        <w:spacing w:after="120"/>
        <w:jc w:val="both"/>
        <w:rPr>
          <w:lang w:val="fr-BE"/>
        </w:rPr>
      </w:pPr>
      <w:r w:rsidRPr="006B4C0E">
        <w:rPr>
          <w:lang w:val="fr-BE"/>
        </w:rPr>
        <w:t xml:space="preserve">La collecte de ces informations contribue à une évaluation mieux documentée de la vulnérabilité/résistance de chaque </w:t>
      </w:r>
      <w:r w:rsidR="002C53A0">
        <w:rPr>
          <w:lang w:val="fr-BE"/>
        </w:rPr>
        <w:t>établissement</w:t>
      </w:r>
      <w:r w:rsidR="002C53A0" w:rsidRPr="002C53A0">
        <w:rPr>
          <w:lang w:val="fr-BE"/>
        </w:rPr>
        <w:t xml:space="preserve"> </w:t>
      </w:r>
      <w:r w:rsidRPr="002C53A0">
        <w:rPr>
          <w:lang w:val="fr-BE"/>
        </w:rPr>
        <w:t xml:space="preserve">face au risque de blanchiment de capitaux et de financement du terrorisme et de la prolifération, et </w:t>
      </w:r>
      <w:r w:rsidR="009F0C0B" w:rsidRPr="002C53A0">
        <w:rPr>
          <w:lang w:val="fr-BE"/>
        </w:rPr>
        <w:t xml:space="preserve">permet </w:t>
      </w:r>
      <w:r w:rsidRPr="009C032A">
        <w:rPr>
          <w:lang w:val="fr-BE"/>
        </w:rPr>
        <w:t xml:space="preserve">à la BNB d'orienter de manière précise et efficace ses contrôles, dans un souci d'allocation optimale de ses moyens de contrôle. </w:t>
      </w:r>
    </w:p>
    <w:p w:rsidR="003E5624" w:rsidRPr="006B4C0E" w:rsidRDefault="003E5624" w:rsidP="00B44525">
      <w:pPr>
        <w:spacing w:after="120"/>
        <w:jc w:val="both"/>
        <w:rPr>
          <w:lang w:val="fr-BE"/>
        </w:rPr>
      </w:pPr>
      <w:r w:rsidRPr="006B4C0E">
        <w:rPr>
          <w:lang w:val="fr-BE"/>
        </w:rPr>
        <w:t>Les réponses au questionnaire constituent donc l'une des bases permettant à la Banque d'orienter l'exercice du contrôle, sans néanmoins que le contrôle puisse se résumer au seul examen des réponses au questionnaire.</w:t>
      </w:r>
    </w:p>
    <w:p w:rsidR="003E5624" w:rsidRPr="006B4C0E" w:rsidRDefault="003E5624" w:rsidP="00B44525">
      <w:pPr>
        <w:spacing w:after="120"/>
        <w:jc w:val="both"/>
        <w:rPr>
          <w:lang w:val="fr-BE"/>
        </w:rPr>
      </w:pPr>
      <w:r w:rsidRPr="006B4C0E">
        <w:rPr>
          <w:lang w:val="fr-BE"/>
        </w:rPr>
        <w:t>Conçu dans cet esprit, le questionnaire se définit dès lors comme un instrument de nature prudentielle. Il repose sur le pouvoir légalement attribué à la Banque, tant par les lois prudentielles [</w:t>
      </w:r>
      <w:r w:rsidRPr="006B4C0E">
        <w:rPr>
          <w:rStyle w:val="FootnoteReference"/>
          <w:lang w:val="fr-BE"/>
        </w:rPr>
        <w:footnoteReference w:id="5"/>
      </w:r>
      <w:r w:rsidRPr="006B4C0E">
        <w:rPr>
          <w:lang w:val="fr-BE"/>
        </w:rPr>
        <w:t xml:space="preserve">] que par la loi du </w:t>
      </w:r>
      <w:r w:rsidRPr="006B4C0E">
        <w:rPr>
          <w:lang w:val="fr-BE"/>
        </w:rPr>
        <w:lastRenderedPageBreak/>
        <w:t>11 janvier 1993 [</w:t>
      </w:r>
      <w:r w:rsidRPr="006B4C0E">
        <w:rPr>
          <w:rStyle w:val="FootnoteReference"/>
          <w:lang w:val="fr-BE"/>
        </w:rPr>
        <w:footnoteReference w:id="6"/>
      </w:r>
      <w:r w:rsidRPr="006B4C0E">
        <w:rPr>
          <w:lang w:val="fr-BE"/>
        </w:rPr>
        <w:t xml:space="preserve">], de se faire communiquer toutes les informations nécessaires à l'exercice de ses compétences de contrôle.  </w:t>
      </w:r>
    </w:p>
    <w:p w:rsidR="003E5624" w:rsidRPr="006B4C0E" w:rsidRDefault="003E5624" w:rsidP="00B44525">
      <w:pPr>
        <w:spacing w:after="120"/>
        <w:jc w:val="both"/>
        <w:rPr>
          <w:color w:val="0070C0"/>
          <w:lang w:val="fr-BE"/>
        </w:rPr>
      </w:pPr>
      <w:r w:rsidRPr="006B4C0E">
        <w:rPr>
          <w:lang w:val="fr-BE"/>
        </w:rPr>
        <w:t xml:space="preserve">La présente note de méthodologie vise à clarifier les modalités pratiques du questionnaire </w:t>
      </w:r>
      <w:r w:rsidR="00AD63CC" w:rsidRPr="006B4C0E">
        <w:rPr>
          <w:lang w:val="fr-BE"/>
        </w:rPr>
        <w:t>repris en annexe.</w:t>
      </w:r>
    </w:p>
    <w:p w:rsidR="00495727" w:rsidRDefault="00495727" w:rsidP="00B44525">
      <w:pPr>
        <w:pStyle w:val="ListParagraph"/>
        <w:numPr>
          <w:ilvl w:val="0"/>
          <w:numId w:val="32"/>
        </w:numPr>
        <w:spacing w:before="240" w:after="120"/>
        <w:ind w:left="567" w:hanging="567"/>
        <w:contextualSpacing w:val="0"/>
        <w:rPr>
          <w:b/>
          <w:sz w:val="22"/>
          <w:u w:val="single"/>
          <w:lang w:val="fr-BE"/>
        </w:rPr>
      </w:pPr>
      <w:r>
        <w:rPr>
          <w:b/>
          <w:sz w:val="22"/>
          <w:u w:val="single"/>
          <w:lang w:val="fr-BE"/>
        </w:rPr>
        <w:t>Présentation générale du questionnaire</w:t>
      </w:r>
    </w:p>
    <w:p w:rsidR="00495727" w:rsidRDefault="00495727" w:rsidP="00B44525">
      <w:pPr>
        <w:spacing w:before="240" w:after="60"/>
        <w:jc w:val="both"/>
        <w:rPr>
          <w:lang w:val="fr-BE"/>
        </w:rPr>
      </w:pPr>
      <w:r w:rsidRPr="00A66572">
        <w:rPr>
          <w:lang w:val="fr-BE"/>
        </w:rPr>
        <w:t>Le questionnaire</w:t>
      </w:r>
      <w:r>
        <w:rPr>
          <w:lang w:val="fr-BE"/>
        </w:rPr>
        <w:t xml:space="preserve"> applicable pour l'année 2017 est divisé en six chapitres couvrant les principales obligations légales et réglementaires des institutions financières en matière de LBC/FT :</w:t>
      </w:r>
    </w:p>
    <w:p w:rsidR="00495727" w:rsidRDefault="00495727" w:rsidP="00B44525">
      <w:pPr>
        <w:spacing w:after="60"/>
        <w:jc w:val="both"/>
        <w:rPr>
          <w:lang w:val="fr-BE"/>
        </w:rPr>
      </w:pPr>
      <w:r>
        <w:rPr>
          <w:lang w:val="fr-BE"/>
        </w:rPr>
        <w:t>Chapitre I : L'identification des clients,</w:t>
      </w:r>
    </w:p>
    <w:p w:rsidR="00495727" w:rsidRDefault="00495727" w:rsidP="00B44525">
      <w:pPr>
        <w:spacing w:after="60"/>
        <w:jc w:val="both"/>
        <w:rPr>
          <w:lang w:val="fr-BE"/>
        </w:rPr>
      </w:pPr>
      <w:r>
        <w:rPr>
          <w:lang w:val="fr-BE"/>
        </w:rPr>
        <w:t>Chapitre II : L'identification des mandataires,</w:t>
      </w:r>
    </w:p>
    <w:p w:rsidR="00495727" w:rsidRDefault="00495727" w:rsidP="00B44525">
      <w:pPr>
        <w:spacing w:after="60"/>
        <w:jc w:val="both"/>
        <w:rPr>
          <w:lang w:val="fr-BE"/>
        </w:rPr>
      </w:pPr>
      <w:r>
        <w:rPr>
          <w:lang w:val="fr-BE"/>
        </w:rPr>
        <w:t>Chapitre III : L'identification des bénéficiaires effectifs,</w:t>
      </w:r>
    </w:p>
    <w:p w:rsidR="00495727" w:rsidRDefault="00495727" w:rsidP="00B44525">
      <w:pPr>
        <w:spacing w:after="60"/>
        <w:jc w:val="both"/>
        <w:rPr>
          <w:lang w:val="fr-BE"/>
        </w:rPr>
      </w:pPr>
      <w:r>
        <w:rPr>
          <w:lang w:val="fr-BE"/>
        </w:rPr>
        <w:t>Chapitre IV : La politique d'acceptation des clients,</w:t>
      </w:r>
    </w:p>
    <w:p w:rsidR="00495727" w:rsidRDefault="00495727" w:rsidP="00B44525">
      <w:pPr>
        <w:spacing w:after="120"/>
        <w:jc w:val="both"/>
        <w:rPr>
          <w:lang w:val="fr-BE"/>
        </w:rPr>
      </w:pPr>
      <w:r>
        <w:rPr>
          <w:lang w:val="fr-BE"/>
        </w:rPr>
        <w:t>Chapitre V : La vigilance à l'égard des opérations et relations d'affaires,</w:t>
      </w:r>
    </w:p>
    <w:p w:rsidR="00495727" w:rsidRDefault="00495727" w:rsidP="00B44525">
      <w:pPr>
        <w:spacing w:after="120"/>
        <w:jc w:val="both"/>
        <w:rPr>
          <w:lang w:val="fr-BE"/>
        </w:rPr>
      </w:pPr>
      <w:r>
        <w:rPr>
          <w:lang w:val="fr-BE"/>
        </w:rPr>
        <w:t>Chapitre VI : Les transferts électroniques de fonds.</w:t>
      </w:r>
    </w:p>
    <w:p w:rsidR="00495727" w:rsidRDefault="00495727" w:rsidP="00B44525">
      <w:pPr>
        <w:spacing w:after="120"/>
        <w:jc w:val="both"/>
        <w:rPr>
          <w:lang w:val="fr-BE"/>
        </w:rPr>
      </w:pPr>
      <w:r>
        <w:rPr>
          <w:lang w:val="fr-BE"/>
        </w:rPr>
        <w:t xml:space="preserve">Chacun de ces chapitres débute par une question globale d'auto-évaluation de la conformité des procédures internes de l'institution financière répondante avec les obligations légales et réglementaires afférentes à la matière traitée, et par une question globale d'auto-évaluation de l'effectivité de la mise en œuvre, dans la pratique, des mêmes procédures internes. Ces deux premières questions sont suivies de questions détaillées visant essentiellement à fournir une image plus précise de la conformité des procédures internes en vigueur avec les obligations légales et réglementaires en la matière. </w:t>
      </w:r>
    </w:p>
    <w:p w:rsidR="00495727" w:rsidRPr="00647357" w:rsidRDefault="00495727" w:rsidP="00B44525">
      <w:pPr>
        <w:spacing w:after="120"/>
        <w:jc w:val="both"/>
        <w:rPr>
          <w:color w:val="0070C0"/>
          <w:lang w:val="fr-BE"/>
        </w:rPr>
      </w:pPr>
      <w:r>
        <w:rPr>
          <w:lang w:val="fr-BE"/>
        </w:rPr>
        <w:t xml:space="preserve">Des questionnaires différenciés, quoique cohérents les uns avec les autres, sont établis pour le secteur des établissements de crédit et des sociétés de bourse, celui des entreprises d'assurances, et celui des établissements de paiement et des établissements de monnaie électronique. Ces questionnaires différenciés se distinguent les uns des autres par le fait que les questions sans pertinence pour le secteur concerné sont neutralisées, de sorte qu'aucune réponse ne doit leur être donnée (cf. le </w:t>
      </w:r>
      <w:proofErr w:type="spellStart"/>
      <w:r>
        <w:rPr>
          <w:lang w:val="fr-BE"/>
        </w:rPr>
        <w:t>color</w:t>
      </w:r>
      <w:proofErr w:type="spellEnd"/>
      <w:r>
        <w:rPr>
          <w:lang w:val="fr-BE"/>
        </w:rPr>
        <w:t xml:space="preserve"> </w:t>
      </w:r>
      <w:proofErr w:type="spellStart"/>
      <w:r>
        <w:rPr>
          <w:lang w:val="fr-BE"/>
        </w:rPr>
        <w:t>coding</w:t>
      </w:r>
      <w:proofErr w:type="spellEnd"/>
      <w:r>
        <w:rPr>
          <w:lang w:val="fr-BE"/>
        </w:rPr>
        <w:t xml:space="preserve"> en marge de gauche du questionnaire). </w:t>
      </w:r>
    </w:p>
    <w:p w:rsidR="00495727" w:rsidRDefault="00495727" w:rsidP="00B44525">
      <w:pPr>
        <w:spacing w:after="120"/>
        <w:jc w:val="both"/>
        <w:rPr>
          <w:lang w:val="fr-BE"/>
        </w:rPr>
      </w:pPr>
      <w:r>
        <w:rPr>
          <w:lang w:val="fr-BE"/>
        </w:rPr>
        <w:t>D'une manière</w:t>
      </w:r>
      <w:r w:rsidRPr="0082362C">
        <w:rPr>
          <w:lang w:val="fr-BE"/>
        </w:rPr>
        <w:t xml:space="preserve"> générale, la terminologie utilisée </w:t>
      </w:r>
      <w:r>
        <w:rPr>
          <w:lang w:val="fr-BE"/>
        </w:rPr>
        <w:t xml:space="preserve">dans la formulation des questions </w:t>
      </w:r>
      <w:r w:rsidRPr="0082362C">
        <w:rPr>
          <w:lang w:val="fr-BE"/>
        </w:rPr>
        <w:t xml:space="preserve">est </w:t>
      </w:r>
      <w:r>
        <w:rPr>
          <w:lang w:val="fr-BE"/>
        </w:rPr>
        <w:t xml:space="preserve">alignée sur </w:t>
      </w:r>
      <w:r w:rsidRPr="0082362C">
        <w:rPr>
          <w:lang w:val="fr-BE"/>
        </w:rPr>
        <w:t xml:space="preserve">celle de la loi </w:t>
      </w:r>
      <w:r>
        <w:rPr>
          <w:lang w:val="fr-BE"/>
        </w:rPr>
        <w:t xml:space="preserve">du 11 janvier 1993 </w:t>
      </w:r>
      <w:r w:rsidRPr="00313F47">
        <w:rPr>
          <w:lang w:val="fr-BE"/>
        </w:rPr>
        <w:t>relative à la prévention de l’utilisation du système financier aux fins du blanchiment  de capitaux et du financement du terrorisme</w:t>
      </w:r>
      <w:r w:rsidRPr="0082362C">
        <w:rPr>
          <w:lang w:val="fr-BE"/>
        </w:rPr>
        <w:t xml:space="preserve"> </w:t>
      </w:r>
      <w:r>
        <w:rPr>
          <w:lang w:val="fr-BE"/>
        </w:rPr>
        <w:t xml:space="preserve">("la loi") </w:t>
      </w:r>
      <w:r w:rsidRPr="0082362C">
        <w:rPr>
          <w:lang w:val="fr-BE"/>
        </w:rPr>
        <w:t>et</w:t>
      </w:r>
      <w:r>
        <w:rPr>
          <w:lang w:val="fr-BE"/>
        </w:rPr>
        <w:t xml:space="preserve"> sur celle</w:t>
      </w:r>
      <w:r w:rsidRPr="0082362C">
        <w:rPr>
          <w:lang w:val="fr-BE"/>
        </w:rPr>
        <w:t xml:space="preserve"> du règlement</w:t>
      </w:r>
      <w:r>
        <w:rPr>
          <w:lang w:val="fr-BE"/>
        </w:rPr>
        <w:t xml:space="preserve"> de la CBFA du 23 février 2010 </w:t>
      </w:r>
      <w:r w:rsidRPr="00313F47">
        <w:rPr>
          <w:lang w:val="fr-BE"/>
        </w:rPr>
        <w:t>relatif à la prévention du blanchiment de capitaux et du financement</w:t>
      </w:r>
      <w:r>
        <w:rPr>
          <w:lang w:val="fr-BE"/>
        </w:rPr>
        <w:t xml:space="preserve"> </w:t>
      </w:r>
      <w:r w:rsidRPr="00313F47">
        <w:rPr>
          <w:lang w:val="fr-BE"/>
        </w:rPr>
        <w:t>du terrorisme</w:t>
      </w:r>
      <w:r>
        <w:rPr>
          <w:lang w:val="fr-BE"/>
        </w:rPr>
        <w:t xml:space="preserve"> ("le règlement"). En cas de doute quant à la portée exacte des questions, il convient donc de se référer en premier lieu aux clarifications fournies par la c</w:t>
      </w:r>
      <w:r w:rsidRPr="00313F47">
        <w:rPr>
          <w:lang w:val="fr-BE"/>
        </w:rPr>
        <w:t>irculaire CBFA_2010_09 du 6 avril 2010 modifiée par la circulaire CBFA_2011_09 du 1</w:t>
      </w:r>
      <w:r w:rsidRPr="00257653">
        <w:rPr>
          <w:vertAlign w:val="superscript"/>
          <w:lang w:val="fr-BE"/>
        </w:rPr>
        <w:t>er</w:t>
      </w:r>
      <w:r w:rsidRPr="00313F47">
        <w:rPr>
          <w:lang w:val="fr-BE"/>
        </w:rPr>
        <w:t xml:space="preserve"> mars 2011</w:t>
      </w:r>
      <w:r>
        <w:rPr>
          <w:lang w:val="fr-BE"/>
        </w:rPr>
        <w:t>, relative aux d</w:t>
      </w:r>
      <w:r w:rsidRPr="00313F47">
        <w:rPr>
          <w:lang w:val="fr-BE"/>
        </w:rPr>
        <w:t>evoirs de vigilance à l'égard de la clientèle, la prévention de l'utilisation du système financier aux fins du blanchiment de capitaux et du financement du terrorisme, et la prévention du financement de la prolifération des armes de destruction massive (version coordonnée)</w:t>
      </w:r>
      <w:r>
        <w:rPr>
          <w:lang w:val="fr-BE"/>
        </w:rPr>
        <w:t xml:space="preserve">. </w:t>
      </w:r>
    </w:p>
    <w:p w:rsidR="00495727" w:rsidRPr="00257653" w:rsidRDefault="00495727" w:rsidP="00B44525">
      <w:pPr>
        <w:spacing w:after="120"/>
        <w:jc w:val="both"/>
        <w:rPr>
          <w:lang w:val="fr-BE"/>
        </w:rPr>
      </w:pPr>
      <w:r>
        <w:rPr>
          <w:lang w:val="fr-BE"/>
        </w:rPr>
        <w:t>Il convient de souligner que les réponses doivent être fournies en prenant en considération l'ensemble des activités exercées par l'institution financière, alors même que, pour certaines d'entre elles, elles relèvent simultanément des compétences de contrôle d'une autre autorité que la BNB. Ainsi, notamment, les établissements de crédit doivent prendre en compte dans leurs réponses les activités d'intermédiation en assurance-vie qu'elles exercent. De même, les entreprises d'assurance-vie doivent prendre en compte leurs activités en matière de prêts hypothécaires.</w:t>
      </w:r>
    </w:p>
    <w:p w:rsidR="00495727" w:rsidRDefault="00495727" w:rsidP="00B44525">
      <w:pPr>
        <w:spacing w:line="240" w:lineRule="auto"/>
        <w:jc w:val="both"/>
        <w:rPr>
          <w:b/>
          <w:sz w:val="22"/>
          <w:u w:val="single"/>
          <w:lang w:val="fr-BE"/>
        </w:rPr>
      </w:pPr>
      <w:r>
        <w:rPr>
          <w:b/>
          <w:sz w:val="22"/>
          <w:u w:val="single"/>
          <w:lang w:val="fr-BE"/>
        </w:rPr>
        <w:br w:type="page"/>
      </w:r>
    </w:p>
    <w:p w:rsidR="00495727" w:rsidRPr="00647357" w:rsidRDefault="00495727" w:rsidP="00B44525">
      <w:pPr>
        <w:pStyle w:val="ListParagraph"/>
        <w:numPr>
          <w:ilvl w:val="0"/>
          <w:numId w:val="32"/>
        </w:numPr>
        <w:spacing w:before="240" w:after="120"/>
        <w:ind w:left="567" w:hanging="567"/>
        <w:contextualSpacing w:val="0"/>
        <w:rPr>
          <w:b/>
          <w:sz w:val="22"/>
          <w:u w:val="single"/>
          <w:lang w:val="fr-BE"/>
        </w:rPr>
      </w:pPr>
      <w:r w:rsidRPr="0077624D">
        <w:rPr>
          <w:b/>
          <w:sz w:val="22"/>
          <w:u w:val="single"/>
          <w:lang w:val="fr-BE"/>
        </w:rPr>
        <w:lastRenderedPageBreak/>
        <w:t>Nature des réponses</w:t>
      </w:r>
    </w:p>
    <w:p w:rsidR="00495727" w:rsidRPr="00647357" w:rsidRDefault="00495727" w:rsidP="00B44525">
      <w:pPr>
        <w:pStyle w:val="ListParagraph"/>
        <w:numPr>
          <w:ilvl w:val="0"/>
          <w:numId w:val="33"/>
        </w:numPr>
        <w:spacing w:after="120"/>
        <w:ind w:left="567" w:hanging="283"/>
        <w:contextualSpacing w:val="0"/>
        <w:rPr>
          <w:u w:val="single"/>
          <w:lang w:val="fr-BE"/>
        </w:rPr>
      </w:pPr>
      <w:r w:rsidRPr="00647357">
        <w:rPr>
          <w:u w:val="single"/>
          <w:lang w:val="fr-BE"/>
        </w:rPr>
        <w:t>Questions d'auto-évaluation</w:t>
      </w:r>
    </w:p>
    <w:p w:rsidR="00495727" w:rsidRDefault="00495727" w:rsidP="00B44525">
      <w:pPr>
        <w:spacing w:after="120"/>
        <w:ind w:left="567"/>
        <w:jc w:val="both"/>
        <w:rPr>
          <w:lang w:val="fr-BE"/>
        </w:rPr>
      </w:pPr>
      <w:r>
        <w:rPr>
          <w:lang w:val="fr-BE"/>
        </w:rPr>
        <w:t xml:space="preserve">Aux questions d'auto-évaluation de la conformité et de l'effectivité des procédures internes, les réponses possibles sont </w:t>
      </w:r>
      <w:r w:rsidRPr="00647357">
        <w:rPr>
          <w:lang w:val="fr-BE"/>
        </w:rPr>
        <w:t>"pleinement"</w:t>
      </w:r>
      <w:r>
        <w:rPr>
          <w:lang w:val="fr-BE"/>
        </w:rPr>
        <w:t>,</w:t>
      </w:r>
      <w:r w:rsidRPr="00647357">
        <w:rPr>
          <w:lang w:val="fr-BE"/>
        </w:rPr>
        <w:t xml:space="preserve"> "largement"</w:t>
      </w:r>
      <w:r>
        <w:rPr>
          <w:lang w:val="fr-BE"/>
        </w:rPr>
        <w:t>,</w:t>
      </w:r>
      <w:r w:rsidRPr="00647357">
        <w:rPr>
          <w:lang w:val="fr-BE"/>
        </w:rPr>
        <w:t xml:space="preserve"> "partiellement" et "insuffisamment"</w:t>
      </w:r>
      <w:r>
        <w:rPr>
          <w:lang w:val="fr-BE"/>
        </w:rPr>
        <w:t xml:space="preserve"> conformes ou effectives. Ces termes se définissent comme suit :</w:t>
      </w:r>
    </w:p>
    <w:p w:rsidR="00495727" w:rsidRDefault="00495727" w:rsidP="00B44525">
      <w:pPr>
        <w:spacing w:after="120"/>
        <w:ind w:left="567"/>
        <w:jc w:val="both"/>
        <w:rPr>
          <w:lang w:val="fr-BE"/>
        </w:rPr>
      </w:pPr>
      <w:r w:rsidRPr="00647357">
        <w:rPr>
          <w:u w:val="dotted"/>
          <w:lang w:val="fr-BE"/>
        </w:rPr>
        <w:t>Auto</w:t>
      </w:r>
      <w:r>
        <w:rPr>
          <w:u w:val="dotted"/>
          <w:lang w:val="fr-BE"/>
        </w:rPr>
        <w:t>-</w:t>
      </w:r>
      <w:r w:rsidRPr="00647357">
        <w:rPr>
          <w:u w:val="dotted"/>
          <w:lang w:val="fr-BE"/>
        </w:rPr>
        <w:t>évaluation de la conformité</w:t>
      </w:r>
      <w:r>
        <w:rPr>
          <w:lang w:val="fr-BE"/>
        </w:rPr>
        <w:t xml:space="preserve"> :</w:t>
      </w:r>
    </w:p>
    <w:tbl>
      <w:tblPr>
        <w:tblStyle w:val="TableGrid"/>
        <w:tblW w:w="0" w:type="auto"/>
        <w:tblInd w:w="709" w:type="dxa"/>
        <w:tblLook w:val="04A0" w:firstRow="1" w:lastRow="0" w:firstColumn="1" w:lastColumn="0" w:noHBand="0" w:noVBand="1"/>
      </w:tblPr>
      <w:tblGrid>
        <w:gridCol w:w="2660"/>
        <w:gridCol w:w="5636"/>
      </w:tblGrid>
      <w:tr w:rsidR="00495727" w:rsidRPr="004C6CD7" w:rsidTr="00DE54DC">
        <w:tc>
          <w:tcPr>
            <w:tcW w:w="2660" w:type="dxa"/>
          </w:tcPr>
          <w:p w:rsidR="00495727" w:rsidRDefault="00495727" w:rsidP="00B44525">
            <w:pPr>
              <w:spacing w:before="60" w:after="60"/>
              <w:jc w:val="both"/>
              <w:rPr>
                <w:lang w:val="fr-BE"/>
              </w:rPr>
            </w:pPr>
            <w:r w:rsidRPr="00647357">
              <w:rPr>
                <w:lang w:val="fr-BE"/>
              </w:rPr>
              <w:t>"</w:t>
            </w:r>
            <w:r>
              <w:rPr>
                <w:lang w:val="fr-BE"/>
              </w:rPr>
              <w:t>P</w:t>
            </w:r>
            <w:r w:rsidRPr="00647357">
              <w:rPr>
                <w:lang w:val="fr-BE"/>
              </w:rPr>
              <w:t>leinement"</w:t>
            </w:r>
            <w:r>
              <w:rPr>
                <w:lang w:val="fr-BE"/>
              </w:rPr>
              <w:t xml:space="preserve"> conforme</w:t>
            </w:r>
          </w:p>
        </w:tc>
        <w:tc>
          <w:tcPr>
            <w:tcW w:w="5636" w:type="dxa"/>
          </w:tcPr>
          <w:p w:rsidR="00495727" w:rsidRDefault="00495727" w:rsidP="00B44525">
            <w:pPr>
              <w:spacing w:before="60" w:after="60"/>
              <w:jc w:val="both"/>
              <w:rPr>
                <w:lang w:val="fr-BE"/>
              </w:rPr>
            </w:pPr>
            <w:r>
              <w:rPr>
                <w:lang w:val="fr-BE"/>
              </w:rPr>
              <w:t>Les procédures internes ne comportent, de l'avis de l'institution financière, aucune déficience au regard des obligations légales ou réglementaires pertinentes.</w:t>
            </w:r>
          </w:p>
        </w:tc>
      </w:tr>
      <w:tr w:rsidR="00495727" w:rsidRPr="004C6CD7" w:rsidTr="00DE54DC">
        <w:tc>
          <w:tcPr>
            <w:tcW w:w="2660" w:type="dxa"/>
          </w:tcPr>
          <w:p w:rsidR="00495727" w:rsidRDefault="00495727" w:rsidP="00B44525">
            <w:pPr>
              <w:spacing w:before="60" w:after="60"/>
              <w:jc w:val="both"/>
              <w:rPr>
                <w:lang w:val="fr-BE"/>
              </w:rPr>
            </w:pPr>
            <w:r>
              <w:rPr>
                <w:lang w:val="fr-BE"/>
              </w:rPr>
              <w:t>"Largement" conforme</w:t>
            </w:r>
          </w:p>
        </w:tc>
        <w:tc>
          <w:tcPr>
            <w:tcW w:w="5636" w:type="dxa"/>
          </w:tcPr>
          <w:p w:rsidR="00495727" w:rsidRDefault="00495727" w:rsidP="00B44525">
            <w:pPr>
              <w:spacing w:before="60" w:after="60"/>
              <w:jc w:val="both"/>
              <w:rPr>
                <w:lang w:val="fr-BE"/>
              </w:rPr>
            </w:pPr>
            <w:r>
              <w:rPr>
                <w:lang w:val="fr-BE"/>
              </w:rPr>
              <w:t>Les procédures internes ne comportent pas, de l'avis de l'institution financière, de déficiences importantes au regard des obligations légales ou réglementaires pertinentes; les déficiences identifiées peuvent être considérées comme mineures, tant du point de vue de leur portée individuelle qu'en tenant compte de leur cumul.</w:t>
            </w:r>
          </w:p>
        </w:tc>
      </w:tr>
      <w:tr w:rsidR="00495727" w:rsidRPr="004C6CD7" w:rsidTr="00DE54DC">
        <w:tc>
          <w:tcPr>
            <w:tcW w:w="2660" w:type="dxa"/>
          </w:tcPr>
          <w:p w:rsidR="00495727" w:rsidRDefault="00495727" w:rsidP="00B44525">
            <w:pPr>
              <w:spacing w:before="60" w:after="60"/>
              <w:jc w:val="both"/>
              <w:rPr>
                <w:lang w:val="fr-BE"/>
              </w:rPr>
            </w:pPr>
            <w:r>
              <w:rPr>
                <w:lang w:val="fr-BE"/>
              </w:rPr>
              <w:t>"Partiellement" conforme</w:t>
            </w:r>
          </w:p>
        </w:tc>
        <w:tc>
          <w:tcPr>
            <w:tcW w:w="5636" w:type="dxa"/>
            <w:tcBorders>
              <w:bottom w:val="single" w:sz="4" w:space="0" w:color="auto"/>
            </w:tcBorders>
          </w:tcPr>
          <w:p w:rsidR="00495727" w:rsidRDefault="00495727" w:rsidP="00B44525">
            <w:pPr>
              <w:spacing w:before="60" w:after="60"/>
              <w:jc w:val="both"/>
              <w:rPr>
                <w:lang w:val="fr-BE"/>
              </w:rPr>
            </w:pPr>
            <w:r>
              <w:rPr>
                <w:lang w:val="fr-BE"/>
              </w:rPr>
              <w:t>Les procédures internes comportent, de l'avis de l'institution financière, certaines déficiences importantes au regard des obligations légales ou réglementaires pertinentes, qui sont susceptibles d'accroître de façon significative la vulnérabilité de l'institution financière face au risque; ce jugement peut résulter soit de la portée individuelle d'une ou plusieurs déficiences identifiées, soit de leur cumul.</w:t>
            </w:r>
          </w:p>
        </w:tc>
      </w:tr>
      <w:tr w:rsidR="00495727" w:rsidRPr="004C6CD7" w:rsidTr="00DE54DC">
        <w:tc>
          <w:tcPr>
            <w:tcW w:w="2660" w:type="dxa"/>
          </w:tcPr>
          <w:p w:rsidR="00495727" w:rsidRDefault="00495727" w:rsidP="00B44525">
            <w:pPr>
              <w:spacing w:before="60" w:after="60"/>
              <w:jc w:val="both"/>
              <w:rPr>
                <w:lang w:val="fr-BE"/>
              </w:rPr>
            </w:pPr>
            <w:r>
              <w:rPr>
                <w:lang w:val="fr-BE"/>
              </w:rPr>
              <w:t>"Insuffisamment" conforme</w:t>
            </w:r>
          </w:p>
        </w:tc>
        <w:tc>
          <w:tcPr>
            <w:tcW w:w="5636" w:type="dxa"/>
          </w:tcPr>
          <w:p w:rsidR="00495727" w:rsidRDefault="00495727" w:rsidP="00B44525">
            <w:pPr>
              <w:spacing w:before="60" w:after="60"/>
              <w:jc w:val="both"/>
              <w:rPr>
                <w:lang w:val="fr-BE"/>
              </w:rPr>
            </w:pPr>
            <w:r>
              <w:rPr>
                <w:lang w:val="fr-BE"/>
              </w:rPr>
              <w:t>Les procédures internes comportent, de l'avis de l'institution financière, des déficiences graves au regard des obligations légales ou réglementaires pertinentes, qui sont de nature à accroître de façon déraisonnable la vulnérabilité de l'institution financière; la gravité des déficiences identifiées peut résulter soit de la portée individuelle d'une ou plusieurs de ces déficiences, soit de leur cumul.</w:t>
            </w:r>
          </w:p>
        </w:tc>
      </w:tr>
    </w:tbl>
    <w:p w:rsidR="00495727" w:rsidRDefault="00495727" w:rsidP="00B44525">
      <w:pPr>
        <w:spacing w:before="120" w:after="120"/>
        <w:ind w:left="709"/>
        <w:jc w:val="both"/>
        <w:rPr>
          <w:lang w:val="fr-BE"/>
        </w:rPr>
      </w:pPr>
      <w:r w:rsidRPr="00647357">
        <w:rPr>
          <w:u w:val="dotted"/>
          <w:lang w:val="fr-BE"/>
        </w:rPr>
        <w:t>Auto</w:t>
      </w:r>
      <w:r>
        <w:rPr>
          <w:u w:val="dotted"/>
          <w:lang w:val="fr-BE"/>
        </w:rPr>
        <w:t>-</w:t>
      </w:r>
      <w:r w:rsidRPr="00647357">
        <w:rPr>
          <w:u w:val="dotted"/>
          <w:lang w:val="fr-BE"/>
        </w:rPr>
        <w:t>évaluation de l</w:t>
      </w:r>
      <w:r>
        <w:rPr>
          <w:u w:val="dotted"/>
          <w:lang w:val="fr-BE"/>
        </w:rPr>
        <w:t>'effectivité</w:t>
      </w:r>
      <w:r>
        <w:rPr>
          <w:lang w:val="fr-BE"/>
        </w:rPr>
        <w:t xml:space="preserve"> :</w:t>
      </w:r>
    </w:p>
    <w:tbl>
      <w:tblPr>
        <w:tblStyle w:val="TableGrid"/>
        <w:tblW w:w="0" w:type="auto"/>
        <w:tblInd w:w="709" w:type="dxa"/>
        <w:tblLook w:val="04A0" w:firstRow="1" w:lastRow="0" w:firstColumn="1" w:lastColumn="0" w:noHBand="0" w:noVBand="1"/>
      </w:tblPr>
      <w:tblGrid>
        <w:gridCol w:w="2660"/>
        <w:gridCol w:w="5636"/>
      </w:tblGrid>
      <w:tr w:rsidR="00495727" w:rsidRPr="004C6CD7" w:rsidTr="00DE54DC">
        <w:tc>
          <w:tcPr>
            <w:tcW w:w="2660" w:type="dxa"/>
          </w:tcPr>
          <w:p w:rsidR="00495727" w:rsidRDefault="00495727" w:rsidP="00B44525">
            <w:pPr>
              <w:spacing w:before="60" w:after="60"/>
              <w:jc w:val="both"/>
              <w:rPr>
                <w:lang w:val="fr-BE"/>
              </w:rPr>
            </w:pPr>
            <w:r w:rsidRPr="00647357">
              <w:rPr>
                <w:lang w:val="fr-BE"/>
              </w:rPr>
              <w:t>"</w:t>
            </w:r>
            <w:r>
              <w:rPr>
                <w:lang w:val="fr-BE"/>
              </w:rPr>
              <w:t>P</w:t>
            </w:r>
            <w:r w:rsidRPr="00647357">
              <w:rPr>
                <w:lang w:val="fr-BE"/>
              </w:rPr>
              <w:t>leinement"</w:t>
            </w:r>
            <w:r>
              <w:rPr>
                <w:lang w:val="fr-BE"/>
              </w:rPr>
              <w:t xml:space="preserve"> effectif</w:t>
            </w:r>
          </w:p>
        </w:tc>
        <w:tc>
          <w:tcPr>
            <w:tcW w:w="5636" w:type="dxa"/>
          </w:tcPr>
          <w:p w:rsidR="00495727" w:rsidRDefault="00495727" w:rsidP="00B44525">
            <w:pPr>
              <w:spacing w:before="60" w:after="60"/>
              <w:jc w:val="both"/>
              <w:rPr>
                <w:lang w:val="fr-BE"/>
              </w:rPr>
            </w:pPr>
            <w:r>
              <w:rPr>
                <w:lang w:val="fr-BE"/>
              </w:rPr>
              <w:t>Les procédures internes sont, de l'avis de l'institution financière, effectivement mises en œuvre de façon adéquate dans tous ses secteurs d'activités.</w:t>
            </w:r>
          </w:p>
        </w:tc>
      </w:tr>
      <w:tr w:rsidR="00495727" w:rsidRPr="004C6CD7" w:rsidTr="00DE54DC">
        <w:tc>
          <w:tcPr>
            <w:tcW w:w="2660" w:type="dxa"/>
          </w:tcPr>
          <w:p w:rsidR="00495727" w:rsidRDefault="00495727" w:rsidP="00B44525">
            <w:pPr>
              <w:spacing w:before="60" w:after="60"/>
              <w:jc w:val="both"/>
              <w:rPr>
                <w:lang w:val="fr-BE"/>
              </w:rPr>
            </w:pPr>
            <w:r>
              <w:rPr>
                <w:lang w:val="fr-BE"/>
              </w:rPr>
              <w:t>"Largement" effectif</w:t>
            </w:r>
          </w:p>
        </w:tc>
        <w:tc>
          <w:tcPr>
            <w:tcW w:w="5636" w:type="dxa"/>
          </w:tcPr>
          <w:p w:rsidR="00495727" w:rsidRDefault="00495727" w:rsidP="00B44525">
            <w:pPr>
              <w:spacing w:before="60" w:after="60"/>
              <w:jc w:val="both"/>
              <w:rPr>
                <w:lang w:val="fr-BE"/>
              </w:rPr>
            </w:pPr>
            <w:r>
              <w:rPr>
                <w:lang w:val="fr-BE"/>
              </w:rPr>
              <w:t>La mise en œuvre des procédures internes ne présente pas, de l'avis de l'institution financière, de déficiences importantes; les déficiences identifiées dans leur mise en œuvre peuvent être considérées comme mineures, tant du point de vue de leur portée individuelle qu'en tenant compte de leur cumul.</w:t>
            </w:r>
          </w:p>
        </w:tc>
      </w:tr>
      <w:tr w:rsidR="00495727" w:rsidRPr="004C6CD7" w:rsidTr="00DE54DC">
        <w:tc>
          <w:tcPr>
            <w:tcW w:w="2660" w:type="dxa"/>
          </w:tcPr>
          <w:p w:rsidR="00495727" w:rsidRDefault="00495727" w:rsidP="00B44525">
            <w:pPr>
              <w:spacing w:before="60" w:after="60"/>
              <w:jc w:val="both"/>
              <w:rPr>
                <w:lang w:val="fr-BE"/>
              </w:rPr>
            </w:pPr>
            <w:r>
              <w:rPr>
                <w:lang w:val="fr-BE"/>
              </w:rPr>
              <w:t>"Partiellement" effectif</w:t>
            </w:r>
          </w:p>
        </w:tc>
        <w:tc>
          <w:tcPr>
            <w:tcW w:w="5636" w:type="dxa"/>
            <w:tcBorders>
              <w:bottom w:val="single" w:sz="4" w:space="0" w:color="auto"/>
            </w:tcBorders>
          </w:tcPr>
          <w:p w:rsidR="00495727" w:rsidRDefault="00495727" w:rsidP="00B44525">
            <w:pPr>
              <w:spacing w:before="60" w:after="60"/>
              <w:jc w:val="both"/>
              <w:rPr>
                <w:lang w:val="fr-BE"/>
              </w:rPr>
            </w:pPr>
            <w:r>
              <w:rPr>
                <w:lang w:val="fr-BE"/>
              </w:rPr>
              <w:t>La mise en œuvre des procédures internes présente, de l'avis de l'institution financière, certaines déficiences importantes qui sont susceptibles d'accroître de façon significative la vulnérabilité de l'institution financière face au risque; ce jugement peut résulter soit de la portée individuelle d'une ou plusieurs déficiences identifiées, soit de leur cumul.</w:t>
            </w:r>
          </w:p>
        </w:tc>
      </w:tr>
    </w:tbl>
    <w:p w:rsidR="00495727" w:rsidRPr="00B71DAA" w:rsidRDefault="00495727" w:rsidP="00B44525">
      <w:pPr>
        <w:jc w:val="both"/>
        <w:rPr>
          <w:lang w:val="fr-BE"/>
        </w:rPr>
      </w:pPr>
      <w:r w:rsidRPr="00B71DAA">
        <w:rPr>
          <w:lang w:val="fr-BE"/>
        </w:rPr>
        <w:br w:type="page"/>
      </w:r>
    </w:p>
    <w:tbl>
      <w:tblPr>
        <w:tblStyle w:val="TableGrid"/>
        <w:tblW w:w="0" w:type="auto"/>
        <w:tblInd w:w="709" w:type="dxa"/>
        <w:tblLook w:val="04A0" w:firstRow="1" w:lastRow="0" w:firstColumn="1" w:lastColumn="0" w:noHBand="0" w:noVBand="1"/>
      </w:tblPr>
      <w:tblGrid>
        <w:gridCol w:w="2660"/>
        <w:gridCol w:w="5636"/>
      </w:tblGrid>
      <w:tr w:rsidR="00495727" w:rsidRPr="004C6CD7" w:rsidTr="00DE54DC">
        <w:tc>
          <w:tcPr>
            <w:tcW w:w="2660" w:type="dxa"/>
          </w:tcPr>
          <w:p w:rsidR="00495727" w:rsidRDefault="00495727" w:rsidP="00B44525">
            <w:pPr>
              <w:spacing w:before="60" w:after="60"/>
              <w:jc w:val="both"/>
              <w:rPr>
                <w:lang w:val="fr-BE"/>
              </w:rPr>
            </w:pPr>
            <w:r w:rsidRPr="00610E12">
              <w:rPr>
                <w:lang w:val="fr-BE"/>
              </w:rPr>
              <w:lastRenderedPageBreak/>
              <w:br w:type="page"/>
            </w:r>
            <w:r>
              <w:rPr>
                <w:lang w:val="fr-BE"/>
              </w:rPr>
              <w:t>"Insuffisamment" effectif</w:t>
            </w:r>
          </w:p>
        </w:tc>
        <w:tc>
          <w:tcPr>
            <w:tcW w:w="5636" w:type="dxa"/>
          </w:tcPr>
          <w:p w:rsidR="00495727" w:rsidRDefault="00495727" w:rsidP="00B44525">
            <w:pPr>
              <w:spacing w:before="60" w:after="60"/>
              <w:jc w:val="both"/>
              <w:rPr>
                <w:lang w:val="fr-BE"/>
              </w:rPr>
            </w:pPr>
            <w:r>
              <w:rPr>
                <w:lang w:val="fr-BE"/>
              </w:rPr>
              <w:t>La mise en œuvre des procédures internes présente, de l'avis de l'institution financière, des déficiences graves qui sont de nature à accroître de façon déraisonnable la vulnérabilité de l'institution financière; la gravité des déficiences identifiées peut résulter soit de la portée individuelle d'une ou plusieurs de ces déficiences, soit de leur cumul.</w:t>
            </w:r>
          </w:p>
        </w:tc>
      </w:tr>
    </w:tbl>
    <w:p w:rsidR="00495727" w:rsidRDefault="00495727" w:rsidP="00B44525">
      <w:pPr>
        <w:spacing w:line="240" w:lineRule="auto"/>
        <w:jc w:val="both"/>
        <w:rPr>
          <w:u w:val="single"/>
          <w:lang w:val="fr-BE"/>
        </w:rPr>
      </w:pPr>
    </w:p>
    <w:p w:rsidR="00495727" w:rsidRPr="00422E84" w:rsidRDefault="00495727" w:rsidP="00B44525">
      <w:pPr>
        <w:pStyle w:val="ListParagraph"/>
        <w:numPr>
          <w:ilvl w:val="0"/>
          <w:numId w:val="33"/>
        </w:numPr>
        <w:spacing w:after="120"/>
        <w:contextualSpacing w:val="0"/>
        <w:rPr>
          <w:u w:val="single"/>
          <w:lang w:val="fr-BE"/>
        </w:rPr>
      </w:pPr>
      <w:r w:rsidRPr="00422E84">
        <w:rPr>
          <w:u w:val="single"/>
          <w:lang w:val="fr-BE"/>
        </w:rPr>
        <w:t>Questions de conformité</w:t>
      </w:r>
      <w:r w:rsidRPr="00422E84">
        <w:rPr>
          <w:lang w:val="fr-BE"/>
        </w:rPr>
        <w:t xml:space="preserve"> : </w:t>
      </w:r>
      <w:r>
        <w:rPr>
          <w:lang w:val="fr-BE"/>
        </w:rPr>
        <w:t xml:space="preserve">les questions de conformité visent essentiellement à préciser si les différents éléments des obligations légales et réglementaires sont dument pris en compte par les procédures internes. Ces questions appellent, en règle générale, des réponses par "oui" ou par "non". </w:t>
      </w:r>
    </w:p>
    <w:p w:rsidR="00495727" w:rsidRDefault="00495727" w:rsidP="00B44525">
      <w:pPr>
        <w:spacing w:after="120"/>
        <w:ind w:left="720"/>
        <w:jc w:val="both"/>
        <w:rPr>
          <w:lang w:val="fr-BE"/>
        </w:rPr>
      </w:pPr>
      <w:r>
        <w:rPr>
          <w:lang w:val="fr-BE"/>
        </w:rPr>
        <w:t>Cependant</w:t>
      </w:r>
      <w:r w:rsidRPr="00422E84">
        <w:rPr>
          <w:lang w:val="fr-BE"/>
        </w:rPr>
        <w:t>, lorsque des procédures internes distinctes règlent</w:t>
      </w:r>
      <w:r>
        <w:rPr>
          <w:lang w:val="fr-BE"/>
        </w:rPr>
        <w:t>, en matière de LBC/FT,</w:t>
      </w:r>
      <w:r w:rsidRPr="00422E84">
        <w:rPr>
          <w:lang w:val="fr-BE"/>
        </w:rPr>
        <w:t xml:space="preserve"> l'exercice des différentes activités d'une même institution financière ou l'exercice d'une même activité au travers de plusieurs canaux de distribution, il se pourrait que la réponse à une même question de conformité</w:t>
      </w:r>
      <w:r>
        <w:rPr>
          <w:lang w:val="fr-BE"/>
        </w:rPr>
        <w:t xml:space="preserve"> soit "oui" pour certaines activités ou canaux de distribution, mais "non" pour les autres. De même, une même question peut résulter de la combinaison de plusieurs éléments [</w:t>
      </w:r>
      <w:r>
        <w:rPr>
          <w:rStyle w:val="FootnoteReference"/>
          <w:lang w:val="fr-BE"/>
        </w:rPr>
        <w:footnoteReference w:id="7"/>
      </w:r>
      <w:r>
        <w:rPr>
          <w:lang w:val="fr-BE"/>
        </w:rPr>
        <w:t xml:space="preserve">], et la réponse globale à cette question peut résulter du cumul de réponses affirmatives à l'égard de certains de ces éléments et négatives à l'égard des autres éléments. </w:t>
      </w:r>
    </w:p>
    <w:p w:rsidR="00495727" w:rsidRPr="00B54CCC" w:rsidRDefault="00495727" w:rsidP="00B44525">
      <w:pPr>
        <w:spacing w:after="120"/>
        <w:ind w:left="720"/>
        <w:jc w:val="both"/>
        <w:rPr>
          <w:color w:val="0070C0"/>
          <w:lang w:val="fr-BE"/>
        </w:rPr>
      </w:pPr>
      <w:r>
        <w:rPr>
          <w:lang w:val="fr-BE"/>
        </w:rPr>
        <w:t>Dans ces hypothèses, il appartient à l'institution financière d'évaluer quelle est la réponse ("oui" ou "non") qui reflète le mieux sa situation globale, tenant compte de critères tels que la matérialité ou l'importance relative des différentes activités ou canaux de distribution concernés ou des différents éléments qui composent la question. La réponse "oui" ne peut être utilisée que si elle correspond à la réalité qui se présente dans la très grande majorité des cas, et si l'inverse ne se vérifie que dans des cas strictement exceptionnels de sorte que l'institution financière considère qu'elle se conforme dans 90 % des cas ou plus, ou qu'elle se conforme à 90 % ou plus des exigences couvertes. Dans tous les autres cas, une réponse négative s'impose. Dans de telles hypothèses, la réponse "non applicable (N/A)</w:t>
      </w:r>
      <w:r w:rsidRPr="00A271B3">
        <w:rPr>
          <w:lang w:val="fr-BE"/>
        </w:rPr>
        <w:t xml:space="preserve"> </w:t>
      </w:r>
      <w:r>
        <w:rPr>
          <w:lang w:val="fr-BE"/>
        </w:rPr>
        <w:t>" est en revanche inappropriée. Afin de permettre à la Banque de percevoir correctement la portée de la réponse ("oui" ou "non")  qui est fournie, l'institution financière est invitée à la motiver succinctement dans la case de commentaire afférente à la question concernée en fournissant une explication succincte de l'évaluation effectuée (cf. infra).</w:t>
      </w:r>
      <w:r w:rsidRPr="00B54CCC">
        <w:rPr>
          <w:color w:val="0070C0"/>
          <w:lang w:val="fr-BE"/>
        </w:rPr>
        <w:t xml:space="preserve"> </w:t>
      </w:r>
    </w:p>
    <w:p w:rsidR="00495727" w:rsidRDefault="00495727" w:rsidP="00B44525">
      <w:pPr>
        <w:spacing w:after="120"/>
        <w:ind w:left="720"/>
        <w:jc w:val="both"/>
        <w:rPr>
          <w:lang w:val="fr-BE"/>
        </w:rPr>
      </w:pPr>
      <w:r>
        <w:rPr>
          <w:lang w:val="fr-BE"/>
        </w:rPr>
        <w:t>La r</w:t>
      </w:r>
      <w:r w:rsidRPr="009B1E0E">
        <w:rPr>
          <w:lang w:val="fr-BE"/>
        </w:rPr>
        <w:t xml:space="preserve">éponse </w:t>
      </w:r>
      <w:r>
        <w:rPr>
          <w:lang w:val="fr-BE"/>
        </w:rPr>
        <w:t>"non applicable" (</w:t>
      </w:r>
      <w:r w:rsidRPr="009B1E0E">
        <w:rPr>
          <w:lang w:val="fr-BE"/>
        </w:rPr>
        <w:t>N/A</w:t>
      </w:r>
      <w:r>
        <w:rPr>
          <w:lang w:val="fr-BE"/>
        </w:rPr>
        <w:t>)</w:t>
      </w:r>
      <w:r w:rsidRPr="009B1E0E">
        <w:rPr>
          <w:lang w:val="fr-BE"/>
        </w:rPr>
        <w:t xml:space="preserve"> </w:t>
      </w:r>
      <w:r>
        <w:rPr>
          <w:lang w:val="fr-BE"/>
        </w:rPr>
        <w:t xml:space="preserve">est systématiquement prévue comme troisième alternative de réponse pour toutes les questions appelant, en règle générale, des réponses par "oui" ou par "non". Cette réponse "N/A" doit être strictement réservée aux situations dans lesquelles la règle qui sous-tend la question n'est pas applicable à l'institution financière concernée, compte tenu, notamment, des particularités des activités qu'elle exerce ou de leurs modalités. Ainsi, à titre d'exemple, une réponse "N/A" pourrait être justifiée pour toutes les questions relatives à l'identification des clients occasionnels si les procédures internes de l'institution financière concernée prévoient une interdiction absolue et effectivement respectée d'effectuer des </w:t>
      </w:r>
      <w:r>
        <w:rPr>
          <w:lang w:val="fr-BE"/>
        </w:rPr>
        <w:lastRenderedPageBreak/>
        <w:t>opérations avec des clients autres que ceux avec lesquels des relations d'affaires sont nouées ("clients habituels"). De même, si une institution financière n'autorise pas la tenue de comptes numérotés ou la conclusion de contrats numérotés, ou si un établissement de crédit n'intervient pas dans la commercialisation de produits d'assurance-vie, la réponse "N/A" est justifiée en ce qui concerne, respectivement, la question relative à l'encadrement de ces comptes ou contrats ou les questions relatives aux contrats d'assurance-vie. Afin de garantir une bonne compréhension des réponses au questionnaire, chaque recours à la réponse "N/A" devra obligatoirement être succinctement motivé dans la case de commentaire relative à la question concernée.</w:t>
      </w:r>
    </w:p>
    <w:p w:rsidR="00495727" w:rsidRDefault="00495727" w:rsidP="00B44525">
      <w:pPr>
        <w:pStyle w:val="ListParagraph"/>
        <w:numPr>
          <w:ilvl w:val="0"/>
          <w:numId w:val="33"/>
        </w:numPr>
        <w:spacing w:after="120"/>
        <w:contextualSpacing w:val="0"/>
        <w:rPr>
          <w:lang w:val="fr-BE"/>
        </w:rPr>
      </w:pPr>
      <w:r w:rsidRPr="000C365A">
        <w:rPr>
          <w:u w:val="single"/>
          <w:lang w:val="fr-BE"/>
        </w:rPr>
        <w:t>Cases de commentaires</w:t>
      </w:r>
      <w:r w:rsidRPr="000C365A">
        <w:rPr>
          <w:lang w:val="fr-BE"/>
        </w:rPr>
        <w:t xml:space="preserve"> : A chacune des questions est associée une case de commentaire permettant à l'institution financière répondante de préciser, de nuancer ou, si nécessaire, de justifier de façon succincte la réponse fournie. </w:t>
      </w:r>
      <w:r>
        <w:rPr>
          <w:lang w:val="fr-BE"/>
        </w:rPr>
        <w:t xml:space="preserve">Ces cases de commentaires devraient notamment être utilisées pour expliquer très succinctement les réponses affirmatives ou négatives qui  résultent d'une appréciation de situations nuancées telles que celles visées au deuxième alinéa du point (b) ci-dessus. </w:t>
      </w:r>
    </w:p>
    <w:p w:rsidR="00495727" w:rsidRPr="00955853" w:rsidRDefault="00495727" w:rsidP="00B44525">
      <w:pPr>
        <w:spacing w:after="120"/>
        <w:ind w:left="720"/>
        <w:jc w:val="both"/>
        <w:rPr>
          <w:lang w:val="fr-BE"/>
        </w:rPr>
      </w:pPr>
      <w:r>
        <w:rPr>
          <w:lang w:val="fr-BE"/>
        </w:rPr>
        <w:t xml:space="preserve">Comme indiqué précédemment, un commentaire justificatif succinct est </w:t>
      </w:r>
      <w:r w:rsidRPr="00955853">
        <w:rPr>
          <w:lang w:val="fr-BE"/>
        </w:rPr>
        <w:t>obligatoire pour chaque réponse "N/A".</w:t>
      </w:r>
    </w:p>
    <w:p w:rsidR="00495727" w:rsidRPr="009B1E0E" w:rsidRDefault="00495727" w:rsidP="00B44525">
      <w:pPr>
        <w:spacing w:after="120"/>
        <w:ind w:left="720"/>
        <w:jc w:val="both"/>
        <w:rPr>
          <w:lang w:val="fr-BE"/>
        </w:rPr>
      </w:pPr>
      <w:r>
        <w:rPr>
          <w:lang w:val="fr-BE"/>
        </w:rPr>
        <w:t>Il convient de relever enfin qu'en complément de certaines questions de conformité appelant des réponses par "oui", "non" ou "N/A", le questionnaire vise également à collecter un nombre limité d'informations factuelles précises, telles que, par exemple, la date de dernière mise à jour de tel élément des procédures internes. Ces informations visent à permettre une meilleure compréhension des réponses aux questions de conformité dont elles constituent, en quelque sorte, des commentaires standards obligatoires. Sont concernées les questions 1.8, 4.45, 5.10, 5.17 et 5.19 qui invitent l'institution financière à fournir, selon la réponse fournie, un complément d'information précis dans la case de commentaire concernée.</w:t>
      </w:r>
    </w:p>
    <w:p w:rsidR="00495727" w:rsidRDefault="00495727" w:rsidP="00B44525">
      <w:pPr>
        <w:spacing w:after="120"/>
        <w:ind w:left="720"/>
        <w:jc w:val="both"/>
        <w:rPr>
          <w:lang w:val="fr-BE"/>
        </w:rPr>
      </w:pPr>
      <w:r w:rsidRPr="000D5CA2">
        <w:rPr>
          <w:lang w:val="fr-BE"/>
        </w:rPr>
        <w:t xml:space="preserve">Il importe </w:t>
      </w:r>
      <w:r>
        <w:rPr>
          <w:lang w:val="fr-BE"/>
        </w:rPr>
        <w:t xml:space="preserve">toutefois </w:t>
      </w:r>
      <w:r w:rsidRPr="000D5CA2">
        <w:rPr>
          <w:lang w:val="fr-BE"/>
        </w:rPr>
        <w:t xml:space="preserve">de souligner que le questionnaire ne vise pas à rassembler une information complète </w:t>
      </w:r>
      <w:r>
        <w:rPr>
          <w:lang w:val="fr-BE"/>
        </w:rPr>
        <w:t>couvrant chaque</w:t>
      </w:r>
      <w:r w:rsidRPr="000D5CA2">
        <w:rPr>
          <w:lang w:val="fr-BE"/>
        </w:rPr>
        <w:t xml:space="preserve"> détail </w:t>
      </w:r>
      <w:r>
        <w:rPr>
          <w:lang w:val="fr-BE"/>
        </w:rPr>
        <w:t>d</w:t>
      </w:r>
      <w:r w:rsidRPr="000D5CA2">
        <w:rPr>
          <w:lang w:val="fr-BE"/>
        </w:rPr>
        <w:t xml:space="preserve">es procédures </w:t>
      </w:r>
      <w:r>
        <w:rPr>
          <w:lang w:val="fr-BE"/>
        </w:rPr>
        <w:t xml:space="preserve">internes </w:t>
      </w:r>
      <w:r w:rsidRPr="000D5CA2">
        <w:rPr>
          <w:lang w:val="fr-BE"/>
        </w:rPr>
        <w:t xml:space="preserve">en vigueur, mais </w:t>
      </w:r>
      <w:r>
        <w:rPr>
          <w:lang w:val="fr-BE"/>
        </w:rPr>
        <w:t xml:space="preserve">qu'il doit permettre à la Banque de se former </w:t>
      </w:r>
      <w:r w:rsidRPr="000D5CA2">
        <w:rPr>
          <w:lang w:val="fr-BE"/>
        </w:rPr>
        <w:t xml:space="preserve">une image suffisamment précise des mesures préventives définies </w:t>
      </w:r>
      <w:r>
        <w:rPr>
          <w:lang w:val="fr-BE"/>
        </w:rPr>
        <w:t xml:space="preserve">et effectivement mises en œuvre </w:t>
      </w:r>
      <w:r w:rsidRPr="000D5CA2">
        <w:rPr>
          <w:lang w:val="fr-BE"/>
        </w:rPr>
        <w:t>par l'institution financière répondante</w:t>
      </w:r>
      <w:r>
        <w:rPr>
          <w:lang w:val="fr-BE"/>
        </w:rPr>
        <w:t>, en vue de procéder à une évaluation pertinente des risques</w:t>
      </w:r>
      <w:r w:rsidRPr="000D5CA2">
        <w:rPr>
          <w:lang w:val="fr-BE"/>
        </w:rPr>
        <w:t>. Les commentaires</w:t>
      </w:r>
      <w:r>
        <w:rPr>
          <w:lang w:val="fr-BE"/>
        </w:rPr>
        <w:t xml:space="preserve"> fournis en </w:t>
      </w:r>
      <w:r w:rsidRPr="000D5CA2">
        <w:rPr>
          <w:lang w:val="fr-BE"/>
        </w:rPr>
        <w:t>complé</w:t>
      </w:r>
      <w:r>
        <w:rPr>
          <w:lang w:val="fr-BE"/>
        </w:rPr>
        <w:t>ment</w:t>
      </w:r>
      <w:r w:rsidRPr="000D5CA2">
        <w:rPr>
          <w:lang w:val="fr-BE"/>
        </w:rPr>
        <w:t xml:space="preserve"> </w:t>
      </w:r>
      <w:r>
        <w:rPr>
          <w:lang w:val="fr-BE"/>
        </w:rPr>
        <w:t>d</w:t>
      </w:r>
      <w:r w:rsidRPr="000D5CA2">
        <w:rPr>
          <w:lang w:val="fr-BE"/>
        </w:rPr>
        <w:t>es réponses aux questions devraient dès lors demeurer synthétiques</w:t>
      </w:r>
      <w:r>
        <w:rPr>
          <w:lang w:val="fr-BE"/>
        </w:rPr>
        <w:t>. L'espace prévu pour ces commentaires a dès lors été limité dans les cases concernées</w:t>
      </w:r>
      <w:r w:rsidRPr="000D5CA2">
        <w:rPr>
          <w:lang w:val="fr-BE"/>
        </w:rPr>
        <w:t>.</w:t>
      </w:r>
      <w:r w:rsidRPr="00955853">
        <w:rPr>
          <w:color w:val="0070C0"/>
          <w:lang w:val="fr-BE"/>
        </w:rPr>
        <w:t xml:space="preserve"> </w:t>
      </w:r>
    </w:p>
    <w:p w:rsidR="00495727" w:rsidRPr="000D5CA2" w:rsidRDefault="00495727" w:rsidP="00B44525">
      <w:pPr>
        <w:spacing w:after="120"/>
        <w:ind w:left="720"/>
        <w:jc w:val="both"/>
        <w:rPr>
          <w:lang w:val="fr-BE"/>
        </w:rPr>
      </w:pPr>
      <w:r w:rsidRPr="000D5CA2">
        <w:rPr>
          <w:lang w:val="fr-BE"/>
        </w:rPr>
        <w:t>Si l'institution financière souhaite</w:t>
      </w:r>
      <w:r>
        <w:rPr>
          <w:lang w:val="fr-BE"/>
        </w:rPr>
        <w:t xml:space="preserve"> </w:t>
      </w:r>
      <w:r w:rsidRPr="000D5CA2">
        <w:rPr>
          <w:lang w:val="fr-BE"/>
        </w:rPr>
        <w:t>faire référence dans ces commentaires à des documents internes (tel</w:t>
      </w:r>
      <w:r>
        <w:rPr>
          <w:lang w:val="fr-BE"/>
        </w:rPr>
        <w:t>s</w:t>
      </w:r>
      <w:r w:rsidRPr="000D5CA2">
        <w:rPr>
          <w:lang w:val="fr-BE"/>
        </w:rPr>
        <w:t xml:space="preserve"> </w:t>
      </w:r>
      <w:r>
        <w:rPr>
          <w:lang w:val="fr-BE"/>
        </w:rPr>
        <w:t xml:space="preserve">que </w:t>
      </w:r>
      <w:r w:rsidRPr="000D5CA2">
        <w:rPr>
          <w:lang w:val="fr-BE"/>
        </w:rPr>
        <w:t>le rapport annuel du responsable de la prévention du blanchiment de capitaux et du financement du terrorisme) ou externes (tel</w:t>
      </w:r>
      <w:r>
        <w:rPr>
          <w:lang w:val="fr-BE"/>
        </w:rPr>
        <w:t>s que</w:t>
      </w:r>
      <w:r w:rsidRPr="000D5CA2">
        <w:rPr>
          <w:lang w:val="fr-BE"/>
        </w:rPr>
        <w:t xml:space="preserve"> le</w:t>
      </w:r>
      <w:r>
        <w:rPr>
          <w:lang w:val="fr-BE"/>
        </w:rPr>
        <w:t>s</w:t>
      </w:r>
      <w:r w:rsidRPr="000D5CA2">
        <w:rPr>
          <w:lang w:val="fr-BE"/>
        </w:rPr>
        <w:t xml:space="preserve"> code</w:t>
      </w:r>
      <w:r>
        <w:rPr>
          <w:lang w:val="fr-BE"/>
        </w:rPr>
        <w:t xml:space="preserve">s sectoriels </w:t>
      </w:r>
      <w:r w:rsidRPr="000D5CA2">
        <w:rPr>
          <w:lang w:val="fr-BE"/>
        </w:rPr>
        <w:t xml:space="preserve">de bonne conduite), </w:t>
      </w:r>
      <w:r>
        <w:rPr>
          <w:lang w:val="fr-BE"/>
        </w:rPr>
        <w:t xml:space="preserve">il importe de veiller néanmoins à ce que les réponses au questionnaire demeurent suffisamment compréhensibles par elles-mêmes, sans devoir recourir à la consultation et à l'analyse des documents auxquels il est renvoyé. Comme indiqué plus haut, le questionnaire vise en effet à fournir à la Banque des informations lui permettant d'orienter l'exercice de ses compétences de contrôle en fonction des risques. Il ne peut donc servir à communiquer que des informations synthétiques et non détaillées. Dès lors, si les commentaires contiennent des renvois à d'autres documents, </w:t>
      </w:r>
      <w:r w:rsidRPr="000D5CA2">
        <w:rPr>
          <w:lang w:val="fr-BE"/>
        </w:rPr>
        <w:t xml:space="preserve">les services de contrôle pourront </w:t>
      </w:r>
      <w:r>
        <w:rPr>
          <w:lang w:val="fr-BE"/>
        </w:rPr>
        <w:t xml:space="preserve">en </w:t>
      </w:r>
      <w:r w:rsidRPr="000D5CA2">
        <w:rPr>
          <w:lang w:val="fr-BE"/>
        </w:rPr>
        <w:t xml:space="preserve">prendre connaissance, en cas de besoin, dans l'exercice ultérieur de leurs compétences de contrôle à distance ou sur place, </w:t>
      </w:r>
      <w:r>
        <w:rPr>
          <w:lang w:val="fr-BE"/>
        </w:rPr>
        <w:t>dans le but</w:t>
      </w:r>
      <w:r w:rsidRPr="000D5CA2">
        <w:rPr>
          <w:lang w:val="fr-BE"/>
        </w:rPr>
        <w:t xml:space="preserve"> </w:t>
      </w:r>
      <w:r>
        <w:rPr>
          <w:lang w:val="fr-BE"/>
        </w:rPr>
        <w:t>d'</w:t>
      </w:r>
      <w:r w:rsidRPr="000D5CA2">
        <w:rPr>
          <w:lang w:val="fr-BE"/>
        </w:rPr>
        <w:t xml:space="preserve">apprécier </w:t>
      </w:r>
      <w:r>
        <w:rPr>
          <w:lang w:val="fr-BE"/>
        </w:rPr>
        <w:t xml:space="preserve">plus précisément </w:t>
      </w:r>
      <w:r w:rsidRPr="000D5CA2">
        <w:rPr>
          <w:lang w:val="fr-BE"/>
        </w:rPr>
        <w:t>la portée exacte de la réponse.</w:t>
      </w:r>
      <w:r>
        <w:rPr>
          <w:lang w:val="fr-BE"/>
        </w:rPr>
        <w:t xml:space="preserve"> Ils ne seront en revanche pas analysés au stade de l'évaluation des risques par les services de la BNB.</w:t>
      </w:r>
    </w:p>
    <w:p w:rsidR="00CE5378" w:rsidRDefault="00CE5378" w:rsidP="00B44525">
      <w:pPr>
        <w:pStyle w:val="ListParagraph"/>
        <w:spacing w:after="120"/>
        <w:rPr>
          <w:lang w:val="fr-BE"/>
        </w:rPr>
      </w:pPr>
    </w:p>
    <w:p w:rsidR="00327644" w:rsidRDefault="00327644" w:rsidP="00B44525">
      <w:pPr>
        <w:pStyle w:val="ListParagraph"/>
        <w:spacing w:after="120"/>
        <w:rPr>
          <w:lang w:val="fr-BE"/>
        </w:rPr>
      </w:pPr>
    </w:p>
    <w:p w:rsidR="00327644" w:rsidRDefault="00327644" w:rsidP="00B44525">
      <w:pPr>
        <w:pStyle w:val="ListParagraph"/>
        <w:spacing w:after="120"/>
        <w:rPr>
          <w:lang w:val="fr-BE"/>
        </w:rPr>
      </w:pPr>
    </w:p>
    <w:p w:rsidR="00327644" w:rsidRPr="006B4C0E" w:rsidRDefault="00327644" w:rsidP="00B44525">
      <w:pPr>
        <w:pStyle w:val="ListParagraph"/>
        <w:spacing w:after="120"/>
        <w:rPr>
          <w:lang w:val="fr-BE"/>
        </w:rPr>
      </w:pPr>
    </w:p>
    <w:p w:rsidR="003E5624" w:rsidRDefault="003E5624" w:rsidP="00B44525">
      <w:pPr>
        <w:spacing w:after="120"/>
        <w:jc w:val="both"/>
        <w:rPr>
          <w:lang w:val="fr-BE"/>
        </w:rPr>
      </w:pPr>
    </w:p>
    <w:p w:rsidR="00DA3057" w:rsidRPr="006B4C0E" w:rsidRDefault="00DA3057" w:rsidP="00B44525">
      <w:pPr>
        <w:spacing w:after="120"/>
        <w:jc w:val="both"/>
        <w:rPr>
          <w:lang w:val="fr-BE"/>
        </w:rPr>
      </w:pPr>
    </w:p>
    <w:p w:rsidR="003E5624" w:rsidRPr="006B4C0E" w:rsidRDefault="003E5624" w:rsidP="00B44525">
      <w:pPr>
        <w:pStyle w:val="ListParagraph"/>
        <w:numPr>
          <w:ilvl w:val="0"/>
          <w:numId w:val="32"/>
        </w:numPr>
        <w:spacing w:before="240" w:after="240"/>
        <w:ind w:left="567" w:hanging="567"/>
        <w:contextualSpacing w:val="0"/>
        <w:rPr>
          <w:b/>
          <w:sz w:val="22"/>
          <w:u w:val="single"/>
          <w:lang w:val="fr-BE"/>
        </w:rPr>
      </w:pPr>
      <w:r w:rsidRPr="006B4C0E">
        <w:rPr>
          <w:b/>
          <w:sz w:val="22"/>
          <w:u w:val="single"/>
          <w:lang w:val="fr-BE"/>
        </w:rPr>
        <w:lastRenderedPageBreak/>
        <w:t>Périodicité des réponses</w:t>
      </w:r>
    </w:p>
    <w:p w:rsidR="003E5624" w:rsidRPr="00D325CC" w:rsidRDefault="003E5624" w:rsidP="00B44525">
      <w:pPr>
        <w:spacing w:after="120"/>
        <w:jc w:val="both"/>
        <w:rPr>
          <w:lang w:val="fr-BE"/>
        </w:rPr>
      </w:pPr>
      <w:r w:rsidRPr="006B4C0E">
        <w:rPr>
          <w:lang w:val="fr-BE"/>
        </w:rPr>
        <w:t xml:space="preserve">Les </w:t>
      </w:r>
      <w:r w:rsidR="00D325CC">
        <w:rPr>
          <w:lang w:val="fr-BE"/>
        </w:rPr>
        <w:t>établissements financiers</w:t>
      </w:r>
      <w:r w:rsidRPr="00D325CC">
        <w:rPr>
          <w:lang w:val="fr-BE"/>
        </w:rPr>
        <w:t xml:space="preserve"> sont invités à répondre une fois par an au questionnaire périodique relatif à la lutte contre le blanchiment de capitaux, le financement du terrorisme et la prolifération des armes de destruction massive, sur la base de la situation au 31 décembre de chaque année.</w:t>
      </w:r>
    </w:p>
    <w:p w:rsidR="003E5624" w:rsidRPr="006B4C0E" w:rsidRDefault="003E5624" w:rsidP="00B44525">
      <w:pPr>
        <w:spacing w:after="120"/>
        <w:jc w:val="both"/>
        <w:rPr>
          <w:lang w:val="fr-BE"/>
        </w:rPr>
      </w:pPr>
      <w:r w:rsidRPr="006B4C0E">
        <w:rPr>
          <w:lang w:val="fr-BE"/>
        </w:rPr>
        <w:t>Leurs réponses devront parvenir à la Banque avant le 28 février de l'année qui suit.</w:t>
      </w:r>
    </w:p>
    <w:p w:rsidR="003E5624" w:rsidRPr="006B4C0E" w:rsidRDefault="003E5624" w:rsidP="00B44525">
      <w:pPr>
        <w:spacing w:after="120"/>
        <w:jc w:val="both"/>
        <w:rPr>
          <w:lang w:val="fr-BE"/>
        </w:rPr>
      </w:pPr>
      <w:r w:rsidRPr="006B4C0E">
        <w:rPr>
          <w:lang w:val="fr-BE"/>
        </w:rPr>
        <w:t>Cependant, à partir de la 2</w:t>
      </w:r>
      <w:r w:rsidR="00344E68" w:rsidRPr="006B4C0E">
        <w:rPr>
          <w:vertAlign w:val="superscript"/>
          <w:lang w:val="fr-BE"/>
        </w:rPr>
        <w:t>e</w:t>
      </w:r>
      <w:r w:rsidRPr="006B4C0E">
        <w:rPr>
          <w:lang w:val="fr-BE"/>
        </w:rPr>
        <w:t xml:space="preserve"> année, la réponse au questionnaire devra être fournie sur la base d'une actualisation des réponses de l'année précédente. Sans préjudice des questions complémentaires qui pourraient être progressivement ajoutées au questionnaire, seule une mise à jour des réponses fournies l'année précédente sera donc requise, moyennant la confirmation que les réponses non modifiées de l'année précédente restent valides.</w:t>
      </w:r>
    </w:p>
    <w:p w:rsidR="003E5624" w:rsidRPr="006B4C0E" w:rsidRDefault="003E5624" w:rsidP="00B44525">
      <w:pPr>
        <w:pStyle w:val="ListParagraph"/>
        <w:numPr>
          <w:ilvl w:val="0"/>
          <w:numId w:val="32"/>
        </w:numPr>
        <w:spacing w:before="240" w:after="240"/>
        <w:ind w:left="567" w:hanging="567"/>
        <w:contextualSpacing w:val="0"/>
        <w:rPr>
          <w:b/>
          <w:sz w:val="22"/>
          <w:u w:val="single"/>
          <w:lang w:val="fr-BE"/>
        </w:rPr>
      </w:pPr>
      <w:r w:rsidRPr="006B4C0E">
        <w:rPr>
          <w:b/>
          <w:sz w:val="22"/>
          <w:u w:val="single"/>
          <w:lang w:val="fr-BE"/>
        </w:rPr>
        <w:t>Responsabilité de l'exactitude des réponses et signature</w:t>
      </w:r>
    </w:p>
    <w:p w:rsidR="003E5624" w:rsidRPr="00D325CC" w:rsidRDefault="003E5624" w:rsidP="00B44525">
      <w:pPr>
        <w:spacing w:after="120"/>
        <w:jc w:val="both"/>
        <w:rPr>
          <w:lang w:val="fr-BE"/>
        </w:rPr>
      </w:pPr>
      <w:r w:rsidRPr="006B4C0E">
        <w:rPr>
          <w:lang w:val="fr-BE"/>
        </w:rPr>
        <w:t xml:space="preserve">Les réponses au questionnaire sont transmises à la Banque sous la responsabilité ultime de la direction effective de </w:t>
      </w:r>
      <w:r w:rsidR="00D325CC">
        <w:rPr>
          <w:lang w:val="fr-BE"/>
        </w:rPr>
        <w:t>l’établissement financier</w:t>
      </w:r>
      <w:r w:rsidRPr="00D325CC">
        <w:rPr>
          <w:lang w:val="fr-BE"/>
        </w:rPr>
        <w:t xml:space="preserve"> répondant. </w:t>
      </w:r>
    </w:p>
    <w:p w:rsidR="003E5624" w:rsidRPr="00226A40" w:rsidRDefault="003E5624" w:rsidP="00B44525">
      <w:pPr>
        <w:spacing w:after="120"/>
        <w:jc w:val="both"/>
        <w:rPr>
          <w:lang w:val="fr-BE"/>
        </w:rPr>
      </w:pPr>
      <w:r w:rsidRPr="00D325CC">
        <w:rPr>
          <w:lang w:val="fr-BE"/>
        </w:rPr>
        <w:t xml:space="preserve">Il est toutefois rappelé que le responsable désigné au sein de chaque </w:t>
      </w:r>
      <w:r w:rsidR="00D325CC">
        <w:rPr>
          <w:lang w:val="fr-BE"/>
        </w:rPr>
        <w:t>établissement financier</w:t>
      </w:r>
      <w:r w:rsidRPr="00D325CC">
        <w:rPr>
          <w:lang w:val="fr-BE"/>
        </w:rPr>
        <w:t xml:space="preserve"> conformément à l'article 18 de la loi du 11 janvier 1993, est principalement chargé, en vertu de cette même disposition légale, non seulement de l'analyse des opérations atypiques en vue de déterminer si elles doivent être considérées comme suspectes et communiquées à la Cellule de </w:t>
      </w:r>
      <w:r w:rsidR="00226A40">
        <w:rPr>
          <w:lang w:val="fr-BE"/>
        </w:rPr>
        <w:t>t</w:t>
      </w:r>
      <w:r w:rsidR="00226A40" w:rsidRPr="00D325CC">
        <w:rPr>
          <w:lang w:val="fr-BE"/>
        </w:rPr>
        <w:t xml:space="preserve">raitement </w:t>
      </w:r>
      <w:r w:rsidRPr="00D325CC">
        <w:rPr>
          <w:lang w:val="fr-BE"/>
        </w:rPr>
        <w:t xml:space="preserve">des </w:t>
      </w:r>
      <w:r w:rsidR="00226A40">
        <w:rPr>
          <w:lang w:val="fr-BE"/>
        </w:rPr>
        <w:t>i</w:t>
      </w:r>
      <w:r w:rsidR="00226A40" w:rsidRPr="00D325CC">
        <w:rPr>
          <w:lang w:val="fr-BE"/>
        </w:rPr>
        <w:t xml:space="preserve">nformations </w:t>
      </w:r>
      <w:r w:rsidR="00226A40">
        <w:rPr>
          <w:lang w:val="fr-BE"/>
        </w:rPr>
        <w:t>f</w:t>
      </w:r>
      <w:r w:rsidR="00226A40" w:rsidRPr="00D325CC">
        <w:rPr>
          <w:lang w:val="fr-BE"/>
        </w:rPr>
        <w:t xml:space="preserve">inancières </w:t>
      </w:r>
      <w:r w:rsidRPr="00D325CC">
        <w:rPr>
          <w:lang w:val="fr-BE"/>
        </w:rPr>
        <w:t>(CTIF), mais aussi de la mise en œuvre des mesures et procédures visées aux articles 16 et 17 de la loi. Sont tout particulièrement visées les mesures et procédures de contrôle interne nécessaires en vue d'assurer le respect de la loi, et qui font l'objet du questionnaire. L'article 35, § 3, alinéa 1</w:t>
      </w:r>
      <w:r w:rsidRPr="00D325CC">
        <w:rPr>
          <w:vertAlign w:val="superscript"/>
          <w:lang w:val="fr-BE"/>
        </w:rPr>
        <w:t>er</w:t>
      </w:r>
      <w:r w:rsidRPr="00D325CC">
        <w:rPr>
          <w:lang w:val="fr-BE"/>
        </w:rPr>
        <w:t xml:space="preserve">, du </w:t>
      </w:r>
      <w:r w:rsidR="00226A40">
        <w:rPr>
          <w:lang w:val="fr-BE"/>
        </w:rPr>
        <w:t>r</w:t>
      </w:r>
      <w:r w:rsidR="00226A40" w:rsidRPr="00D325CC">
        <w:rPr>
          <w:lang w:val="fr-BE"/>
        </w:rPr>
        <w:t xml:space="preserve">èglement </w:t>
      </w:r>
      <w:r w:rsidRPr="00D325CC">
        <w:rPr>
          <w:lang w:val="fr-BE"/>
        </w:rPr>
        <w:t xml:space="preserve">du 23 février 2010 de la CBFA précise également que </w:t>
      </w:r>
      <w:r w:rsidRPr="00226A40">
        <w:rPr>
          <w:rFonts w:cs="Arial"/>
          <w:iCs/>
          <w:lang w:val="fr-BE" w:eastAsia="nl-BE"/>
        </w:rPr>
        <w:t xml:space="preserve">ce responsable doit veiller, d’une manière générale, au respect par l’organisme de l’ensemble de ses obligations de prévention du blanchiment de capitaux et du financement du terrorisme, et, notamment, à la mise en place de l'organisation administrative et des mesures de contrôle interne requises en vertu de l'article 16 de la loi. Ce responsable doit en outre disposer du pouvoir de proposer de sa propre initiative à la direction effective de l’organisme toutes </w:t>
      </w:r>
      <w:r w:rsidR="00226A40">
        <w:rPr>
          <w:rFonts w:cs="Arial"/>
          <w:iCs/>
          <w:lang w:val="fr-BE" w:eastAsia="nl-BE"/>
        </w:rPr>
        <w:t xml:space="preserve">les </w:t>
      </w:r>
      <w:r w:rsidRPr="00226A40">
        <w:rPr>
          <w:rFonts w:cs="Arial"/>
          <w:iCs/>
          <w:lang w:val="fr-BE" w:eastAsia="nl-BE"/>
        </w:rPr>
        <w:t>mesures nécessaires ou utiles à cet effet, en ce compris la libération des moyens requis.</w:t>
      </w:r>
    </w:p>
    <w:p w:rsidR="003E5624" w:rsidRPr="00226A40" w:rsidRDefault="003E5624" w:rsidP="00B44525">
      <w:pPr>
        <w:spacing w:after="120"/>
        <w:jc w:val="both"/>
        <w:rPr>
          <w:b/>
          <w:color w:val="0070C0"/>
          <w:u w:val="single"/>
          <w:lang w:val="fr-BE"/>
        </w:rPr>
      </w:pPr>
      <w:r w:rsidRPr="00226A40">
        <w:rPr>
          <w:lang w:val="fr-BE"/>
        </w:rPr>
        <w:t xml:space="preserve">En conséquence, la Banque s'attend à ce que la direction effective de </w:t>
      </w:r>
      <w:r w:rsidR="00226A40">
        <w:rPr>
          <w:lang w:val="fr-BE"/>
        </w:rPr>
        <w:t>l’établissement financier</w:t>
      </w:r>
      <w:r w:rsidRPr="00226A40">
        <w:rPr>
          <w:lang w:val="fr-BE"/>
        </w:rPr>
        <w:t xml:space="preserve"> décide des réponses à fournir au questionnaire sur proposition du responsable de la prévention du blanchiment de capitaux et du financement du terrorisme. </w:t>
      </w:r>
    </w:p>
    <w:p w:rsidR="003E5624" w:rsidRPr="006B4C0E" w:rsidRDefault="003E5624" w:rsidP="00B44525">
      <w:pPr>
        <w:pStyle w:val="ListParagraph"/>
        <w:numPr>
          <w:ilvl w:val="0"/>
          <w:numId w:val="32"/>
        </w:numPr>
        <w:spacing w:before="240" w:after="240"/>
        <w:ind w:left="567" w:hanging="567"/>
        <w:contextualSpacing w:val="0"/>
        <w:rPr>
          <w:b/>
          <w:sz w:val="22"/>
          <w:u w:val="single"/>
          <w:lang w:val="fr-BE"/>
        </w:rPr>
      </w:pPr>
      <w:r w:rsidRPr="006B4C0E">
        <w:rPr>
          <w:b/>
          <w:sz w:val="22"/>
          <w:u w:val="single"/>
          <w:lang w:val="fr-BE"/>
        </w:rPr>
        <w:t>Modalités techniques</w:t>
      </w:r>
    </w:p>
    <w:p w:rsidR="003E5624" w:rsidRPr="00491355" w:rsidRDefault="003E5624" w:rsidP="00B44525">
      <w:pPr>
        <w:spacing w:after="120" w:line="276" w:lineRule="auto"/>
        <w:jc w:val="both"/>
        <w:rPr>
          <w:lang w:val="fr-BE"/>
        </w:rPr>
      </w:pPr>
      <w:r w:rsidRPr="006B4C0E">
        <w:rPr>
          <w:lang w:val="fr-BE"/>
        </w:rPr>
        <w:t>Pour répondre au questionnaire, un formulaire électronique (</w:t>
      </w:r>
      <w:r w:rsidR="00491355">
        <w:rPr>
          <w:rFonts w:cs="Arial"/>
          <w:lang w:val="fr-BE"/>
        </w:rPr>
        <w:t>«</w:t>
      </w:r>
      <w:r w:rsidR="00491355">
        <w:rPr>
          <w:lang w:val="fr-BE"/>
        </w:rPr>
        <w:t> </w:t>
      </w:r>
      <w:proofErr w:type="spellStart"/>
      <w:r w:rsidRPr="00491355">
        <w:rPr>
          <w:lang w:val="fr-BE"/>
        </w:rPr>
        <w:t>webform</w:t>
      </w:r>
      <w:proofErr w:type="spellEnd"/>
      <w:r w:rsidR="00491355">
        <w:rPr>
          <w:lang w:val="fr-BE"/>
        </w:rPr>
        <w:t> </w:t>
      </w:r>
      <w:r w:rsidR="00491355">
        <w:rPr>
          <w:rFonts w:cs="Arial"/>
          <w:lang w:val="fr-BE"/>
        </w:rPr>
        <w:t>»</w:t>
      </w:r>
      <w:r w:rsidR="00491355" w:rsidRPr="00491355">
        <w:rPr>
          <w:lang w:val="fr-BE"/>
        </w:rPr>
        <w:t xml:space="preserve">) </w:t>
      </w:r>
      <w:r w:rsidRPr="00491355">
        <w:rPr>
          <w:lang w:val="fr-BE"/>
        </w:rPr>
        <w:t xml:space="preserve">sera mis à la disposition des </w:t>
      </w:r>
      <w:r w:rsidR="00491355">
        <w:rPr>
          <w:lang w:val="fr-BE"/>
        </w:rPr>
        <w:t>établissements financiers</w:t>
      </w:r>
      <w:r w:rsidRPr="00491355">
        <w:rPr>
          <w:lang w:val="fr-BE"/>
        </w:rPr>
        <w:t xml:space="preserve"> au plus tard dans les premiers jours de chaque année.</w:t>
      </w:r>
    </w:p>
    <w:p w:rsidR="003E5624" w:rsidRPr="00491355" w:rsidRDefault="003E5624" w:rsidP="00B44525">
      <w:pPr>
        <w:spacing w:after="120" w:line="276" w:lineRule="auto"/>
        <w:jc w:val="both"/>
        <w:rPr>
          <w:lang w:val="fr-BE"/>
        </w:rPr>
      </w:pPr>
      <w:r w:rsidRPr="00491355">
        <w:rPr>
          <w:lang w:val="fr-BE"/>
        </w:rPr>
        <w:t xml:space="preserve">Ce formulaire électronique sera accessible au moyen du système </w:t>
      </w:r>
      <w:r w:rsidR="00491355">
        <w:rPr>
          <w:rFonts w:cs="Arial"/>
          <w:lang w:val="fr-BE"/>
        </w:rPr>
        <w:t>«</w:t>
      </w:r>
      <w:r w:rsidR="00491355">
        <w:rPr>
          <w:lang w:val="fr-BE"/>
        </w:rPr>
        <w:t> </w:t>
      </w:r>
      <w:proofErr w:type="spellStart"/>
      <w:r w:rsidRPr="00491355">
        <w:rPr>
          <w:lang w:val="fr-BE"/>
        </w:rPr>
        <w:t>OneGate</w:t>
      </w:r>
      <w:proofErr w:type="spellEnd"/>
      <w:r w:rsidR="00491355">
        <w:rPr>
          <w:lang w:val="fr-BE"/>
        </w:rPr>
        <w:t> </w:t>
      </w:r>
      <w:r w:rsidR="00491355">
        <w:rPr>
          <w:rFonts w:cs="Arial"/>
          <w:lang w:val="fr-BE"/>
        </w:rPr>
        <w:t>»</w:t>
      </w:r>
      <w:r w:rsidR="00491355">
        <w:rPr>
          <w:lang w:val="fr-BE"/>
        </w:rPr>
        <w:t>.</w:t>
      </w:r>
      <w:r w:rsidR="00491355" w:rsidRPr="00491355">
        <w:rPr>
          <w:lang w:val="fr-BE"/>
        </w:rPr>
        <w:t xml:space="preserve"> </w:t>
      </w:r>
    </w:p>
    <w:p w:rsidR="003E5624" w:rsidRPr="00491355" w:rsidRDefault="003E5624" w:rsidP="00B44525">
      <w:pPr>
        <w:spacing w:after="120" w:line="276" w:lineRule="auto"/>
        <w:jc w:val="both"/>
        <w:rPr>
          <w:lang w:val="fr-BE"/>
        </w:rPr>
      </w:pPr>
      <w:r w:rsidRPr="00491355">
        <w:rPr>
          <w:lang w:val="fr-BE"/>
        </w:rPr>
        <w:t xml:space="preserve">Il appartiendra aux </w:t>
      </w:r>
      <w:r w:rsidR="00491355">
        <w:rPr>
          <w:lang w:val="fr-BE"/>
        </w:rPr>
        <w:t>établissements financiers</w:t>
      </w:r>
      <w:r w:rsidRPr="00491355">
        <w:rPr>
          <w:lang w:val="fr-BE"/>
        </w:rPr>
        <w:t xml:space="preserve"> de définir des procédures internes pour la validation des réponses. </w:t>
      </w:r>
    </w:p>
    <w:p w:rsidR="003E5624" w:rsidRPr="006B4C0E" w:rsidRDefault="003E5624" w:rsidP="00B44525">
      <w:pPr>
        <w:spacing w:after="120" w:line="276" w:lineRule="auto"/>
        <w:jc w:val="both"/>
        <w:rPr>
          <w:lang w:val="fr-BE"/>
        </w:rPr>
      </w:pPr>
      <w:r w:rsidRPr="006B4C0E">
        <w:rPr>
          <w:lang w:val="fr-BE"/>
        </w:rPr>
        <w:t>Un manuel d'utilisation sera édité par la Banque.</w:t>
      </w:r>
    </w:p>
    <w:p w:rsidR="003E5624" w:rsidRPr="00764C44" w:rsidRDefault="003E5624" w:rsidP="00B44525">
      <w:pPr>
        <w:spacing w:after="120" w:line="276" w:lineRule="auto"/>
        <w:jc w:val="both"/>
        <w:rPr>
          <w:lang w:val="fr-BE"/>
        </w:rPr>
      </w:pPr>
      <w:r w:rsidRPr="006B4C0E">
        <w:rPr>
          <w:lang w:val="fr-BE"/>
        </w:rPr>
        <w:t xml:space="preserve">Un helpdesk sera en outre mis à la disposition des </w:t>
      </w:r>
      <w:r w:rsidR="00764C44">
        <w:rPr>
          <w:lang w:val="fr-BE"/>
        </w:rPr>
        <w:t>établissements financiers</w:t>
      </w:r>
      <w:r w:rsidRPr="00764C44">
        <w:rPr>
          <w:lang w:val="fr-BE"/>
        </w:rPr>
        <w:t xml:space="preserve"> pour les aider à faire face aux difficultés techniques </w:t>
      </w:r>
      <w:r w:rsidR="00336841" w:rsidRPr="00764C44">
        <w:rPr>
          <w:lang w:val="fr-BE"/>
        </w:rPr>
        <w:t>qu'</w:t>
      </w:r>
      <w:r w:rsidR="00336841">
        <w:rPr>
          <w:lang w:val="fr-BE"/>
        </w:rPr>
        <w:t>il</w:t>
      </w:r>
      <w:r w:rsidR="00336841" w:rsidRPr="00764C44">
        <w:rPr>
          <w:lang w:val="fr-BE"/>
        </w:rPr>
        <w:t xml:space="preserve">s </w:t>
      </w:r>
      <w:r w:rsidRPr="00764C44">
        <w:rPr>
          <w:lang w:val="fr-BE"/>
        </w:rPr>
        <w:t xml:space="preserve">pourraient rencontrer dans l'utilisation de l'outil. </w:t>
      </w:r>
    </w:p>
    <w:p w:rsidR="003E5624" w:rsidRPr="00336841" w:rsidRDefault="003E5624" w:rsidP="00B44525">
      <w:pPr>
        <w:spacing w:after="120" w:line="276" w:lineRule="auto"/>
        <w:jc w:val="both"/>
        <w:rPr>
          <w:lang w:val="fr-BE"/>
        </w:rPr>
      </w:pPr>
      <w:r w:rsidRPr="00336841">
        <w:rPr>
          <w:lang w:val="fr-BE"/>
        </w:rPr>
        <w:t xml:space="preserve">Après que les réponses auront été définitivement validées par </w:t>
      </w:r>
      <w:r w:rsidR="00336841">
        <w:rPr>
          <w:lang w:val="fr-BE"/>
        </w:rPr>
        <w:t>l’établissement financier</w:t>
      </w:r>
      <w:r w:rsidRPr="00336841">
        <w:rPr>
          <w:lang w:val="fr-BE"/>
        </w:rPr>
        <w:t xml:space="preserve">, une pré-analyse automatisée de ces réponses sera effectuée dans le but de délivrer aux équipes de contrôle un </w:t>
      </w:r>
      <w:proofErr w:type="spellStart"/>
      <w:r w:rsidRPr="00336841">
        <w:rPr>
          <w:lang w:val="fr-BE"/>
        </w:rPr>
        <w:t>dashboard</w:t>
      </w:r>
      <w:proofErr w:type="spellEnd"/>
      <w:r w:rsidRPr="00336841">
        <w:rPr>
          <w:lang w:val="fr-BE"/>
        </w:rPr>
        <w:t xml:space="preserve"> leur permettant de focaliser leur attention sur les points les plus significatifs qui ressortiront de ces réponses. Dès lors, aucune autre forme de remise des réponses au questionnaire ne sera admise.</w:t>
      </w:r>
    </w:p>
    <w:p w:rsidR="003E5624" w:rsidRPr="006B4C0E" w:rsidRDefault="009772C2" w:rsidP="00B44525">
      <w:pPr>
        <w:spacing w:after="120" w:line="276" w:lineRule="auto"/>
        <w:jc w:val="both"/>
        <w:rPr>
          <w:color w:val="0070C0"/>
          <w:lang w:val="fr-BE"/>
        </w:rPr>
      </w:pPr>
      <w:r>
        <w:rPr>
          <w:color w:val="0070C0"/>
          <w:lang w:val="fr-BE"/>
        </w:rPr>
        <w:pict>
          <v:rect id="_x0000_i1025" style="width:0;height:1.5pt" o:hralign="center" o:hrstd="t" o:hr="t" fillcolor="gray" stroked="f"/>
        </w:pict>
      </w:r>
    </w:p>
    <w:p w:rsidR="00B614D1" w:rsidRPr="006B4C0E" w:rsidRDefault="00B614D1" w:rsidP="00B44525">
      <w:pPr>
        <w:tabs>
          <w:tab w:val="clear" w:pos="284"/>
        </w:tabs>
        <w:spacing w:line="240" w:lineRule="auto"/>
        <w:jc w:val="both"/>
        <w:rPr>
          <w:lang w:val="fr-BE"/>
        </w:rPr>
      </w:pPr>
    </w:p>
    <w:sectPr w:rsidR="00B614D1" w:rsidRPr="006B4C0E" w:rsidSect="00D850C8">
      <w:headerReference w:type="even" r:id="rId10"/>
      <w:headerReference w:type="default" r:id="rId11"/>
      <w:footerReference w:type="even" r:id="rId12"/>
      <w:footerReference w:type="default" r:id="rId13"/>
      <w:footerReference w:type="first" r:id="rId14"/>
      <w:footnotePr>
        <w:numRestart w:val="eachSect"/>
      </w:footnotePr>
      <w:pgSz w:w="11907" w:h="16840" w:code="9"/>
      <w:pgMar w:top="510" w:right="1134" w:bottom="1361" w:left="1418" w:header="397" w:footer="1191"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DD6" w:rsidRDefault="00094DD6">
      <w:r>
        <w:separator/>
      </w:r>
    </w:p>
  </w:endnote>
  <w:endnote w:type="continuationSeparator" w:id="0">
    <w:p w:rsidR="00094DD6" w:rsidRDefault="00094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DD6" w:rsidRPr="00B71DAA" w:rsidRDefault="00094DD6" w:rsidP="00E87276">
    <w:pPr>
      <w:pStyle w:val="Footer"/>
      <w:pBdr>
        <w:top w:val="single" w:sz="4" w:space="1" w:color="auto"/>
      </w:pBdr>
      <w:rPr>
        <w:b/>
        <w:sz w:val="16"/>
        <w:szCs w:val="16"/>
        <w:lang w:val="fr-BE"/>
      </w:rPr>
    </w:pPr>
    <w:r w:rsidRPr="003539F9">
      <w:rPr>
        <w:b/>
        <w:sz w:val="16"/>
        <w:szCs w:val="16"/>
        <w:lang w:val="fr-BE"/>
      </w:rPr>
      <w:t>Annexe 2</w:t>
    </w:r>
    <w:r w:rsidRPr="003539F9">
      <w:rPr>
        <w:rFonts w:cs="Arial"/>
        <w:b/>
        <w:sz w:val="16"/>
        <w:szCs w:val="16"/>
        <w:lang w:val="nl-BE"/>
      </w:rPr>
      <w:t> </w:t>
    </w:r>
    <w:r w:rsidRPr="003539F9">
      <w:rPr>
        <w:rFonts w:cs="Arial"/>
        <w:b/>
        <w:sz w:val="16"/>
        <w:szCs w:val="16"/>
        <w:lang w:val="fr-BE"/>
      </w:rPr>
      <w:t>–</w:t>
    </w:r>
    <w:r w:rsidRPr="003539F9">
      <w:rPr>
        <w:rFonts w:cs="Arial"/>
        <w:b/>
        <w:sz w:val="16"/>
        <w:szCs w:val="16"/>
        <w:lang w:val="nl-BE"/>
      </w:rPr>
      <w:t> </w:t>
    </w:r>
    <w:r w:rsidRPr="003539F9">
      <w:rPr>
        <w:b/>
        <w:sz w:val="16"/>
        <w:szCs w:val="16"/>
        <w:lang w:val="fr-BE"/>
      </w:rPr>
      <w:t xml:space="preserve">Page </w:t>
    </w:r>
    <w:r w:rsidRPr="003539F9">
      <w:rPr>
        <w:b/>
        <w:sz w:val="16"/>
        <w:szCs w:val="16"/>
        <w:lang w:val="nl-BE"/>
      </w:rPr>
      <w:fldChar w:fldCharType="begin"/>
    </w:r>
    <w:r w:rsidRPr="003539F9">
      <w:rPr>
        <w:b/>
        <w:sz w:val="16"/>
        <w:szCs w:val="16"/>
        <w:lang w:val="fr-BE"/>
      </w:rPr>
      <w:instrText xml:space="preserve"> PAGE   </w:instrText>
    </w:r>
    <w:r w:rsidRPr="003539F9">
      <w:rPr>
        <w:b/>
        <w:sz w:val="16"/>
        <w:szCs w:val="16"/>
        <w:lang w:val="nl-BE"/>
      </w:rPr>
      <w:fldChar w:fldCharType="separate"/>
    </w:r>
    <w:r w:rsidR="009772C2">
      <w:rPr>
        <w:b/>
        <w:noProof/>
        <w:sz w:val="16"/>
        <w:szCs w:val="16"/>
        <w:lang w:val="fr-BE"/>
      </w:rPr>
      <w:t>2</w:t>
    </w:r>
    <w:r w:rsidRPr="003539F9">
      <w:rPr>
        <w:b/>
        <w:sz w:val="16"/>
        <w:szCs w:val="16"/>
        <w:lang w:val="nl-BE"/>
      </w:rPr>
      <w:fldChar w:fldCharType="end"/>
    </w:r>
    <w:r w:rsidRPr="003539F9">
      <w:rPr>
        <w:b/>
        <w:sz w:val="16"/>
        <w:szCs w:val="16"/>
        <w:lang w:val="fr-BE"/>
      </w:rPr>
      <w:t>/</w:t>
    </w:r>
    <w:r w:rsidRPr="003539F9">
      <w:rPr>
        <w:b/>
        <w:sz w:val="16"/>
        <w:szCs w:val="16"/>
        <w:lang w:val="nl-BE"/>
      </w:rPr>
      <w:fldChar w:fldCharType="begin"/>
    </w:r>
    <w:r w:rsidRPr="003539F9">
      <w:rPr>
        <w:b/>
        <w:sz w:val="16"/>
        <w:szCs w:val="16"/>
        <w:lang w:val="fr-BE"/>
      </w:rPr>
      <w:instrText xml:space="preserve"> NUMPAGES   </w:instrText>
    </w:r>
    <w:r w:rsidRPr="003539F9">
      <w:rPr>
        <w:b/>
        <w:sz w:val="16"/>
        <w:szCs w:val="16"/>
        <w:lang w:val="nl-BE"/>
      </w:rPr>
      <w:fldChar w:fldCharType="separate"/>
    </w:r>
    <w:r w:rsidR="009772C2">
      <w:rPr>
        <w:b/>
        <w:noProof/>
        <w:sz w:val="16"/>
        <w:szCs w:val="16"/>
        <w:lang w:val="fr-BE"/>
      </w:rPr>
      <w:t>8</w:t>
    </w:r>
    <w:r w:rsidRPr="003539F9">
      <w:rPr>
        <w:b/>
        <w:sz w:val="16"/>
        <w:szCs w:val="16"/>
        <w:lang w:val="nl-BE"/>
      </w:rPr>
      <w:fldChar w:fldCharType="end"/>
    </w:r>
    <w:r w:rsidRPr="003539F9">
      <w:rPr>
        <w:b/>
        <w:sz w:val="16"/>
        <w:szCs w:val="16"/>
        <w:lang w:val="fr-BE"/>
      </w:rPr>
      <w:tab/>
    </w:r>
    <w:r w:rsidR="00B44525" w:rsidRPr="00B44525">
      <w:rPr>
        <w:sz w:val="14"/>
        <w:szCs w:val="16"/>
        <w:lang w:val="fr-BE"/>
      </w:rPr>
      <w:t>NBB_2016_42</w:t>
    </w:r>
    <w:r w:rsidR="00B44525" w:rsidRPr="00B44525">
      <w:rPr>
        <w:rFonts w:cs="Arial"/>
        <w:sz w:val="14"/>
        <w:szCs w:val="16"/>
        <w:lang w:val="nl-BE"/>
      </w:rPr>
      <w:t> </w:t>
    </w:r>
    <w:r w:rsidR="00B44525" w:rsidRPr="00B44525">
      <w:rPr>
        <w:rFonts w:cs="Arial"/>
        <w:sz w:val="14"/>
        <w:szCs w:val="16"/>
        <w:lang w:val="fr-BE"/>
      </w:rPr>
      <w:t>–</w:t>
    </w:r>
    <w:r w:rsidR="00B44525" w:rsidRPr="00B44525">
      <w:rPr>
        <w:rFonts w:cs="Arial"/>
        <w:sz w:val="14"/>
        <w:szCs w:val="16"/>
        <w:lang w:val="nl-BE"/>
      </w:rPr>
      <w:t> </w:t>
    </w:r>
    <w:r w:rsidR="00B44525" w:rsidRPr="00B44525">
      <w:rPr>
        <w:sz w:val="14"/>
        <w:szCs w:val="16"/>
        <w:lang w:val="fr-BE"/>
      </w:rPr>
      <w:t>26 octobre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DD6" w:rsidRPr="00B71DAA" w:rsidRDefault="00094DD6" w:rsidP="00F64E38">
    <w:pPr>
      <w:pStyle w:val="Footer"/>
      <w:pBdr>
        <w:top w:val="single" w:sz="4" w:space="1" w:color="auto"/>
      </w:pBdr>
      <w:rPr>
        <w:b/>
        <w:sz w:val="16"/>
        <w:szCs w:val="14"/>
        <w:lang w:val="fr-BE"/>
      </w:rPr>
    </w:pPr>
    <w:r>
      <w:rPr>
        <w:b/>
        <w:sz w:val="16"/>
        <w:szCs w:val="14"/>
        <w:lang w:val="nl-BE"/>
      </w:rPr>
      <w:tab/>
    </w:r>
    <w:r w:rsidR="00B44525" w:rsidRPr="00B44525">
      <w:rPr>
        <w:sz w:val="14"/>
        <w:szCs w:val="16"/>
        <w:lang w:val="fr-BE"/>
      </w:rPr>
      <w:t>NBB_2016_42</w:t>
    </w:r>
    <w:r w:rsidR="00B44525" w:rsidRPr="00B44525">
      <w:rPr>
        <w:rFonts w:cs="Arial"/>
        <w:sz w:val="14"/>
        <w:szCs w:val="16"/>
        <w:lang w:val="nl-BE"/>
      </w:rPr>
      <w:t> </w:t>
    </w:r>
    <w:r w:rsidR="00B44525" w:rsidRPr="00B44525">
      <w:rPr>
        <w:rFonts w:cs="Arial"/>
        <w:sz w:val="14"/>
        <w:szCs w:val="16"/>
        <w:lang w:val="fr-BE"/>
      </w:rPr>
      <w:t>–</w:t>
    </w:r>
    <w:r w:rsidR="00B44525" w:rsidRPr="00B44525">
      <w:rPr>
        <w:rFonts w:cs="Arial"/>
        <w:sz w:val="14"/>
        <w:szCs w:val="16"/>
        <w:lang w:val="nl-BE"/>
      </w:rPr>
      <w:t> </w:t>
    </w:r>
    <w:r w:rsidR="00B44525" w:rsidRPr="00B44525">
      <w:rPr>
        <w:sz w:val="14"/>
        <w:szCs w:val="16"/>
        <w:lang w:val="fr-BE"/>
      </w:rPr>
      <w:t>26 octobre 2016</w:t>
    </w:r>
    <w:r w:rsidRPr="003539F9">
      <w:rPr>
        <w:b/>
        <w:sz w:val="16"/>
        <w:szCs w:val="14"/>
        <w:lang w:val="fr-BE"/>
      </w:rPr>
      <w:tab/>
      <w:t>Annexe 2</w:t>
    </w:r>
    <w:r w:rsidRPr="003539F9">
      <w:rPr>
        <w:rFonts w:cs="Arial"/>
        <w:b/>
        <w:sz w:val="16"/>
        <w:szCs w:val="14"/>
        <w:lang w:val="nl-BE"/>
      </w:rPr>
      <w:t> </w:t>
    </w:r>
    <w:r w:rsidRPr="003539F9">
      <w:rPr>
        <w:rFonts w:cs="Arial"/>
        <w:b/>
        <w:sz w:val="16"/>
        <w:szCs w:val="14"/>
        <w:lang w:val="fr-BE"/>
      </w:rPr>
      <w:t>–</w:t>
    </w:r>
    <w:r w:rsidRPr="003539F9">
      <w:rPr>
        <w:rFonts w:cs="Arial"/>
        <w:b/>
        <w:sz w:val="16"/>
        <w:szCs w:val="14"/>
        <w:lang w:val="nl-BE"/>
      </w:rPr>
      <w:t> </w:t>
    </w:r>
    <w:r w:rsidRPr="003539F9">
      <w:rPr>
        <w:b/>
        <w:sz w:val="16"/>
        <w:szCs w:val="14"/>
        <w:lang w:val="fr-BE"/>
      </w:rPr>
      <w:t xml:space="preserve">Page </w:t>
    </w:r>
    <w:r w:rsidRPr="003539F9">
      <w:rPr>
        <w:b/>
        <w:sz w:val="16"/>
        <w:szCs w:val="14"/>
        <w:lang w:val="nl-BE"/>
      </w:rPr>
      <w:fldChar w:fldCharType="begin"/>
    </w:r>
    <w:r w:rsidRPr="003539F9">
      <w:rPr>
        <w:b/>
        <w:sz w:val="16"/>
        <w:szCs w:val="14"/>
        <w:lang w:val="fr-BE"/>
      </w:rPr>
      <w:instrText xml:space="preserve"> PAGE   </w:instrText>
    </w:r>
    <w:r w:rsidRPr="003539F9">
      <w:rPr>
        <w:b/>
        <w:sz w:val="16"/>
        <w:szCs w:val="14"/>
        <w:lang w:val="nl-BE"/>
      </w:rPr>
      <w:fldChar w:fldCharType="separate"/>
    </w:r>
    <w:r w:rsidR="009772C2">
      <w:rPr>
        <w:b/>
        <w:noProof/>
        <w:sz w:val="16"/>
        <w:szCs w:val="14"/>
        <w:lang w:val="fr-BE"/>
      </w:rPr>
      <w:t>7</w:t>
    </w:r>
    <w:r w:rsidRPr="003539F9">
      <w:rPr>
        <w:b/>
        <w:sz w:val="16"/>
        <w:szCs w:val="14"/>
        <w:lang w:val="nl-BE"/>
      </w:rPr>
      <w:fldChar w:fldCharType="end"/>
    </w:r>
    <w:r w:rsidRPr="003539F9">
      <w:rPr>
        <w:b/>
        <w:sz w:val="16"/>
        <w:szCs w:val="14"/>
        <w:lang w:val="fr-BE"/>
      </w:rPr>
      <w:t>/</w:t>
    </w:r>
    <w:r w:rsidRPr="003539F9">
      <w:rPr>
        <w:b/>
        <w:sz w:val="16"/>
        <w:szCs w:val="14"/>
        <w:lang w:val="nl-BE"/>
      </w:rPr>
      <w:fldChar w:fldCharType="begin"/>
    </w:r>
    <w:r w:rsidRPr="003539F9">
      <w:rPr>
        <w:b/>
        <w:sz w:val="16"/>
        <w:szCs w:val="14"/>
        <w:lang w:val="fr-BE"/>
      </w:rPr>
      <w:instrText xml:space="preserve"> NUMPAGES   </w:instrText>
    </w:r>
    <w:r w:rsidRPr="003539F9">
      <w:rPr>
        <w:b/>
        <w:sz w:val="16"/>
        <w:szCs w:val="14"/>
        <w:lang w:val="nl-BE"/>
      </w:rPr>
      <w:fldChar w:fldCharType="separate"/>
    </w:r>
    <w:r w:rsidR="009772C2">
      <w:rPr>
        <w:b/>
        <w:noProof/>
        <w:sz w:val="16"/>
        <w:szCs w:val="14"/>
        <w:lang w:val="fr-BE"/>
      </w:rPr>
      <w:t>7</w:t>
    </w:r>
    <w:r w:rsidRPr="003539F9">
      <w:rPr>
        <w:b/>
        <w:sz w:val="16"/>
        <w:szCs w:val="14"/>
        <w:lang w:val="nl-B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DD6" w:rsidRPr="00C5236C" w:rsidRDefault="00094DD6" w:rsidP="00CB2202">
    <w:pPr>
      <w:pStyle w:val="Footer"/>
      <w:pBdr>
        <w:top w:val="single" w:sz="4" w:space="1" w:color="auto"/>
      </w:pBdr>
      <w:rPr>
        <w:b/>
        <w:sz w:val="16"/>
        <w:szCs w:val="16"/>
        <w:lang w:val="fr-BE"/>
      </w:rPr>
    </w:pPr>
    <w:r>
      <w:rPr>
        <w:b/>
        <w:sz w:val="16"/>
        <w:szCs w:val="16"/>
        <w:lang w:val="nl-BE"/>
      </w:rPr>
      <w:tab/>
    </w:r>
    <w:r w:rsidRPr="00B44525">
      <w:rPr>
        <w:sz w:val="14"/>
        <w:szCs w:val="16"/>
        <w:lang w:val="fr-BE"/>
      </w:rPr>
      <w:t>NBB_201</w:t>
    </w:r>
    <w:r w:rsidR="004D0F13" w:rsidRPr="00B44525">
      <w:rPr>
        <w:sz w:val="14"/>
        <w:szCs w:val="16"/>
        <w:lang w:val="fr-BE"/>
      </w:rPr>
      <w:t>6</w:t>
    </w:r>
    <w:r w:rsidRPr="00B44525">
      <w:rPr>
        <w:sz w:val="14"/>
        <w:szCs w:val="16"/>
        <w:lang w:val="fr-BE"/>
      </w:rPr>
      <w:t>_</w:t>
    </w:r>
    <w:r w:rsidR="00B44525" w:rsidRPr="00B44525">
      <w:rPr>
        <w:sz w:val="14"/>
        <w:szCs w:val="16"/>
        <w:lang w:val="fr-BE"/>
      </w:rPr>
      <w:t>42</w:t>
    </w:r>
    <w:r w:rsidRPr="00B44525">
      <w:rPr>
        <w:rFonts w:cs="Arial"/>
        <w:sz w:val="14"/>
        <w:szCs w:val="16"/>
        <w:lang w:val="nl-BE"/>
      </w:rPr>
      <w:t> </w:t>
    </w:r>
    <w:r w:rsidRPr="00B44525">
      <w:rPr>
        <w:rFonts w:cs="Arial"/>
        <w:sz w:val="14"/>
        <w:szCs w:val="16"/>
        <w:lang w:val="fr-BE"/>
      </w:rPr>
      <w:t>–</w:t>
    </w:r>
    <w:r w:rsidRPr="00B44525">
      <w:rPr>
        <w:rFonts w:cs="Arial"/>
        <w:sz w:val="14"/>
        <w:szCs w:val="16"/>
        <w:lang w:val="nl-BE"/>
      </w:rPr>
      <w:t> </w:t>
    </w:r>
    <w:r w:rsidR="00B44525" w:rsidRPr="00B44525">
      <w:rPr>
        <w:sz w:val="14"/>
        <w:szCs w:val="16"/>
        <w:lang w:val="fr-BE"/>
      </w:rPr>
      <w:t>26 octobre</w:t>
    </w:r>
    <w:r w:rsidRPr="00B44525">
      <w:rPr>
        <w:sz w:val="14"/>
        <w:szCs w:val="16"/>
        <w:lang w:val="fr-BE"/>
      </w:rPr>
      <w:t xml:space="preserve"> 201</w:t>
    </w:r>
    <w:r w:rsidR="004D0F13" w:rsidRPr="00B44525">
      <w:rPr>
        <w:sz w:val="14"/>
        <w:szCs w:val="16"/>
        <w:lang w:val="fr-BE"/>
      </w:rPr>
      <w:t>6</w:t>
    </w:r>
    <w:r w:rsidRPr="00B44525">
      <w:rPr>
        <w:b/>
        <w:sz w:val="16"/>
        <w:szCs w:val="16"/>
        <w:lang w:val="fr-BE"/>
      </w:rPr>
      <w:tab/>
      <w:t>Annexe 2</w:t>
    </w:r>
    <w:r w:rsidRPr="00B44525">
      <w:rPr>
        <w:rFonts w:cs="Arial"/>
        <w:b/>
        <w:sz w:val="16"/>
        <w:szCs w:val="16"/>
        <w:lang w:val="nl-BE"/>
      </w:rPr>
      <w:t> </w:t>
    </w:r>
    <w:r w:rsidRPr="00B44525">
      <w:rPr>
        <w:rFonts w:cs="Arial"/>
        <w:b/>
        <w:sz w:val="16"/>
        <w:szCs w:val="16"/>
        <w:lang w:val="fr-BE"/>
      </w:rPr>
      <w:t>–</w:t>
    </w:r>
    <w:r w:rsidRPr="00B44525">
      <w:rPr>
        <w:rFonts w:cs="Arial"/>
        <w:b/>
        <w:sz w:val="16"/>
        <w:szCs w:val="16"/>
        <w:lang w:val="nl-BE"/>
      </w:rPr>
      <w:t> </w:t>
    </w:r>
    <w:r w:rsidRPr="00B44525">
      <w:rPr>
        <w:b/>
        <w:sz w:val="16"/>
        <w:szCs w:val="16"/>
        <w:lang w:val="fr-BE"/>
      </w:rPr>
      <w:t xml:space="preserve">Page </w:t>
    </w:r>
    <w:r w:rsidRPr="00B44525">
      <w:rPr>
        <w:b/>
        <w:sz w:val="16"/>
        <w:szCs w:val="16"/>
        <w:lang w:val="nl-BE"/>
      </w:rPr>
      <w:fldChar w:fldCharType="begin"/>
    </w:r>
    <w:r w:rsidRPr="00B44525">
      <w:rPr>
        <w:b/>
        <w:sz w:val="16"/>
        <w:szCs w:val="16"/>
        <w:lang w:val="fr-BE"/>
      </w:rPr>
      <w:instrText xml:space="preserve"> PAGE   </w:instrText>
    </w:r>
    <w:r w:rsidRPr="00B44525">
      <w:rPr>
        <w:b/>
        <w:sz w:val="16"/>
        <w:szCs w:val="16"/>
        <w:lang w:val="nl-BE"/>
      </w:rPr>
      <w:fldChar w:fldCharType="separate"/>
    </w:r>
    <w:r w:rsidR="009772C2">
      <w:rPr>
        <w:b/>
        <w:noProof/>
        <w:sz w:val="16"/>
        <w:szCs w:val="16"/>
        <w:lang w:val="fr-BE"/>
      </w:rPr>
      <w:t>1</w:t>
    </w:r>
    <w:r w:rsidRPr="00B44525">
      <w:rPr>
        <w:b/>
        <w:sz w:val="16"/>
        <w:szCs w:val="16"/>
        <w:lang w:val="nl-BE"/>
      </w:rPr>
      <w:fldChar w:fldCharType="end"/>
    </w:r>
    <w:r w:rsidRPr="00B44525">
      <w:rPr>
        <w:b/>
        <w:sz w:val="16"/>
        <w:szCs w:val="16"/>
        <w:lang w:val="fr-BE"/>
      </w:rPr>
      <w:t>/</w:t>
    </w:r>
    <w:r w:rsidRPr="00B44525">
      <w:rPr>
        <w:b/>
        <w:sz w:val="16"/>
        <w:szCs w:val="16"/>
        <w:lang w:val="nl-BE"/>
      </w:rPr>
      <w:fldChar w:fldCharType="begin"/>
    </w:r>
    <w:r w:rsidRPr="00B44525">
      <w:rPr>
        <w:b/>
        <w:sz w:val="16"/>
        <w:szCs w:val="16"/>
        <w:lang w:val="fr-BE"/>
      </w:rPr>
      <w:instrText xml:space="preserve"> NUMPAGES   </w:instrText>
    </w:r>
    <w:r w:rsidRPr="00B44525">
      <w:rPr>
        <w:b/>
        <w:sz w:val="16"/>
        <w:szCs w:val="16"/>
        <w:lang w:val="nl-BE"/>
      </w:rPr>
      <w:fldChar w:fldCharType="separate"/>
    </w:r>
    <w:r w:rsidR="009772C2">
      <w:rPr>
        <w:b/>
        <w:noProof/>
        <w:sz w:val="16"/>
        <w:szCs w:val="16"/>
        <w:lang w:val="fr-BE"/>
      </w:rPr>
      <w:t>8</w:t>
    </w:r>
    <w:r w:rsidRPr="00B44525">
      <w:rPr>
        <w:b/>
        <w:sz w:val="16"/>
        <w:szCs w:val="16"/>
        <w:lang w:val="nl-B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DD6" w:rsidRPr="00117F31" w:rsidRDefault="00094DD6" w:rsidP="00117F31">
      <w:pPr>
        <w:pStyle w:val="Footer"/>
      </w:pPr>
    </w:p>
  </w:footnote>
  <w:footnote w:type="continuationSeparator" w:id="0">
    <w:p w:rsidR="00094DD6" w:rsidRPr="00117F31" w:rsidRDefault="00094DD6" w:rsidP="00117F31">
      <w:pPr>
        <w:pStyle w:val="Footer"/>
      </w:pPr>
    </w:p>
  </w:footnote>
  <w:footnote w:type="continuationNotice" w:id="1">
    <w:p w:rsidR="00094DD6" w:rsidRDefault="00094DD6"/>
  </w:footnote>
  <w:footnote w:id="2">
    <w:p w:rsidR="00094DD6" w:rsidRPr="009E1DCE" w:rsidRDefault="00094DD6" w:rsidP="00B44525">
      <w:pPr>
        <w:pStyle w:val="FootnoteText"/>
        <w:spacing w:after="60"/>
        <w:ind w:left="567" w:hanging="567"/>
        <w:jc w:val="both"/>
        <w:rPr>
          <w:lang w:val="en-US"/>
        </w:rPr>
      </w:pPr>
      <w:r>
        <w:rPr>
          <w:rStyle w:val="FootnoteReference"/>
        </w:rPr>
        <w:footnoteRef/>
      </w:r>
      <w:r>
        <w:t xml:space="preserve"> </w:t>
      </w:r>
      <w:r>
        <w:tab/>
      </w:r>
      <w:proofErr w:type="gramStart"/>
      <w:r>
        <w:t>cf.</w:t>
      </w:r>
      <w:proofErr w:type="gramEnd"/>
      <w:r>
        <w:t xml:space="preserve"> </w:t>
      </w:r>
      <w:r>
        <w:tab/>
      </w:r>
      <w:hyperlink r:id="rId1" w:history="1">
        <w:r w:rsidRPr="005D0425">
          <w:rPr>
            <w:rStyle w:val="Hyperlink"/>
          </w:rPr>
          <w:t>http://www.fatf-gafi.org/media/fatf/documents/recommendations/pdfs/FATF_Recommendations.pdf</w:t>
        </w:r>
      </w:hyperlink>
    </w:p>
  </w:footnote>
  <w:footnote w:id="3">
    <w:p w:rsidR="00094DD6" w:rsidRPr="005D0425" w:rsidRDefault="00094DD6" w:rsidP="00B44525">
      <w:pPr>
        <w:pStyle w:val="FootnoteText"/>
        <w:spacing w:after="60"/>
        <w:ind w:left="567" w:hanging="567"/>
        <w:jc w:val="both"/>
      </w:pPr>
      <w:r>
        <w:rPr>
          <w:rStyle w:val="FootnoteReference"/>
        </w:rPr>
        <w:footnoteRef/>
      </w:r>
      <w:r>
        <w:t xml:space="preserve"> </w:t>
      </w:r>
      <w:r>
        <w:tab/>
      </w:r>
      <w:proofErr w:type="gramStart"/>
      <w:r>
        <w:t>cf.</w:t>
      </w:r>
      <w:proofErr w:type="gramEnd"/>
      <w:r>
        <w:t xml:space="preserve"> </w:t>
      </w:r>
      <w:r>
        <w:tab/>
      </w:r>
      <w:hyperlink r:id="rId2" w:history="1">
        <w:r w:rsidRPr="005D0425">
          <w:rPr>
            <w:rStyle w:val="Hyperlink"/>
          </w:rPr>
          <w:t>http://www.fatf-gafi.org/media/fatf/documents/methodology/FATF%20Methodology%2022%20Feb%202013.pdf</w:t>
        </w:r>
      </w:hyperlink>
    </w:p>
  </w:footnote>
  <w:footnote w:id="4">
    <w:p w:rsidR="00094DD6" w:rsidRPr="00147503" w:rsidRDefault="00094DD6" w:rsidP="00B44525">
      <w:pPr>
        <w:pStyle w:val="FootnoteText"/>
        <w:ind w:left="567" w:hanging="567"/>
        <w:jc w:val="both"/>
        <w:rPr>
          <w:lang w:val="en-US"/>
        </w:rPr>
      </w:pPr>
      <w:r>
        <w:rPr>
          <w:rStyle w:val="FootnoteReference"/>
        </w:rPr>
        <w:footnoteRef/>
      </w:r>
      <w:r>
        <w:t xml:space="preserve"> </w:t>
      </w:r>
      <w:r>
        <w:tab/>
      </w:r>
      <w:proofErr w:type="gramStart"/>
      <w:r w:rsidRPr="00147503">
        <w:rPr>
          <w:lang w:val="en-US"/>
        </w:rPr>
        <w:t>cf.</w:t>
      </w:r>
      <w:proofErr w:type="gramEnd"/>
      <w:r w:rsidRPr="00147503">
        <w:rPr>
          <w:lang w:val="en-US"/>
        </w:rPr>
        <w:t xml:space="preserve"> </w:t>
      </w:r>
      <w:r w:rsidRPr="00147503">
        <w:rPr>
          <w:lang w:val="en-US"/>
        </w:rPr>
        <w:tab/>
      </w:r>
      <w:hyperlink r:id="rId3" w:history="1">
        <w:r w:rsidR="004E4815" w:rsidRPr="00703DA9">
          <w:rPr>
            <w:rStyle w:val="Hyperlink"/>
          </w:rPr>
          <w:t>http://eur-lex.europa.eu/legal-content/FR/TXT/PDF/?uri=CELEX:32015L0849&amp;from=FR</w:t>
        </w:r>
      </w:hyperlink>
      <w:r w:rsidR="004E4815">
        <w:t xml:space="preserve">  </w:t>
      </w:r>
      <w:r w:rsidR="00BF21ED">
        <w:t xml:space="preserve"> </w:t>
      </w:r>
    </w:p>
  </w:footnote>
  <w:footnote w:id="5">
    <w:p w:rsidR="00094DD6" w:rsidRPr="005C4592" w:rsidRDefault="00094DD6" w:rsidP="00B44525">
      <w:pPr>
        <w:autoSpaceDE w:val="0"/>
        <w:autoSpaceDN w:val="0"/>
        <w:adjustRightInd w:val="0"/>
        <w:spacing w:after="60" w:line="240" w:lineRule="auto"/>
        <w:ind w:left="567" w:hanging="567"/>
        <w:jc w:val="both"/>
        <w:rPr>
          <w:sz w:val="16"/>
          <w:szCs w:val="16"/>
          <w:lang w:val="fr-BE"/>
        </w:rPr>
      </w:pPr>
      <w:r w:rsidRPr="005C4592">
        <w:rPr>
          <w:rStyle w:val="FootnoteReference"/>
        </w:rPr>
        <w:footnoteRef/>
      </w:r>
      <w:r w:rsidRPr="005C4592">
        <w:rPr>
          <w:sz w:val="16"/>
          <w:szCs w:val="16"/>
          <w:lang w:val="fr-BE"/>
        </w:rPr>
        <w:t xml:space="preserve"> </w:t>
      </w:r>
      <w:r w:rsidRPr="005C4592">
        <w:rPr>
          <w:sz w:val="16"/>
          <w:szCs w:val="16"/>
          <w:lang w:val="fr-BE"/>
        </w:rPr>
        <w:tab/>
        <w:t>Loi du 2</w:t>
      </w:r>
      <w:r>
        <w:rPr>
          <w:sz w:val="16"/>
          <w:szCs w:val="16"/>
          <w:lang w:val="fr-BE"/>
        </w:rPr>
        <w:t>5</w:t>
      </w:r>
      <w:r w:rsidRPr="005C4592">
        <w:rPr>
          <w:sz w:val="16"/>
          <w:szCs w:val="16"/>
          <w:lang w:val="fr-BE"/>
        </w:rPr>
        <w:t xml:space="preserve"> </w:t>
      </w:r>
      <w:r>
        <w:rPr>
          <w:sz w:val="16"/>
          <w:szCs w:val="16"/>
          <w:lang w:val="fr-BE"/>
        </w:rPr>
        <w:t>avril</w:t>
      </w:r>
      <w:r w:rsidRPr="005C4592">
        <w:rPr>
          <w:sz w:val="16"/>
          <w:szCs w:val="16"/>
          <w:lang w:val="fr-BE"/>
        </w:rPr>
        <w:t xml:space="preserve"> </w:t>
      </w:r>
      <w:r>
        <w:rPr>
          <w:sz w:val="16"/>
          <w:szCs w:val="16"/>
          <w:lang w:val="fr-BE"/>
        </w:rPr>
        <w:t>2014</w:t>
      </w:r>
      <w:r w:rsidRPr="005C4592">
        <w:rPr>
          <w:sz w:val="16"/>
          <w:szCs w:val="16"/>
          <w:lang w:val="fr-BE"/>
        </w:rPr>
        <w:t xml:space="preserve"> relative au statut et au contrôle des établissements de crédit, article </w:t>
      </w:r>
      <w:r>
        <w:rPr>
          <w:sz w:val="16"/>
          <w:szCs w:val="16"/>
          <w:lang w:val="fr-BE"/>
        </w:rPr>
        <w:t>13</w:t>
      </w:r>
      <w:r w:rsidR="00A10E5D">
        <w:rPr>
          <w:sz w:val="16"/>
          <w:szCs w:val="16"/>
          <w:lang w:val="fr-BE"/>
        </w:rPr>
        <w:t>5</w:t>
      </w:r>
      <w:r w:rsidRPr="005C4592">
        <w:rPr>
          <w:sz w:val="16"/>
          <w:szCs w:val="16"/>
          <w:lang w:val="fr-BE"/>
        </w:rPr>
        <w:t xml:space="preserve">, </w:t>
      </w:r>
      <w:r w:rsidR="00A10E5D">
        <w:rPr>
          <w:sz w:val="16"/>
          <w:szCs w:val="16"/>
          <w:lang w:val="fr-BE"/>
        </w:rPr>
        <w:t>alinéa </w:t>
      </w:r>
      <w:r>
        <w:rPr>
          <w:sz w:val="16"/>
          <w:szCs w:val="16"/>
          <w:lang w:val="fr-BE"/>
        </w:rPr>
        <w:t>1</w:t>
      </w:r>
      <w:r w:rsidRPr="009F0C0B">
        <w:rPr>
          <w:sz w:val="16"/>
          <w:szCs w:val="16"/>
          <w:vertAlign w:val="superscript"/>
          <w:lang w:val="fr-BE"/>
        </w:rPr>
        <w:t>er</w:t>
      </w:r>
      <w:r w:rsidRPr="005C4592">
        <w:rPr>
          <w:sz w:val="16"/>
          <w:szCs w:val="16"/>
          <w:lang w:val="fr-BE"/>
        </w:rPr>
        <w:t>;</w:t>
      </w:r>
    </w:p>
    <w:p w:rsidR="00094DD6" w:rsidRPr="005C4592" w:rsidRDefault="00094DD6" w:rsidP="00B44525">
      <w:pPr>
        <w:autoSpaceDE w:val="0"/>
        <w:autoSpaceDN w:val="0"/>
        <w:adjustRightInd w:val="0"/>
        <w:spacing w:after="60" w:line="240" w:lineRule="auto"/>
        <w:ind w:left="567" w:hanging="567"/>
        <w:jc w:val="both"/>
        <w:rPr>
          <w:rStyle w:val="FootnoteReference"/>
          <w:lang w:val="fr-BE"/>
        </w:rPr>
      </w:pPr>
      <w:r w:rsidRPr="005C4592">
        <w:rPr>
          <w:sz w:val="16"/>
          <w:szCs w:val="16"/>
          <w:lang w:val="fr-BE"/>
        </w:rPr>
        <w:tab/>
      </w:r>
      <w:r w:rsidRPr="005C4592">
        <w:rPr>
          <w:rStyle w:val="FootnoteReference"/>
          <w:lang w:val="fr-BE"/>
        </w:rPr>
        <w:t xml:space="preserve">Loi du </w:t>
      </w:r>
      <w:r w:rsidR="001503B0">
        <w:rPr>
          <w:rStyle w:val="FootnoteReference"/>
          <w:lang w:val="fr-BE"/>
        </w:rPr>
        <w:t>1</w:t>
      </w:r>
      <w:r w:rsidR="001503B0" w:rsidRPr="00B44525">
        <w:rPr>
          <w:rStyle w:val="FootnoteReference"/>
        </w:rPr>
        <w:t>3 mars 2016</w:t>
      </w:r>
      <w:r w:rsidRPr="005C4592">
        <w:rPr>
          <w:rStyle w:val="FootnoteReference"/>
          <w:lang w:val="fr-BE"/>
        </w:rPr>
        <w:t xml:space="preserve"> </w:t>
      </w:r>
      <w:r w:rsidR="001503B0" w:rsidRPr="00B44525">
        <w:rPr>
          <w:rStyle w:val="FootnoteReference"/>
          <w:lang w:val="fr-BE"/>
        </w:rPr>
        <w:t>relative au statut et au contrôle des entreprises d’assurance ou de réassurance</w:t>
      </w:r>
      <w:r w:rsidRPr="005C4592">
        <w:rPr>
          <w:rStyle w:val="FootnoteReference"/>
          <w:lang w:val="fr-BE"/>
        </w:rPr>
        <w:t xml:space="preserve">, article </w:t>
      </w:r>
      <w:r w:rsidR="001503B0">
        <w:rPr>
          <w:rStyle w:val="FootnoteReference"/>
          <w:lang w:val="fr-BE"/>
        </w:rPr>
        <w:t>3</w:t>
      </w:r>
      <w:r w:rsidR="001503B0" w:rsidRPr="00B44525">
        <w:rPr>
          <w:rStyle w:val="FootnoteReference"/>
        </w:rPr>
        <w:t>04</w:t>
      </w:r>
      <w:r w:rsidRPr="005C4592">
        <w:rPr>
          <w:rStyle w:val="FootnoteReference"/>
          <w:lang w:val="fr-BE"/>
        </w:rPr>
        <w:t xml:space="preserve">, </w:t>
      </w:r>
      <w:r w:rsidR="001503B0">
        <w:rPr>
          <w:rStyle w:val="FootnoteReference"/>
          <w:lang w:val="fr-BE"/>
        </w:rPr>
        <w:t>a</w:t>
      </w:r>
      <w:proofErr w:type="spellStart"/>
      <w:r w:rsidR="001503B0" w:rsidRPr="00B44525">
        <w:rPr>
          <w:rStyle w:val="FootnoteReference"/>
        </w:rPr>
        <w:t>linéa</w:t>
      </w:r>
      <w:proofErr w:type="spellEnd"/>
      <w:r w:rsidR="001503B0" w:rsidRPr="00B44525">
        <w:rPr>
          <w:rStyle w:val="FootnoteReference"/>
        </w:rPr>
        <w:t xml:space="preserve"> 1</w:t>
      </w:r>
      <w:r w:rsidRPr="005C4592">
        <w:rPr>
          <w:rStyle w:val="FootnoteReference"/>
          <w:lang w:val="fr-BE"/>
        </w:rPr>
        <w:t>;</w:t>
      </w:r>
    </w:p>
    <w:p w:rsidR="00094DD6" w:rsidRPr="005C4592" w:rsidRDefault="00094DD6" w:rsidP="00B44525">
      <w:pPr>
        <w:autoSpaceDE w:val="0"/>
        <w:autoSpaceDN w:val="0"/>
        <w:adjustRightInd w:val="0"/>
        <w:spacing w:after="60" w:line="240" w:lineRule="auto"/>
        <w:ind w:left="567" w:hanging="567"/>
        <w:jc w:val="both"/>
        <w:rPr>
          <w:rStyle w:val="FootnoteReference"/>
          <w:lang w:val="fr-BE"/>
        </w:rPr>
      </w:pPr>
      <w:r w:rsidRPr="005C4592">
        <w:rPr>
          <w:rStyle w:val="FootnoteReference"/>
          <w:lang w:val="fr-BE"/>
        </w:rPr>
        <w:tab/>
        <w:t xml:space="preserve">Loi </w:t>
      </w:r>
      <w:r w:rsidR="001503B0">
        <w:rPr>
          <w:rStyle w:val="FootnoteReference"/>
          <w:lang w:val="fr-BE"/>
        </w:rPr>
        <w:t xml:space="preserve">du 6 avril 1995 </w:t>
      </w:r>
      <w:r w:rsidRPr="005C4592">
        <w:rPr>
          <w:rStyle w:val="FootnoteReference"/>
          <w:lang w:val="fr-BE"/>
        </w:rPr>
        <w:t>relative au statut et au contrôle des entreprises d’investissement, article 92</w:t>
      </w:r>
      <w:r>
        <w:rPr>
          <w:lang w:val="fr-BE"/>
        </w:rPr>
        <w:t>,</w:t>
      </w:r>
      <w:r w:rsidRPr="005C4592">
        <w:rPr>
          <w:rStyle w:val="FootnoteReference"/>
          <w:lang w:val="fr-BE"/>
        </w:rPr>
        <w:t xml:space="preserve"> §</w:t>
      </w:r>
      <w:r>
        <w:rPr>
          <w:rStyle w:val="FootnoteReference"/>
          <w:lang w:val="fr-BE"/>
        </w:rPr>
        <w:t> </w:t>
      </w:r>
      <w:r w:rsidRPr="005C4592">
        <w:rPr>
          <w:rStyle w:val="FootnoteReference"/>
          <w:lang w:val="fr-BE"/>
        </w:rPr>
        <w:t>4;</w:t>
      </w:r>
    </w:p>
    <w:p w:rsidR="00094DD6" w:rsidRPr="005C4592" w:rsidRDefault="00094DD6" w:rsidP="00B44525">
      <w:pPr>
        <w:autoSpaceDE w:val="0"/>
        <w:autoSpaceDN w:val="0"/>
        <w:adjustRightInd w:val="0"/>
        <w:spacing w:after="60" w:line="240" w:lineRule="auto"/>
        <w:ind w:left="567" w:hanging="567"/>
        <w:jc w:val="both"/>
        <w:rPr>
          <w:rStyle w:val="FootnoteReference"/>
          <w:lang w:val="fr-BE"/>
        </w:rPr>
      </w:pPr>
      <w:r w:rsidRPr="005C4592">
        <w:rPr>
          <w:rStyle w:val="FootnoteReference"/>
          <w:lang w:val="fr-BE"/>
        </w:rPr>
        <w:tab/>
        <w:t xml:space="preserve">Loi du 22 février 1998 fixant le statut organique de la Banque </w:t>
      </w:r>
      <w:r>
        <w:rPr>
          <w:rStyle w:val="FootnoteReference"/>
          <w:lang w:val="fr-BE"/>
        </w:rPr>
        <w:t>nationale</w:t>
      </w:r>
      <w:r w:rsidRPr="005C4592">
        <w:rPr>
          <w:rStyle w:val="FootnoteReference"/>
          <w:lang w:val="fr-BE"/>
        </w:rPr>
        <w:t xml:space="preserve"> de Belgique, article 36/29;</w:t>
      </w:r>
    </w:p>
    <w:p w:rsidR="00094DD6" w:rsidRPr="005C4592" w:rsidRDefault="00094DD6" w:rsidP="00B44525">
      <w:pPr>
        <w:autoSpaceDE w:val="0"/>
        <w:autoSpaceDN w:val="0"/>
        <w:adjustRightInd w:val="0"/>
        <w:spacing w:after="60" w:line="240" w:lineRule="auto"/>
        <w:ind w:left="284" w:hanging="284"/>
        <w:jc w:val="both"/>
        <w:rPr>
          <w:rStyle w:val="FootnoteReference"/>
          <w:lang w:val="fr-BE"/>
        </w:rPr>
      </w:pPr>
      <w:r w:rsidRPr="005C4592">
        <w:rPr>
          <w:rStyle w:val="FootnoteReference"/>
          <w:lang w:val="fr-BE"/>
        </w:rPr>
        <w:tab/>
        <w:t>Loi du 21 décembre 2009 relative au statut des établissements de paiement et des établissements de monnaie électronique, à l'accès à l'activité de prestataire de services de paiement, à l'activité d'émission de monnaie électronique et à l'accès aux systèmes de paiement article 25, alinéa 3.</w:t>
      </w:r>
    </w:p>
  </w:footnote>
  <w:footnote w:id="6">
    <w:p w:rsidR="00094DD6" w:rsidRPr="005C4592" w:rsidRDefault="00094DD6" w:rsidP="00B44525">
      <w:pPr>
        <w:autoSpaceDE w:val="0"/>
        <w:autoSpaceDN w:val="0"/>
        <w:adjustRightInd w:val="0"/>
        <w:spacing w:line="240" w:lineRule="auto"/>
        <w:ind w:left="284" w:hanging="284"/>
        <w:jc w:val="both"/>
        <w:rPr>
          <w:sz w:val="16"/>
          <w:szCs w:val="16"/>
          <w:lang w:val="fr-BE"/>
        </w:rPr>
      </w:pPr>
      <w:r w:rsidRPr="005C4592">
        <w:rPr>
          <w:rStyle w:val="FootnoteReference"/>
          <w:lang w:val="fr-BE"/>
        </w:rPr>
        <w:footnoteRef/>
      </w:r>
      <w:r w:rsidRPr="005C4592">
        <w:rPr>
          <w:sz w:val="16"/>
          <w:szCs w:val="16"/>
          <w:lang w:val="fr-BE"/>
        </w:rPr>
        <w:t xml:space="preserve"> </w:t>
      </w:r>
      <w:r w:rsidRPr="005C4592">
        <w:rPr>
          <w:sz w:val="16"/>
          <w:szCs w:val="16"/>
          <w:lang w:val="fr-BE"/>
        </w:rPr>
        <w:tab/>
        <w:t>Loi du 11 janvier 1993 relative à la prévention de l’utilisation du système financier aux fins du blanchiment de capitaux et du financement du terrorisme, article 39, §</w:t>
      </w:r>
      <w:r>
        <w:rPr>
          <w:sz w:val="16"/>
          <w:szCs w:val="16"/>
          <w:lang w:val="fr-BE"/>
        </w:rPr>
        <w:t> </w:t>
      </w:r>
      <w:r w:rsidRPr="005C4592">
        <w:rPr>
          <w:sz w:val="16"/>
          <w:szCs w:val="16"/>
          <w:lang w:val="fr-BE"/>
        </w:rPr>
        <w:t>2, alinéa 1</w:t>
      </w:r>
      <w:r w:rsidRPr="005C4592">
        <w:rPr>
          <w:sz w:val="16"/>
          <w:szCs w:val="16"/>
          <w:vertAlign w:val="superscript"/>
          <w:lang w:val="fr-BE"/>
        </w:rPr>
        <w:t>er</w:t>
      </w:r>
      <w:r w:rsidRPr="005C4592">
        <w:rPr>
          <w:sz w:val="16"/>
          <w:szCs w:val="16"/>
          <w:lang w:val="fr-BE"/>
        </w:rPr>
        <w:t>.</w:t>
      </w:r>
    </w:p>
  </w:footnote>
  <w:footnote w:id="7">
    <w:p w:rsidR="00495727" w:rsidRPr="005C4592" w:rsidRDefault="00495727" w:rsidP="00B44525">
      <w:pPr>
        <w:spacing w:after="120" w:line="276" w:lineRule="auto"/>
        <w:ind w:left="284" w:hanging="284"/>
        <w:jc w:val="both"/>
        <w:rPr>
          <w:sz w:val="16"/>
          <w:szCs w:val="16"/>
          <w:lang w:val="fr-BE"/>
        </w:rPr>
      </w:pPr>
      <w:r w:rsidRPr="005C4592">
        <w:rPr>
          <w:rStyle w:val="FootnoteReference"/>
        </w:rPr>
        <w:footnoteRef/>
      </w:r>
      <w:r w:rsidRPr="00610E12">
        <w:rPr>
          <w:sz w:val="16"/>
          <w:szCs w:val="16"/>
          <w:lang w:val="fr-BE"/>
        </w:rPr>
        <w:t xml:space="preserve"> </w:t>
      </w:r>
      <w:r w:rsidRPr="00610E12">
        <w:rPr>
          <w:sz w:val="16"/>
          <w:szCs w:val="16"/>
          <w:lang w:val="fr-BE"/>
        </w:rPr>
        <w:tab/>
      </w:r>
      <w:r w:rsidRPr="005C4592">
        <w:rPr>
          <w:sz w:val="16"/>
          <w:szCs w:val="16"/>
          <w:lang w:val="fr-BE"/>
        </w:rPr>
        <w:t>Par exemple, la question 4.2</w:t>
      </w:r>
      <w:r>
        <w:rPr>
          <w:sz w:val="16"/>
          <w:szCs w:val="16"/>
          <w:lang w:val="fr-BE"/>
        </w:rPr>
        <w:t>4</w:t>
      </w:r>
      <w:r w:rsidRPr="005C4592">
        <w:rPr>
          <w:sz w:val="16"/>
          <w:szCs w:val="16"/>
          <w:lang w:val="fr-BE"/>
        </w:rPr>
        <w:t xml:space="preserve"> recouvre en fait la combinaison </w:t>
      </w:r>
      <w:r>
        <w:rPr>
          <w:sz w:val="16"/>
          <w:szCs w:val="16"/>
          <w:lang w:val="fr-BE"/>
        </w:rPr>
        <w:t>d</w:t>
      </w:r>
      <w:r w:rsidRPr="005C4592">
        <w:rPr>
          <w:sz w:val="16"/>
          <w:szCs w:val="16"/>
          <w:lang w:val="fr-BE"/>
        </w:rPr>
        <w:t>es sous-questions suivantes :</w:t>
      </w:r>
    </w:p>
    <w:p w:rsidR="00495727" w:rsidRPr="005C4592" w:rsidRDefault="00495727" w:rsidP="00B44525">
      <w:pPr>
        <w:pStyle w:val="ListParagraph"/>
        <w:numPr>
          <w:ilvl w:val="0"/>
          <w:numId w:val="34"/>
        </w:numPr>
        <w:spacing w:after="120" w:line="276" w:lineRule="auto"/>
        <w:ind w:left="567" w:hanging="283"/>
        <w:rPr>
          <w:sz w:val="16"/>
          <w:szCs w:val="16"/>
          <w:lang w:val="fr-BE"/>
        </w:rPr>
      </w:pPr>
      <w:r w:rsidRPr="005C4592">
        <w:rPr>
          <w:i/>
          <w:sz w:val="16"/>
          <w:szCs w:val="16"/>
          <w:lang w:val="fr-BE"/>
        </w:rPr>
        <w:t>Les procédures internes prévoient-elles de prendre les mesures suivantes :</w:t>
      </w:r>
    </w:p>
    <w:p w:rsidR="00495727" w:rsidRPr="005C4592" w:rsidRDefault="00495727" w:rsidP="00B44525">
      <w:pPr>
        <w:pStyle w:val="ListParagraph"/>
        <w:numPr>
          <w:ilvl w:val="2"/>
          <w:numId w:val="34"/>
        </w:numPr>
        <w:spacing w:after="120" w:line="276" w:lineRule="auto"/>
        <w:ind w:left="851" w:hanging="284"/>
        <w:rPr>
          <w:i/>
          <w:sz w:val="16"/>
          <w:szCs w:val="16"/>
          <w:lang w:val="fr-BE"/>
        </w:rPr>
      </w:pPr>
      <w:r w:rsidRPr="005C4592">
        <w:rPr>
          <w:i/>
          <w:sz w:val="16"/>
          <w:szCs w:val="16"/>
          <w:lang w:val="fr-BE"/>
        </w:rPr>
        <w:t>mettre en œuvre des procédures adéquates et adaptées, en fonction du risque, de manière à pouvoir déterminer si le client ou un bénéficiaire effectif du client est une personne politiquement exposée;</w:t>
      </w:r>
    </w:p>
    <w:p w:rsidR="00495727" w:rsidRPr="005C4592" w:rsidRDefault="00495727" w:rsidP="00B44525">
      <w:pPr>
        <w:pStyle w:val="ListParagraph"/>
        <w:numPr>
          <w:ilvl w:val="2"/>
          <w:numId w:val="34"/>
        </w:numPr>
        <w:spacing w:after="120" w:line="276" w:lineRule="auto"/>
        <w:ind w:left="851" w:hanging="284"/>
        <w:rPr>
          <w:i/>
          <w:sz w:val="16"/>
          <w:szCs w:val="16"/>
          <w:lang w:val="fr-BE"/>
        </w:rPr>
      </w:pPr>
      <w:r w:rsidRPr="005C4592">
        <w:rPr>
          <w:i/>
          <w:sz w:val="16"/>
          <w:szCs w:val="16"/>
          <w:lang w:val="fr-BE"/>
        </w:rPr>
        <w:t>obtenir l'autorisation d'un niveau adéquat de la hiérarchie avant de nouer une relation d'affaires avec de tels clients;</w:t>
      </w:r>
    </w:p>
    <w:p w:rsidR="00495727" w:rsidRPr="005C4592" w:rsidRDefault="00495727" w:rsidP="00B44525">
      <w:pPr>
        <w:pStyle w:val="ListParagraph"/>
        <w:numPr>
          <w:ilvl w:val="2"/>
          <w:numId w:val="34"/>
        </w:numPr>
        <w:spacing w:after="120" w:line="276" w:lineRule="auto"/>
        <w:ind w:left="851" w:hanging="284"/>
        <w:rPr>
          <w:i/>
          <w:sz w:val="16"/>
          <w:szCs w:val="16"/>
          <w:lang w:val="fr-BE"/>
        </w:rPr>
      </w:pPr>
      <w:r w:rsidRPr="005C4592">
        <w:rPr>
          <w:i/>
          <w:sz w:val="16"/>
          <w:szCs w:val="16"/>
          <w:lang w:val="fr-BE"/>
        </w:rPr>
        <w:t>prendre toute mesure appropriée, en fonction du risque, pour établir l'origine du patrimoine et l'origine des fonds impliqués dans la relation d'affaires ou la transaction;</w:t>
      </w:r>
    </w:p>
    <w:p w:rsidR="00495727" w:rsidRPr="005C4592" w:rsidRDefault="00495727" w:rsidP="00B44525">
      <w:pPr>
        <w:pStyle w:val="ListParagraph"/>
        <w:numPr>
          <w:ilvl w:val="0"/>
          <w:numId w:val="34"/>
        </w:numPr>
        <w:spacing w:after="120" w:line="276" w:lineRule="auto"/>
        <w:ind w:left="567" w:hanging="283"/>
        <w:rPr>
          <w:i/>
          <w:sz w:val="16"/>
          <w:szCs w:val="16"/>
          <w:lang w:val="fr-BE"/>
        </w:rPr>
      </w:pPr>
      <w:r w:rsidRPr="005C4592">
        <w:rPr>
          <w:i/>
          <w:sz w:val="16"/>
          <w:szCs w:val="16"/>
          <w:lang w:val="fr-BE"/>
        </w:rPr>
        <w:t>Ces procédures s'appliquent-elles lorsque la qualité de personne politiquement exposée doit être reconnue :</w:t>
      </w:r>
    </w:p>
    <w:p w:rsidR="00495727" w:rsidRPr="005C4592" w:rsidRDefault="00495727" w:rsidP="00B44525">
      <w:pPr>
        <w:pStyle w:val="ListParagraph"/>
        <w:numPr>
          <w:ilvl w:val="2"/>
          <w:numId w:val="34"/>
        </w:numPr>
        <w:spacing w:after="120" w:line="276" w:lineRule="auto"/>
        <w:ind w:left="851" w:hanging="284"/>
        <w:rPr>
          <w:i/>
          <w:sz w:val="16"/>
          <w:szCs w:val="16"/>
          <w:lang w:val="fr-BE"/>
        </w:rPr>
      </w:pPr>
      <w:r w:rsidRPr="005C4592">
        <w:rPr>
          <w:i/>
          <w:sz w:val="16"/>
          <w:szCs w:val="16"/>
          <w:lang w:val="fr-BE"/>
        </w:rPr>
        <w:t>à un client</w:t>
      </w:r>
    </w:p>
    <w:p w:rsidR="00495727" w:rsidRPr="005C4592" w:rsidRDefault="00495727" w:rsidP="00B44525">
      <w:pPr>
        <w:pStyle w:val="ListParagraph"/>
        <w:numPr>
          <w:ilvl w:val="2"/>
          <w:numId w:val="34"/>
        </w:numPr>
        <w:spacing w:after="120" w:line="276" w:lineRule="auto"/>
        <w:ind w:left="851" w:hanging="284"/>
        <w:rPr>
          <w:i/>
          <w:sz w:val="16"/>
          <w:szCs w:val="16"/>
          <w:lang w:val="fr-BE"/>
        </w:rPr>
      </w:pPr>
      <w:r w:rsidRPr="005C4592">
        <w:rPr>
          <w:i/>
          <w:sz w:val="16"/>
          <w:szCs w:val="16"/>
          <w:lang w:val="fr-BE"/>
        </w:rPr>
        <w:t>à un mandataire du client</w:t>
      </w:r>
    </w:p>
    <w:p w:rsidR="00495727" w:rsidRPr="005C4592" w:rsidRDefault="00495727" w:rsidP="00B44525">
      <w:pPr>
        <w:pStyle w:val="ListParagraph"/>
        <w:numPr>
          <w:ilvl w:val="2"/>
          <w:numId w:val="34"/>
        </w:numPr>
        <w:spacing w:after="120" w:line="276" w:lineRule="auto"/>
        <w:ind w:left="851" w:hanging="284"/>
        <w:rPr>
          <w:i/>
          <w:sz w:val="16"/>
          <w:szCs w:val="16"/>
          <w:lang w:val="fr-BE"/>
        </w:rPr>
      </w:pPr>
      <w:r w:rsidRPr="005C4592">
        <w:rPr>
          <w:i/>
          <w:sz w:val="16"/>
          <w:szCs w:val="16"/>
          <w:lang w:val="fr-BE"/>
        </w:rPr>
        <w:t>à un bénéficiaire effectif du client</w:t>
      </w:r>
    </w:p>
    <w:p w:rsidR="00495727" w:rsidRPr="005C4592" w:rsidRDefault="00495727" w:rsidP="00B44525">
      <w:pPr>
        <w:spacing w:after="120" w:line="276" w:lineRule="auto"/>
        <w:ind w:left="284"/>
        <w:jc w:val="both"/>
        <w:rPr>
          <w:sz w:val="16"/>
          <w:szCs w:val="16"/>
          <w:lang w:val="fr-BE"/>
        </w:rPr>
      </w:pPr>
      <w:r w:rsidRPr="005C4592">
        <w:rPr>
          <w:sz w:val="16"/>
          <w:szCs w:val="16"/>
          <w:lang w:val="fr-BE"/>
        </w:rPr>
        <w:t>Cette question inclut donc en fait 9 sous-questions implicites, mais n'appelle qu'une seule réponse.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DD6" w:rsidRDefault="00094DD6" w:rsidP="00E829D6">
    <w:pPr>
      <w:pStyle w:val="Header"/>
      <w:tabs>
        <w:tab w:val="clear" w:pos="4394"/>
        <w:tab w:val="center" w:pos="4395"/>
      </w:tabs>
      <w:rPr>
        <w:lang w:val="nl-BE"/>
      </w:rPr>
    </w:pPr>
  </w:p>
  <w:p w:rsidR="00094DD6" w:rsidRPr="00BF29ED" w:rsidRDefault="00094DD6" w:rsidP="00E829D6">
    <w:pPr>
      <w:pStyle w:val="Header"/>
      <w:tabs>
        <w:tab w:val="clear" w:pos="4394"/>
        <w:tab w:val="center" w:pos="4395"/>
      </w:tabs>
      <w:rPr>
        <w:lang w:val="nl-B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DD6" w:rsidRDefault="00094DD6" w:rsidP="00D850C8">
    <w:pPr>
      <w:pStyle w:val="Header"/>
      <w:rPr>
        <w:lang w:val="nl-BE"/>
      </w:rPr>
    </w:pPr>
  </w:p>
  <w:p w:rsidR="00094DD6" w:rsidRPr="00D850C8" w:rsidRDefault="00094DD6" w:rsidP="00D850C8">
    <w:pPr>
      <w:pStyle w:val="Header"/>
      <w:rPr>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C4C596"/>
    <w:lvl w:ilvl="0">
      <w:start w:val="1"/>
      <w:numFmt w:val="decimal"/>
      <w:lvlText w:val="%1."/>
      <w:lvlJc w:val="left"/>
      <w:pPr>
        <w:tabs>
          <w:tab w:val="num" w:pos="1492"/>
        </w:tabs>
        <w:ind w:left="1492" w:hanging="360"/>
      </w:pPr>
    </w:lvl>
  </w:abstractNum>
  <w:abstractNum w:abstractNumId="1">
    <w:nsid w:val="FFFFFF7D"/>
    <w:multiLevelType w:val="singleLevel"/>
    <w:tmpl w:val="B456B8EA"/>
    <w:lvl w:ilvl="0">
      <w:start w:val="1"/>
      <w:numFmt w:val="decimal"/>
      <w:lvlText w:val="%1."/>
      <w:lvlJc w:val="left"/>
      <w:pPr>
        <w:tabs>
          <w:tab w:val="num" w:pos="1209"/>
        </w:tabs>
        <w:ind w:left="1209" w:hanging="360"/>
      </w:pPr>
    </w:lvl>
  </w:abstractNum>
  <w:abstractNum w:abstractNumId="2">
    <w:nsid w:val="FFFFFF7E"/>
    <w:multiLevelType w:val="singleLevel"/>
    <w:tmpl w:val="FB5CC4CE"/>
    <w:lvl w:ilvl="0">
      <w:start w:val="1"/>
      <w:numFmt w:val="decimal"/>
      <w:lvlText w:val="%1."/>
      <w:lvlJc w:val="left"/>
      <w:pPr>
        <w:tabs>
          <w:tab w:val="num" w:pos="926"/>
        </w:tabs>
        <w:ind w:left="926" w:hanging="360"/>
      </w:pPr>
    </w:lvl>
  </w:abstractNum>
  <w:abstractNum w:abstractNumId="3">
    <w:nsid w:val="FFFFFF7F"/>
    <w:multiLevelType w:val="singleLevel"/>
    <w:tmpl w:val="5A54D732"/>
    <w:lvl w:ilvl="0">
      <w:start w:val="1"/>
      <w:numFmt w:val="decimal"/>
      <w:lvlText w:val="%1."/>
      <w:lvlJc w:val="left"/>
      <w:pPr>
        <w:tabs>
          <w:tab w:val="num" w:pos="643"/>
        </w:tabs>
        <w:ind w:left="643" w:hanging="360"/>
      </w:pPr>
    </w:lvl>
  </w:abstractNum>
  <w:abstractNum w:abstractNumId="4">
    <w:nsid w:val="FFFFFF80"/>
    <w:multiLevelType w:val="singleLevel"/>
    <w:tmpl w:val="8CFE73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624D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3863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7F8DE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CC288AE"/>
    <w:lvl w:ilvl="0">
      <w:start w:val="1"/>
      <w:numFmt w:val="decimal"/>
      <w:lvlText w:val="%1."/>
      <w:lvlJc w:val="left"/>
      <w:pPr>
        <w:tabs>
          <w:tab w:val="num" w:pos="360"/>
        </w:tabs>
        <w:ind w:left="360" w:hanging="360"/>
      </w:pPr>
    </w:lvl>
  </w:abstractNum>
  <w:abstractNum w:abstractNumId="9">
    <w:nsid w:val="FFFFFF89"/>
    <w:multiLevelType w:val="singleLevel"/>
    <w:tmpl w:val="C8DC3AA6"/>
    <w:lvl w:ilvl="0">
      <w:start w:val="1"/>
      <w:numFmt w:val="bullet"/>
      <w:lvlText w:val=""/>
      <w:lvlJc w:val="left"/>
      <w:pPr>
        <w:tabs>
          <w:tab w:val="num" w:pos="360"/>
        </w:tabs>
        <w:ind w:left="360" w:hanging="360"/>
      </w:pPr>
      <w:rPr>
        <w:rFonts w:ascii="Symbol" w:hAnsi="Symbol" w:hint="default"/>
      </w:rPr>
    </w:lvl>
  </w:abstractNum>
  <w:abstractNum w:abstractNumId="10">
    <w:nsid w:val="025F1506"/>
    <w:multiLevelType w:val="hybridMultilevel"/>
    <w:tmpl w:val="6074B1E0"/>
    <w:lvl w:ilvl="0" w:tplc="0B04FA40">
      <w:start w:val="1"/>
      <w:numFmt w:val="lowerLetter"/>
      <w:lvlText w:val="%1."/>
      <w:lvlJc w:val="left"/>
      <w:pPr>
        <w:ind w:left="1429"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076E42DC"/>
    <w:multiLevelType w:val="multilevel"/>
    <w:tmpl w:val="6D967668"/>
    <w:lvl w:ilvl="0">
      <w:start w:val="1"/>
      <w:numFmt w:val="none"/>
      <w:lvlText w:val="%1"/>
      <w:lvlJc w:val="left"/>
      <w:pPr>
        <w:tabs>
          <w:tab w:val="num" w:pos="0"/>
        </w:tabs>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2">
    <w:nsid w:val="09C33116"/>
    <w:multiLevelType w:val="hybridMultilevel"/>
    <w:tmpl w:val="B77A43FC"/>
    <w:lvl w:ilvl="0" w:tplc="F5A41CFE">
      <w:start w:val="1"/>
      <w:numFmt w:val="upperLetter"/>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01812C0"/>
    <w:multiLevelType w:val="hybridMultilevel"/>
    <w:tmpl w:val="F99ED40C"/>
    <w:lvl w:ilvl="0" w:tplc="FECA281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F22421"/>
    <w:multiLevelType w:val="multilevel"/>
    <w:tmpl w:val="083AFA2E"/>
    <w:lvl w:ilvl="0">
      <w:start w:val="1"/>
      <w:numFmt w:val="none"/>
      <w:lvlText w:val="%1"/>
      <w:lvlJc w:val="left"/>
      <w:pPr>
        <w:tabs>
          <w:tab w:val="num" w:pos="0"/>
        </w:tabs>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5">
    <w:nsid w:val="162C51DB"/>
    <w:multiLevelType w:val="multilevel"/>
    <w:tmpl w:val="DDE64F1C"/>
    <w:lvl w:ilvl="0">
      <w:start w:val="1"/>
      <w:numFmt w:val="none"/>
      <w:suff w:val="nothing"/>
      <w:lvlText w:val="%1"/>
      <w:lvlJc w:val="left"/>
      <w:pPr>
        <w:ind w:left="0" w:firstLine="0"/>
      </w:pPr>
      <w:rPr>
        <w:rFonts w:hint="default"/>
        <w:u w:val="none"/>
      </w:rPr>
    </w:lvl>
    <w:lvl w:ilvl="1">
      <w:start w:val="1"/>
      <w:numFmt w:val="decimal"/>
      <w:lvlText w:val="%1%2."/>
      <w:lvlJc w:val="left"/>
      <w:pPr>
        <w:tabs>
          <w:tab w:val="num" w:pos="284"/>
        </w:tabs>
        <w:ind w:left="284" w:hanging="284"/>
      </w:pPr>
      <w:rPr>
        <w:rFonts w:hint="default"/>
        <w:u w:val="none"/>
      </w:rPr>
    </w:lvl>
    <w:lvl w:ilvl="2">
      <w:start w:val="1"/>
      <w:numFmt w:val="decimal"/>
      <w:lvlText w:val="%1%2.%3"/>
      <w:lvlJc w:val="left"/>
      <w:pPr>
        <w:tabs>
          <w:tab w:val="num" w:pos="397"/>
        </w:tabs>
        <w:ind w:left="397" w:hanging="397"/>
      </w:pPr>
      <w:rPr>
        <w:rFonts w:hint="default"/>
        <w:u w:val="none"/>
      </w:rPr>
    </w:lvl>
    <w:lvl w:ilvl="3">
      <w:start w:val="1"/>
      <w:numFmt w:val="decimal"/>
      <w:lvlText w:val="%1%2.%3.%4"/>
      <w:lvlJc w:val="left"/>
      <w:pPr>
        <w:tabs>
          <w:tab w:val="num" w:pos="510"/>
        </w:tabs>
        <w:ind w:left="510" w:hanging="510"/>
      </w:pPr>
      <w:rPr>
        <w:rFonts w:hint="default"/>
        <w:u w:val="none"/>
      </w:rPr>
    </w:lvl>
    <w:lvl w:ilvl="4">
      <w:start w:val="1"/>
      <w:numFmt w:val="none"/>
      <w:suff w:val="nothing"/>
      <w:lvlText w:val="%1"/>
      <w:lvlJc w:val="left"/>
      <w:pPr>
        <w:ind w:left="0" w:firstLine="0"/>
      </w:pPr>
      <w:rPr>
        <w:rFonts w:hint="default"/>
        <w:u w:val="none"/>
      </w:rPr>
    </w:lvl>
    <w:lvl w:ilvl="5">
      <w:start w:val="1"/>
      <w:numFmt w:val="none"/>
      <w:suff w:val="nothing"/>
      <w:lvlText w:val="%1"/>
      <w:lvlJc w:val="left"/>
      <w:pPr>
        <w:ind w:left="0" w:firstLine="0"/>
      </w:pPr>
      <w:rPr>
        <w:rFonts w:hint="default"/>
        <w:u w:val="none"/>
      </w:rPr>
    </w:lvl>
    <w:lvl w:ilvl="6">
      <w:start w:val="1"/>
      <w:numFmt w:val="none"/>
      <w:suff w:val="nothing"/>
      <w:lvlText w:val="%1"/>
      <w:lvlJc w:val="left"/>
      <w:pPr>
        <w:ind w:left="0" w:firstLine="0"/>
      </w:pPr>
      <w:rPr>
        <w:rFonts w:hint="default"/>
        <w:u w:val="none"/>
      </w:rPr>
    </w:lvl>
    <w:lvl w:ilvl="7">
      <w:start w:val="1"/>
      <w:numFmt w:val="none"/>
      <w:suff w:val="nothing"/>
      <w:lvlText w:val=""/>
      <w:lvlJc w:val="left"/>
      <w:pPr>
        <w:ind w:left="0" w:firstLine="0"/>
      </w:pPr>
      <w:rPr>
        <w:rFonts w:hint="default"/>
        <w:u w:val="none"/>
      </w:rPr>
    </w:lvl>
    <w:lvl w:ilvl="8">
      <w:start w:val="1"/>
      <w:numFmt w:val="none"/>
      <w:suff w:val="nothing"/>
      <w:lvlText w:val="%1"/>
      <w:lvlJc w:val="left"/>
      <w:pPr>
        <w:ind w:left="0" w:firstLine="0"/>
      </w:pPr>
      <w:rPr>
        <w:rFonts w:hint="default"/>
        <w:u w:val="none"/>
      </w:rPr>
    </w:lvl>
  </w:abstractNum>
  <w:abstractNum w:abstractNumId="16">
    <w:nsid w:val="215D1D43"/>
    <w:multiLevelType w:val="multilevel"/>
    <w:tmpl w:val="20303294"/>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356D4BB1"/>
    <w:multiLevelType w:val="multilevel"/>
    <w:tmpl w:val="42A63D7C"/>
    <w:lvl w:ilvl="0">
      <w:start w:val="1"/>
      <w:numFmt w:val="none"/>
      <w:suff w:val="space"/>
      <w:lvlText w:val="%1."/>
      <w:lvlJc w:val="left"/>
      <w:pPr>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8">
    <w:nsid w:val="361B5BC9"/>
    <w:multiLevelType w:val="multilevel"/>
    <w:tmpl w:val="4CBC15FC"/>
    <w:lvl w:ilvl="0">
      <w:start w:val="1"/>
      <w:numFmt w:val="none"/>
      <w:lvlText w:val=""/>
      <w:lvlJc w:val="left"/>
      <w:pPr>
        <w:tabs>
          <w:tab w:val="num" w:pos="0"/>
        </w:tabs>
        <w:ind w:left="0" w:firstLine="0"/>
      </w:pPr>
      <w:rPr>
        <w:rFonts w:hint="default"/>
      </w:rPr>
    </w:lvl>
    <w:lvl w:ilvl="1">
      <w:start w:val="1"/>
      <w:numFmt w:val="decimal"/>
      <w:lvlText w:val="%2."/>
      <w:lvlJc w:val="left"/>
      <w:pPr>
        <w:tabs>
          <w:tab w:val="num" w:pos="227"/>
        </w:tabs>
        <w:ind w:left="227" w:hanging="22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454"/>
        </w:tabs>
        <w:ind w:left="454" w:hanging="454"/>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19">
    <w:nsid w:val="361F0C47"/>
    <w:multiLevelType w:val="multilevel"/>
    <w:tmpl w:val="9F8C365E"/>
    <w:lvl w:ilvl="0">
      <w:start w:val="1"/>
      <w:numFmt w:val="none"/>
      <w:lvlText w:val=""/>
      <w:lvlJc w:val="left"/>
      <w:pPr>
        <w:tabs>
          <w:tab w:val="num" w:pos="0"/>
        </w:tabs>
        <w:ind w:left="0" w:firstLine="0"/>
      </w:pPr>
      <w:rPr>
        <w:rFonts w:hint="default"/>
      </w:rPr>
    </w:lvl>
    <w:lvl w:ilvl="1">
      <w:start w:val="1"/>
      <w:numFmt w:val="decimal"/>
      <w:lvlText w:val="%2."/>
      <w:lvlJc w:val="left"/>
      <w:pPr>
        <w:tabs>
          <w:tab w:val="num" w:pos="227"/>
        </w:tabs>
        <w:ind w:left="227" w:hanging="22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454"/>
        </w:tabs>
        <w:ind w:left="454" w:hanging="454"/>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20">
    <w:nsid w:val="373F18B8"/>
    <w:multiLevelType w:val="multilevel"/>
    <w:tmpl w:val="462A3074"/>
    <w:lvl w:ilvl="0">
      <w:start w:val="1"/>
      <w:numFmt w:val="none"/>
      <w:lvlText w:val="%1"/>
      <w:lvlJc w:val="left"/>
      <w:pPr>
        <w:tabs>
          <w:tab w:val="num" w:pos="0"/>
        </w:tabs>
        <w:ind w:left="0" w:firstLine="0"/>
      </w:pPr>
      <w:rPr>
        <w:rFonts w:hint="default"/>
        <w:u w:val="none"/>
      </w:rPr>
    </w:lvl>
    <w:lvl w:ilvl="1">
      <w:start w:val="1"/>
      <w:numFmt w:val="decimal"/>
      <w:lvlText w:val="%1%2."/>
      <w:lvlJc w:val="left"/>
      <w:pPr>
        <w:tabs>
          <w:tab w:val="num" w:pos="284"/>
        </w:tabs>
        <w:ind w:left="284" w:hanging="284"/>
      </w:pPr>
      <w:rPr>
        <w:rFonts w:hint="default"/>
        <w:u w:val="none"/>
      </w:rPr>
    </w:lvl>
    <w:lvl w:ilvl="2">
      <w:start w:val="1"/>
      <w:numFmt w:val="decimal"/>
      <w:lvlText w:val="%1%2.%3"/>
      <w:lvlJc w:val="left"/>
      <w:pPr>
        <w:tabs>
          <w:tab w:val="num" w:pos="397"/>
        </w:tabs>
        <w:ind w:left="397" w:hanging="397"/>
      </w:pPr>
      <w:rPr>
        <w:rFonts w:hint="default"/>
        <w:u w:val="none"/>
      </w:rPr>
    </w:lvl>
    <w:lvl w:ilvl="3">
      <w:start w:val="1"/>
      <w:numFmt w:val="decimal"/>
      <w:lvlText w:val="%1%2.%3.%4"/>
      <w:lvlJc w:val="left"/>
      <w:pPr>
        <w:tabs>
          <w:tab w:val="num" w:pos="510"/>
        </w:tabs>
        <w:ind w:left="510" w:hanging="510"/>
      </w:pPr>
      <w:rPr>
        <w:rFonts w:hint="default"/>
        <w:u w:val="none"/>
      </w:rPr>
    </w:lvl>
    <w:lvl w:ilvl="4">
      <w:start w:val="1"/>
      <w:numFmt w:val="none"/>
      <w:suff w:val="nothing"/>
      <w:lvlText w:val="%1"/>
      <w:lvlJc w:val="left"/>
      <w:pPr>
        <w:ind w:left="0" w:firstLine="0"/>
      </w:pPr>
      <w:rPr>
        <w:rFonts w:hint="default"/>
        <w:u w:val="none"/>
      </w:rPr>
    </w:lvl>
    <w:lvl w:ilvl="5">
      <w:start w:val="1"/>
      <w:numFmt w:val="none"/>
      <w:suff w:val="nothing"/>
      <w:lvlText w:val="%1"/>
      <w:lvlJc w:val="left"/>
      <w:pPr>
        <w:ind w:left="0" w:firstLine="0"/>
      </w:pPr>
      <w:rPr>
        <w:rFonts w:hint="default"/>
        <w:u w:val="none"/>
      </w:rPr>
    </w:lvl>
    <w:lvl w:ilvl="6">
      <w:start w:val="1"/>
      <w:numFmt w:val="none"/>
      <w:suff w:val="nothing"/>
      <w:lvlText w:val="%1"/>
      <w:lvlJc w:val="left"/>
      <w:pPr>
        <w:ind w:left="0" w:firstLine="0"/>
      </w:pPr>
      <w:rPr>
        <w:rFonts w:hint="default"/>
        <w:u w:val="none"/>
      </w:rPr>
    </w:lvl>
    <w:lvl w:ilvl="7">
      <w:start w:val="1"/>
      <w:numFmt w:val="none"/>
      <w:suff w:val="nothing"/>
      <w:lvlText w:val=""/>
      <w:lvlJc w:val="left"/>
      <w:pPr>
        <w:ind w:left="0" w:firstLine="0"/>
      </w:pPr>
      <w:rPr>
        <w:rFonts w:hint="default"/>
        <w:u w:val="none"/>
      </w:rPr>
    </w:lvl>
    <w:lvl w:ilvl="8">
      <w:start w:val="1"/>
      <w:numFmt w:val="none"/>
      <w:suff w:val="nothing"/>
      <w:lvlText w:val="%1"/>
      <w:lvlJc w:val="left"/>
      <w:pPr>
        <w:ind w:left="0" w:firstLine="0"/>
      </w:pPr>
      <w:rPr>
        <w:rFonts w:hint="default"/>
        <w:u w:val="none"/>
      </w:rPr>
    </w:lvl>
  </w:abstractNum>
  <w:abstractNum w:abstractNumId="21">
    <w:nsid w:val="3D3A0A8E"/>
    <w:multiLevelType w:val="multilevel"/>
    <w:tmpl w:val="46C2EAE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41575B30"/>
    <w:multiLevelType w:val="multilevel"/>
    <w:tmpl w:val="1E3660A2"/>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423F3443"/>
    <w:multiLevelType w:val="multilevel"/>
    <w:tmpl w:val="A6687038"/>
    <w:lvl w:ilvl="0">
      <w:start w:val="1"/>
      <w:numFmt w:val="decimal"/>
      <w:pStyle w:val="Heading1"/>
      <w:lvlText w:val="%1."/>
      <w:lvlJc w:val="left"/>
      <w:pPr>
        <w:ind w:left="357" w:hanging="357"/>
      </w:pPr>
      <w:rPr>
        <w:rFonts w:hint="default"/>
      </w:rPr>
    </w:lvl>
    <w:lvl w:ilvl="1">
      <w:start w:val="1"/>
      <w:numFmt w:val="upperLetter"/>
      <w:pStyle w:val="Heading2"/>
      <w:lvlText w:val="%1.%2."/>
      <w:lvlJc w:val="left"/>
      <w:pPr>
        <w:ind w:left="567" w:hanging="567"/>
      </w:pPr>
      <w:rPr>
        <w:rFonts w:hint="default"/>
      </w:rPr>
    </w:lvl>
    <w:lvl w:ilvl="2">
      <w:numFmt w:val="decimal"/>
      <w:pStyle w:val="Heading3"/>
      <w:lvlText w:val="%1.%2.%3."/>
      <w:lvlJc w:val="left"/>
      <w:pPr>
        <w:ind w:left="709" w:hanging="709"/>
      </w:pPr>
      <w:rPr>
        <w:rFonts w:hint="default"/>
      </w:rPr>
    </w:lvl>
    <w:lvl w:ilvl="3">
      <w:start w:val="1"/>
      <w:numFmt w:val="lowerLetter"/>
      <w:pStyle w:val="Heading4"/>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31A6EA1"/>
    <w:multiLevelType w:val="hybridMultilevel"/>
    <w:tmpl w:val="C95ED1D2"/>
    <w:lvl w:ilvl="0" w:tplc="C48CA52A">
      <w:start w:val="1"/>
      <w:numFmt w:val="upperLetter"/>
      <w:lvlText w:val="%1."/>
      <w:lvlJc w:val="left"/>
      <w:pPr>
        <w:ind w:left="1647" w:hanging="360"/>
      </w:pPr>
      <w:rPr>
        <w:rFonts w:hint="default"/>
        <w:b/>
        <w:sz w:val="22"/>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5">
    <w:nsid w:val="55847C49"/>
    <w:multiLevelType w:val="multilevel"/>
    <w:tmpl w:val="44F4C87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55AC5C77"/>
    <w:multiLevelType w:val="hybridMultilevel"/>
    <w:tmpl w:val="176A7B2A"/>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nsid w:val="56E30052"/>
    <w:multiLevelType w:val="hybridMultilevel"/>
    <w:tmpl w:val="B5A2760A"/>
    <w:lvl w:ilvl="0" w:tplc="F8581210">
      <w:start w:val="1"/>
      <w:numFmt w:val="bullet"/>
      <w:lvlText w:val="-"/>
      <w:lvlJc w:val="left"/>
      <w:pPr>
        <w:ind w:left="720" w:hanging="360"/>
      </w:pPr>
      <w:rPr>
        <w:rFonts w:ascii="Arial" w:hAnsi="Arial" w:hint="default"/>
        <w:b w:val="0"/>
        <w:sz w:val="20"/>
        <w:szCs w:val="20"/>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5A9E3A8C"/>
    <w:multiLevelType w:val="multilevel"/>
    <w:tmpl w:val="8200A2C0"/>
    <w:lvl w:ilvl="0">
      <w:start w:val="1"/>
      <w:numFmt w:val="decimal"/>
      <w:lvlText w:val="%1."/>
      <w:lvlJc w:val="left"/>
      <w:pPr>
        <w:tabs>
          <w:tab w:val="num" w:pos="255"/>
        </w:tabs>
        <w:ind w:left="255" w:hanging="255"/>
      </w:pPr>
      <w:rPr>
        <w:rFonts w:hint="default"/>
      </w:rPr>
    </w:lvl>
    <w:lvl w:ilvl="1">
      <w:start w:val="1"/>
      <w:numFmt w:val="decimal"/>
      <w:lvlText w:val="%2"/>
      <w:lvlJc w:val="left"/>
      <w:pPr>
        <w:tabs>
          <w:tab w:val="num" w:pos="0"/>
        </w:tabs>
        <w:ind w:left="0" w:firstLine="0"/>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5CCA7F7E"/>
    <w:multiLevelType w:val="multilevel"/>
    <w:tmpl w:val="0936A182"/>
    <w:lvl w:ilvl="0">
      <w:start w:val="1"/>
      <w:numFmt w:val="none"/>
      <w:lvlText w:val=""/>
      <w:lvlJc w:val="left"/>
      <w:pPr>
        <w:tabs>
          <w:tab w:val="num" w:pos="0"/>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510"/>
        </w:tabs>
        <w:ind w:left="510" w:hanging="51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30">
    <w:nsid w:val="60B95EA5"/>
    <w:multiLevelType w:val="multilevel"/>
    <w:tmpl w:val="A86CA668"/>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695A7236"/>
    <w:multiLevelType w:val="multilevel"/>
    <w:tmpl w:val="84DEC9D6"/>
    <w:lvl w:ilvl="0">
      <w:start w:val="1"/>
      <w:numFmt w:val="none"/>
      <w:lvlText w:val=""/>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5%1"/>
      <w:lvlJc w:val="left"/>
      <w:pPr>
        <w:tabs>
          <w:tab w:val="num" w:pos="0"/>
        </w:tabs>
        <w:ind w:left="0" w:firstLine="0"/>
      </w:pPr>
      <w:rPr>
        <w:rFonts w:hint="default"/>
      </w:rPr>
    </w:lvl>
    <w:lvl w:ilvl="5">
      <w:start w:val="1"/>
      <w:numFmt w:val="decimal"/>
      <w:lvlText w:val="%6%1"/>
      <w:lvlJc w:val="left"/>
      <w:pPr>
        <w:tabs>
          <w:tab w:val="num" w:pos="0"/>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6D911FC9"/>
    <w:multiLevelType w:val="multilevel"/>
    <w:tmpl w:val="12D85406"/>
    <w:lvl w:ilvl="0">
      <w:start w:val="1"/>
      <w:numFmt w:val="none"/>
      <w:lvlText w:val="%1"/>
      <w:lvlJc w:val="left"/>
      <w:pPr>
        <w:tabs>
          <w:tab w:val="num" w:pos="284"/>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2.%3"/>
      <w:lvlJc w:val="left"/>
      <w:pPr>
        <w:tabs>
          <w:tab w:val="num" w:pos="284"/>
        </w:tabs>
        <w:ind w:left="284" w:hanging="284"/>
      </w:pPr>
      <w:rPr>
        <w:rFonts w:hint="default"/>
      </w:rPr>
    </w:lvl>
    <w:lvl w:ilvl="3">
      <w:start w:val="1"/>
      <w:numFmt w:val="decimal"/>
      <w:lvlText w:val="%2.%3.%4"/>
      <w:lvlJc w:val="left"/>
      <w:pPr>
        <w:tabs>
          <w:tab w:val="num" w:pos="397"/>
        </w:tabs>
        <w:ind w:left="397" w:hanging="397"/>
      </w:pPr>
      <w:rPr>
        <w:rFonts w:hint="default"/>
      </w:rPr>
    </w:lvl>
    <w:lvl w:ilvl="4">
      <w:start w:val="1"/>
      <w:numFmt w:val="none"/>
      <w:lvlText w:val=""/>
      <w:lvlJc w:val="left"/>
      <w:pPr>
        <w:tabs>
          <w:tab w:val="num" w:pos="510"/>
        </w:tabs>
        <w:ind w:left="510" w:hanging="510"/>
      </w:pPr>
      <w:rPr>
        <w:rFonts w:hint="default"/>
      </w:rPr>
    </w:lvl>
    <w:lvl w:ilvl="5">
      <w:start w:val="1"/>
      <w:numFmt w:val="none"/>
      <w:lvlText w:val=""/>
      <w:lvlJc w:val="left"/>
      <w:pPr>
        <w:tabs>
          <w:tab w:val="num" w:pos="0"/>
        </w:tabs>
        <w:ind w:left="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3">
    <w:nsid w:val="70FE10F4"/>
    <w:multiLevelType w:val="multilevel"/>
    <w:tmpl w:val="192C0D2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71E406B8"/>
    <w:multiLevelType w:val="multilevel"/>
    <w:tmpl w:val="07082BA6"/>
    <w:lvl w:ilvl="0">
      <w:start w:val="1"/>
      <w:numFmt w:val="decimal"/>
      <w:lvlText w:val="%1."/>
      <w:lvlJc w:val="left"/>
      <w:pPr>
        <w:ind w:left="360" w:hanging="360"/>
      </w:pPr>
      <w:rPr>
        <w:rFonts w:hint="default"/>
      </w:rPr>
    </w:lvl>
    <w:lvl w:ilvl="1">
      <w:start w:val="1"/>
      <w:numFmt w:val="decimal"/>
      <w:lvlText w:val="%1.%2."/>
      <w:lvlJc w:val="left"/>
      <w:pPr>
        <w:ind w:left="1287" w:hanging="720"/>
      </w:pPr>
      <w:rPr>
        <w:rFonts w:hint="default"/>
        <w:b/>
        <w:sz w:val="22"/>
        <w:szCs w:val="22"/>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5">
    <w:nsid w:val="73CE7AF1"/>
    <w:multiLevelType w:val="hybridMultilevel"/>
    <w:tmpl w:val="785A8588"/>
    <w:lvl w:ilvl="0" w:tplc="F41C627A">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nsid w:val="756E43D2"/>
    <w:multiLevelType w:val="multilevel"/>
    <w:tmpl w:val="64685F3A"/>
    <w:lvl w:ilvl="0">
      <w:start w:val="1"/>
      <w:numFmt w:val="none"/>
      <w:lvlText w:val=""/>
      <w:lvlJc w:val="left"/>
      <w:pPr>
        <w:tabs>
          <w:tab w:val="num" w:pos="0"/>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510"/>
        </w:tabs>
        <w:ind w:left="510" w:hanging="51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37">
    <w:nsid w:val="77D45783"/>
    <w:multiLevelType w:val="multilevel"/>
    <w:tmpl w:val="0BDE938A"/>
    <w:lvl w:ilvl="0">
      <w:start w:val="1"/>
      <w:numFmt w:val="none"/>
      <w:suff w:val="space"/>
      <w:lvlText w:val="%1"/>
      <w:lvlJc w:val="left"/>
      <w:pPr>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30"/>
  </w:num>
  <w:num w:numId="12">
    <w:abstractNumId w:val="22"/>
  </w:num>
  <w:num w:numId="13">
    <w:abstractNumId w:val="33"/>
  </w:num>
  <w:num w:numId="14">
    <w:abstractNumId w:val="25"/>
  </w:num>
  <w:num w:numId="15">
    <w:abstractNumId w:val="21"/>
  </w:num>
  <w:num w:numId="16">
    <w:abstractNumId w:val="16"/>
  </w:num>
  <w:num w:numId="17">
    <w:abstractNumId w:val="36"/>
  </w:num>
  <w:num w:numId="18">
    <w:abstractNumId w:val="15"/>
  </w:num>
  <w:num w:numId="19">
    <w:abstractNumId w:val="17"/>
  </w:num>
  <w:num w:numId="20">
    <w:abstractNumId w:val="37"/>
  </w:num>
  <w:num w:numId="21">
    <w:abstractNumId w:val="14"/>
  </w:num>
  <w:num w:numId="22">
    <w:abstractNumId w:val="28"/>
  </w:num>
  <w:num w:numId="23">
    <w:abstractNumId w:val="31"/>
  </w:num>
  <w:num w:numId="24">
    <w:abstractNumId w:val="19"/>
  </w:num>
  <w:num w:numId="25">
    <w:abstractNumId w:val="18"/>
  </w:num>
  <w:num w:numId="26">
    <w:abstractNumId w:val="29"/>
  </w:num>
  <w:num w:numId="27">
    <w:abstractNumId w:val="11"/>
  </w:num>
  <w:num w:numId="28">
    <w:abstractNumId w:val="20"/>
  </w:num>
  <w:num w:numId="29">
    <w:abstractNumId w:val="32"/>
  </w:num>
  <w:num w:numId="30">
    <w:abstractNumId w:val="23"/>
  </w:num>
  <w:num w:numId="31">
    <w:abstractNumId w:val="27"/>
  </w:num>
  <w:num w:numId="32">
    <w:abstractNumId w:val="26"/>
  </w:num>
  <w:num w:numId="33">
    <w:abstractNumId w:val="35"/>
  </w:num>
  <w:num w:numId="34">
    <w:abstractNumId w:val="10"/>
  </w:num>
  <w:num w:numId="35">
    <w:abstractNumId w:val="24"/>
  </w:num>
  <w:num w:numId="36">
    <w:abstractNumId w:val="12"/>
  </w:num>
  <w:num w:numId="37">
    <w:abstractNumId w:val="13"/>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fr-BE" w:vendorID="9" w:dllVersion="512" w:checkStyle="1"/>
  <w:activeWritingStyle w:appName="MSWord" w:lang="en-US" w:vendorID="8" w:dllVersion="513" w:checkStyle="1"/>
  <w:activeWritingStyle w:appName="MSWord" w:lang="nl-NL" w:vendorID="1" w:dllVersion="512" w:checkStyle="1"/>
  <w:activeWritingStyle w:appName="MSWord" w:lang="nl-BE" w:vendorID="1" w:dllVersion="512"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oNotHyphenateCaps/>
  <w:evenAndOddHeader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8913"/>
  </w:hdrShapeDefaults>
  <w:footnotePr>
    <w:numRestart w:val="eachSec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003"/>
    <w:rsid w:val="00001B32"/>
    <w:rsid w:val="00006A42"/>
    <w:rsid w:val="00015E8A"/>
    <w:rsid w:val="00024A9E"/>
    <w:rsid w:val="000252A1"/>
    <w:rsid w:val="00025920"/>
    <w:rsid w:val="00032291"/>
    <w:rsid w:val="000327D2"/>
    <w:rsid w:val="000331D9"/>
    <w:rsid w:val="0003333C"/>
    <w:rsid w:val="00036E81"/>
    <w:rsid w:val="00037601"/>
    <w:rsid w:val="0004319E"/>
    <w:rsid w:val="0004570B"/>
    <w:rsid w:val="00051F2C"/>
    <w:rsid w:val="00053EEF"/>
    <w:rsid w:val="00062C1B"/>
    <w:rsid w:val="00064AC6"/>
    <w:rsid w:val="0007373F"/>
    <w:rsid w:val="0008040B"/>
    <w:rsid w:val="00081AB8"/>
    <w:rsid w:val="00082FA7"/>
    <w:rsid w:val="000869C2"/>
    <w:rsid w:val="00090275"/>
    <w:rsid w:val="00094DD6"/>
    <w:rsid w:val="00097598"/>
    <w:rsid w:val="000A1DA9"/>
    <w:rsid w:val="000B10E1"/>
    <w:rsid w:val="000B6441"/>
    <w:rsid w:val="000C35AA"/>
    <w:rsid w:val="000C37AB"/>
    <w:rsid w:val="000D10C0"/>
    <w:rsid w:val="000D405E"/>
    <w:rsid w:val="000D645F"/>
    <w:rsid w:val="000E0090"/>
    <w:rsid w:val="000E2A68"/>
    <w:rsid w:val="000F1EB6"/>
    <w:rsid w:val="000F7268"/>
    <w:rsid w:val="000F75D1"/>
    <w:rsid w:val="000F7C34"/>
    <w:rsid w:val="0010331C"/>
    <w:rsid w:val="001126F5"/>
    <w:rsid w:val="001132DE"/>
    <w:rsid w:val="00114821"/>
    <w:rsid w:val="00117F31"/>
    <w:rsid w:val="00124312"/>
    <w:rsid w:val="00124AA8"/>
    <w:rsid w:val="00133D4B"/>
    <w:rsid w:val="00134971"/>
    <w:rsid w:val="00145EF1"/>
    <w:rsid w:val="00146AAD"/>
    <w:rsid w:val="00147933"/>
    <w:rsid w:val="001503B0"/>
    <w:rsid w:val="0015043F"/>
    <w:rsid w:val="001516F5"/>
    <w:rsid w:val="0015337A"/>
    <w:rsid w:val="00154310"/>
    <w:rsid w:val="001548A9"/>
    <w:rsid w:val="00155349"/>
    <w:rsid w:val="00160D31"/>
    <w:rsid w:val="0016629F"/>
    <w:rsid w:val="00167ACD"/>
    <w:rsid w:val="00172DAF"/>
    <w:rsid w:val="0017328F"/>
    <w:rsid w:val="00175ADE"/>
    <w:rsid w:val="001763C2"/>
    <w:rsid w:val="001767CB"/>
    <w:rsid w:val="0017681B"/>
    <w:rsid w:val="0018615D"/>
    <w:rsid w:val="00186EC7"/>
    <w:rsid w:val="0019158E"/>
    <w:rsid w:val="00197103"/>
    <w:rsid w:val="001979B5"/>
    <w:rsid w:val="00197FEB"/>
    <w:rsid w:val="001A1D68"/>
    <w:rsid w:val="001A7DC7"/>
    <w:rsid w:val="001B130A"/>
    <w:rsid w:val="001B4EEE"/>
    <w:rsid w:val="001B7F21"/>
    <w:rsid w:val="001C2F68"/>
    <w:rsid w:val="001D503F"/>
    <w:rsid w:val="001D518B"/>
    <w:rsid w:val="001D64F5"/>
    <w:rsid w:val="001F1805"/>
    <w:rsid w:val="001F711D"/>
    <w:rsid w:val="00200D79"/>
    <w:rsid w:val="002024CD"/>
    <w:rsid w:val="00202B0B"/>
    <w:rsid w:val="00204BE8"/>
    <w:rsid w:val="00205C83"/>
    <w:rsid w:val="002140E3"/>
    <w:rsid w:val="00215E02"/>
    <w:rsid w:val="00221231"/>
    <w:rsid w:val="00222E4E"/>
    <w:rsid w:val="00222E56"/>
    <w:rsid w:val="00223911"/>
    <w:rsid w:val="00226A40"/>
    <w:rsid w:val="002307B0"/>
    <w:rsid w:val="00231694"/>
    <w:rsid w:val="002333AF"/>
    <w:rsid w:val="00233828"/>
    <w:rsid w:val="002406B2"/>
    <w:rsid w:val="002477FA"/>
    <w:rsid w:val="002554D2"/>
    <w:rsid w:val="00255560"/>
    <w:rsid w:val="00261D63"/>
    <w:rsid w:val="002665CF"/>
    <w:rsid w:val="002754A4"/>
    <w:rsid w:val="00275C1C"/>
    <w:rsid w:val="00276804"/>
    <w:rsid w:val="00277EDB"/>
    <w:rsid w:val="00281BFE"/>
    <w:rsid w:val="002859A3"/>
    <w:rsid w:val="00287538"/>
    <w:rsid w:val="0028790D"/>
    <w:rsid w:val="00287C7A"/>
    <w:rsid w:val="002B0E02"/>
    <w:rsid w:val="002B15D0"/>
    <w:rsid w:val="002B49B6"/>
    <w:rsid w:val="002B5743"/>
    <w:rsid w:val="002C53A0"/>
    <w:rsid w:val="002D5723"/>
    <w:rsid w:val="002D75B3"/>
    <w:rsid w:val="002E10A2"/>
    <w:rsid w:val="002E15B9"/>
    <w:rsid w:val="002E409B"/>
    <w:rsid w:val="002E4B4C"/>
    <w:rsid w:val="002E5144"/>
    <w:rsid w:val="002E714A"/>
    <w:rsid w:val="002F1611"/>
    <w:rsid w:val="00304A03"/>
    <w:rsid w:val="003116AA"/>
    <w:rsid w:val="003135E6"/>
    <w:rsid w:val="00316B10"/>
    <w:rsid w:val="00323549"/>
    <w:rsid w:val="00327644"/>
    <w:rsid w:val="00327AF4"/>
    <w:rsid w:val="003364D4"/>
    <w:rsid w:val="00336841"/>
    <w:rsid w:val="00336912"/>
    <w:rsid w:val="0033717B"/>
    <w:rsid w:val="003416F6"/>
    <w:rsid w:val="003419C5"/>
    <w:rsid w:val="00344E68"/>
    <w:rsid w:val="00347DFB"/>
    <w:rsid w:val="0035072B"/>
    <w:rsid w:val="003522C1"/>
    <w:rsid w:val="00352B22"/>
    <w:rsid w:val="00353178"/>
    <w:rsid w:val="003539F9"/>
    <w:rsid w:val="00353E3D"/>
    <w:rsid w:val="00354956"/>
    <w:rsid w:val="003602E1"/>
    <w:rsid w:val="00362513"/>
    <w:rsid w:val="00364B9B"/>
    <w:rsid w:val="00365065"/>
    <w:rsid w:val="003652F9"/>
    <w:rsid w:val="00365FFE"/>
    <w:rsid w:val="003714B3"/>
    <w:rsid w:val="00372551"/>
    <w:rsid w:val="00377371"/>
    <w:rsid w:val="003802EE"/>
    <w:rsid w:val="0038095A"/>
    <w:rsid w:val="00381F4A"/>
    <w:rsid w:val="00382975"/>
    <w:rsid w:val="00383392"/>
    <w:rsid w:val="00386681"/>
    <w:rsid w:val="0038749D"/>
    <w:rsid w:val="00387716"/>
    <w:rsid w:val="003907B4"/>
    <w:rsid w:val="00394EBC"/>
    <w:rsid w:val="00395A49"/>
    <w:rsid w:val="00397DDA"/>
    <w:rsid w:val="003B113D"/>
    <w:rsid w:val="003B1662"/>
    <w:rsid w:val="003B7866"/>
    <w:rsid w:val="003C1C7A"/>
    <w:rsid w:val="003C5A9F"/>
    <w:rsid w:val="003D49B6"/>
    <w:rsid w:val="003D7096"/>
    <w:rsid w:val="003E2B8D"/>
    <w:rsid w:val="003E4928"/>
    <w:rsid w:val="003E5624"/>
    <w:rsid w:val="003E75F6"/>
    <w:rsid w:val="003F028B"/>
    <w:rsid w:val="003F26D2"/>
    <w:rsid w:val="003F2836"/>
    <w:rsid w:val="003F3268"/>
    <w:rsid w:val="003F6875"/>
    <w:rsid w:val="003F792F"/>
    <w:rsid w:val="003F7DB1"/>
    <w:rsid w:val="004003CC"/>
    <w:rsid w:val="00407822"/>
    <w:rsid w:val="00410B49"/>
    <w:rsid w:val="00412C56"/>
    <w:rsid w:val="00420199"/>
    <w:rsid w:val="00420780"/>
    <w:rsid w:val="0042595A"/>
    <w:rsid w:val="004275C8"/>
    <w:rsid w:val="00434860"/>
    <w:rsid w:val="00444618"/>
    <w:rsid w:val="004449B7"/>
    <w:rsid w:val="00450949"/>
    <w:rsid w:val="004540E1"/>
    <w:rsid w:val="00454C65"/>
    <w:rsid w:val="00456DEB"/>
    <w:rsid w:val="004619EE"/>
    <w:rsid w:val="00464101"/>
    <w:rsid w:val="004679FA"/>
    <w:rsid w:val="004703D1"/>
    <w:rsid w:val="00477296"/>
    <w:rsid w:val="00477F18"/>
    <w:rsid w:val="00485F3C"/>
    <w:rsid w:val="00487A30"/>
    <w:rsid w:val="00491355"/>
    <w:rsid w:val="0049192C"/>
    <w:rsid w:val="00492E39"/>
    <w:rsid w:val="0049350C"/>
    <w:rsid w:val="00494FAC"/>
    <w:rsid w:val="004956C2"/>
    <w:rsid w:val="00495727"/>
    <w:rsid w:val="00495A76"/>
    <w:rsid w:val="004A477F"/>
    <w:rsid w:val="004A4BA5"/>
    <w:rsid w:val="004A4C5C"/>
    <w:rsid w:val="004B400F"/>
    <w:rsid w:val="004C14FA"/>
    <w:rsid w:val="004C2424"/>
    <w:rsid w:val="004C6CD7"/>
    <w:rsid w:val="004D0F13"/>
    <w:rsid w:val="004D12DD"/>
    <w:rsid w:val="004E0E8C"/>
    <w:rsid w:val="004E136D"/>
    <w:rsid w:val="004E188E"/>
    <w:rsid w:val="004E4815"/>
    <w:rsid w:val="004E5259"/>
    <w:rsid w:val="004F04DA"/>
    <w:rsid w:val="004F0F6B"/>
    <w:rsid w:val="004F41BA"/>
    <w:rsid w:val="005033DA"/>
    <w:rsid w:val="0050792E"/>
    <w:rsid w:val="0051268A"/>
    <w:rsid w:val="0051780B"/>
    <w:rsid w:val="00522A9B"/>
    <w:rsid w:val="005277F1"/>
    <w:rsid w:val="0053446F"/>
    <w:rsid w:val="005373D9"/>
    <w:rsid w:val="00552963"/>
    <w:rsid w:val="0055492B"/>
    <w:rsid w:val="00557A3F"/>
    <w:rsid w:val="0056043D"/>
    <w:rsid w:val="005609EB"/>
    <w:rsid w:val="005616A3"/>
    <w:rsid w:val="00561A9A"/>
    <w:rsid w:val="00566997"/>
    <w:rsid w:val="00567693"/>
    <w:rsid w:val="00571A24"/>
    <w:rsid w:val="00573A08"/>
    <w:rsid w:val="00577299"/>
    <w:rsid w:val="00582D56"/>
    <w:rsid w:val="00592469"/>
    <w:rsid w:val="00592957"/>
    <w:rsid w:val="005932C7"/>
    <w:rsid w:val="0059396D"/>
    <w:rsid w:val="005943BC"/>
    <w:rsid w:val="005A3DA7"/>
    <w:rsid w:val="005B3495"/>
    <w:rsid w:val="005B4C1C"/>
    <w:rsid w:val="005C1B25"/>
    <w:rsid w:val="005C3450"/>
    <w:rsid w:val="005C3B2D"/>
    <w:rsid w:val="005C3F84"/>
    <w:rsid w:val="005C64AA"/>
    <w:rsid w:val="005D6F03"/>
    <w:rsid w:val="005E33F6"/>
    <w:rsid w:val="006024BE"/>
    <w:rsid w:val="00606B88"/>
    <w:rsid w:val="006107D5"/>
    <w:rsid w:val="00610B4E"/>
    <w:rsid w:val="00611E02"/>
    <w:rsid w:val="006208D6"/>
    <w:rsid w:val="00627AF2"/>
    <w:rsid w:val="0063089E"/>
    <w:rsid w:val="006316A4"/>
    <w:rsid w:val="00631E3C"/>
    <w:rsid w:val="00634558"/>
    <w:rsid w:val="006356F7"/>
    <w:rsid w:val="00635750"/>
    <w:rsid w:val="00635AD7"/>
    <w:rsid w:val="00635DCE"/>
    <w:rsid w:val="006372C7"/>
    <w:rsid w:val="006376E3"/>
    <w:rsid w:val="00641C91"/>
    <w:rsid w:val="006506E6"/>
    <w:rsid w:val="00651843"/>
    <w:rsid w:val="00653A88"/>
    <w:rsid w:val="006602F1"/>
    <w:rsid w:val="006626A0"/>
    <w:rsid w:val="00667481"/>
    <w:rsid w:val="0067020C"/>
    <w:rsid w:val="006703F5"/>
    <w:rsid w:val="0067198D"/>
    <w:rsid w:val="0068065A"/>
    <w:rsid w:val="00683802"/>
    <w:rsid w:val="00695D8A"/>
    <w:rsid w:val="006972E7"/>
    <w:rsid w:val="0069769C"/>
    <w:rsid w:val="00697F48"/>
    <w:rsid w:val="006A3829"/>
    <w:rsid w:val="006A5663"/>
    <w:rsid w:val="006B4C0E"/>
    <w:rsid w:val="006B6BFC"/>
    <w:rsid w:val="006E4062"/>
    <w:rsid w:val="006E7D13"/>
    <w:rsid w:val="006F4A56"/>
    <w:rsid w:val="00702DA6"/>
    <w:rsid w:val="00704330"/>
    <w:rsid w:val="007060F8"/>
    <w:rsid w:val="007068CA"/>
    <w:rsid w:val="00706B32"/>
    <w:rsid w:val="0071004E"/>
    <w:rsid w:val="007110B1"/>
    <w:rsid w:val="00714070"/>
    <w:rsid w:val="007148AA"/>
    <w:rsid w:val="00715003"/>
    <w:rsid w:val="00730DDA"/>
    <w:rsid w:val="00733829"/>
    <w:rsid w:val="00733DE9"/>
    <w:rsid w:val="00741E9C"/>
    <w:rsid w:val="007435A3"/>
    <w:rsid w:val="0074376B"/>
    <w:rsid w:val="0074493A"/>
    <w:rsid w:val="007459B1"/>
    <w:rsid w:val="00745B54"/>
    <w:rsid w:val="00750B57"/>
    <w:rsid w:val="007520C7"/>
    <w:rsid w:val="00752FC4"/>
    <w:rsid w:val="00763050"/>
    <w:rsid w:val="00764C44"/>
    <w:rsid w:val="007654E7"/>
    <w:rsid w:val="00766F4D"/>
    <w:rsid w:val="0077019B"/>
    <w:rsid w:val="00773E81"/>
    <w:rsid w:val="00782C70"/>
    <w:rsid w:val="00785B6F"/>
    <w:rsid w:val="00787601"/>
    <w:rsid w:val="00790EF3"/>
    <w:rsid w:val="007919E3"/>
    <w:rsid w:val="00796920"/>
    <w:rsid w:val="00797BED"/>
    <w:rsid w:val="007A1C59"/>
    <w:rsid w:val="007A1F21"/>
    <w:rsid w:val="007A3EF3"/>
    <w:rsid w:val="007A552B"/>
    <w:rsid w:val="007A6D1E"/>
    <w:rsid w:val="007B25F7"/>
    <w:rsid w:val="007B793B"/>
    <w:rsid w:val="007B7E1D"/>
    <w:rsid w:val="007C11CA"/>
    <w:rsid w:val="007C1F38"/>
    <w:rsid w:val="007C6D45"/>
    <w:rsid w:val="007E0494"/>
    <w:rsid w:val="007E0667"/>
    <w:rsid w:val="007E6FF5"/>
    <w:rsid w:val="007E71C9"/>
    <w:rsid w:val="007E7843"/>
    <w:rsid w:val="007F0A8C"/>
    <w:rsid w:val="007F462A"/>
    <w:rsid w:val="007F55D9"/>
    <w:rsid w:val="007F5AF5"/>
    <w:rsid w:val="007F78DB"/>
    <w:rsid w:val="0080237C"/>
    <w:rsid w:val="00804480"/>
    <w:rsid w:val="00805AFA"/>
    <w:rsid w:val="0081015C"/>
    <w:rsid w:val="00814FBE"/>
    <w:rsid w:val="00820E51"/>
    <w:rsid w:val="00821F74"/>
    <w:rsid w:val="00822375"/>
    <w:rsid w:val="00824A23"/>
    <w:rsid w:val="00826A02"/>
    <w:rsid w:val="0083653E"/>
    <w:rsid w:val="00836C05"/>
    <w:rsid w:val="008404CC"/>
    <w:rsid w:val="008437C4"/>
    <w:rsid w:val="00843F67"/>
    <w:rsid w:val="00847145"/>
    <w:rsid w:val="008503E8"/>
    <w:rsid w:val="0086129E"/>
    <w:rsid w:val="00862E5C"/>
    <w:rsid w:val="00875EBF"/>
    <w:rsid w:val="008837CF"/>
    <w:rsid w:val="00885794"/>
    <w:rsid w:val="00890D20"/>
    <w:rsid w:val="00892754"/>
    <w:rsid w:val="00896CFE"/>
    <w:rsid w:val="008977A1"/>
    <w:rsid w:val="008C4032"/>
    <w:rsid w:val="008D47B3"/>
    <w:rsid w:val="008D6B7E"/>
    <w:rsid w:val="008D75F4"/>
    <w:rsid w:val="008D7E50"/>
    <w:rsid w:val="008E2108"/>
    <w:rsid w:val="008E5948"/>
    <w:rsid w:val="008E6931"/>
    <w:rsid w:val="0090354E"/>
    <w:rsid w:val="0090398E"/>
    <w:rsid w:val="00905862"/>
    <w:rsid w:val="00905D03"/>
    <w:rsid w:val="00914031"/>
    <w:rsid w:val="00915A05"/>
    <w:rsid w:val="00927B06"/>
    <w:rsid w:val="00932175"/>
    <w:rsid w:val="00935B26"/>
    <w:rsid w:val="00937808"/>
    <w:rsid w:val="0094063E"/>
    <w:rsid w:val="00940C81"/>
    <w:rsid w:val="009417CD"/>
    <w:rsid w:val="00942B19"/>
    <w:rsid w:val="00942EE2"/>
    <w:rsid w:val="009462B0"/>
    <w:rsid w:val="009466D6"/>
    <w:rsid w:val="00950C45"/>
    <w:rsid w:val="0095260B"/>
    <w:rsid w:val="00954143"/>
    <w:rsid w:val="009600D3"/>
    <w:rsid w:val="00974952"/>
    <w:rsid w:val="009772C2"/>
    <w:rsid w:val="00983714"/>
    <w:rsid w:val="00985229"/>
    <w:rsid w:val="00987DEA"/>
    <w:rsid w:val="00991E7A"/>
    <w:rsid w:val="009930F0"/>
    <w:rsid w:val="009939BE"/>
    <w:rsid w:val="00994BF4"/>
    <w:rsid w:val="009A0346"/>
    <w:rsid w:val="009A079B"/>
    <w:rsid w:val="009A140C"/>
    <w:rsid w:val="009A5CAA"/>
    <w:rsid w:val="009B132A"/>
    <w:rsid w:val="009B1400"/>
    <w:rsid w:val="009B5175"/>
    <w:rsid w:val="009B6FA0"/>
    <w:rsid w:val="009C032A"/>
    <w:rsid w:val="009C0BC7"/>
    <w:rsid w:val="009D10D0"/>
    <w:rsid w:val="009D1225"/>
    <w:rsid w:val="009D15BD"/>
    <w:rsid w:val="009D277D"/>
    <w:rsid w:val="009D3040"/>
    <w:rsid w:val="009D3082"/>
    <w:rsid w:val="009D40BB"/>
    <w:rsid w:val="009D784B"/>
    <w:rsid w:val="009E2A0A"/>
    <w:rsid w:val="009E56DB"/>
    <w:rsid w:val="009F061C"/>
    <w:rsid w:val="009F0A6E"/>
    <w:rsid w:val="009F0C0B"/>
    <w:rsid w:val="00A01013"/>
    <w:rsid w:val="00A01D7A"/>
    <w:rsid w:val="00A06B19"/>
    <w:rsid w:val="00A10E5D"/>
    <w:rsid w:val="00A11F91"/>
    <w:rsid w:val="00A122B7"/>
    <w:rsid w:val="00A141C9"/>
    <w:rsid w:val="00A147E1"/>
    <w:rsid w:val="00A16F91"/>
    <w:rsid w:val="00A1738C"/>
    <w:rsid w:val="00A17571"/>
    <w:rsid w:val="00A2514A"/>
    <w:rsid w:val="00A25A33"/>
    <w:rsid w:val="00A267AD"/>
    <w:rsid w:val="00A351FF"/>
    <w:rsid w:val="00A355E9"/>
    <w:rsid w:val="00A51FAA"/>
    <w:rsid w:val="00A55A96"/>
    <w:rsid w:val="00A56340"/>
    <w:rsid w:val="00A605D0"/>
    <w:rsid w:val="00A61D00"/>
    <w:rsid w:val="00A621A5"/>
    <w:rsid w:val="00A62501"/>
    <w:rsid w:val="00A66683"/>
    <w:rsid w:val="00A679F2"/>
    <w:rsid w:val="00A709E5"/>
    <w:rsid w:val="00A7250C"/>
    <w:rsid w:val="00A73C4E"/>
    <w:rsid w:val="00A73D60"/>
    <w:rsid w:val="00A876D8"/>
    <w:rsid w:val="00A912F7"/>
    <w:rsid w:val="00A96DEC"/>
    <w:rsid w:val="00A973C8"/>
    <w:rsid w:val="00AA074E"/>
    <w:rsid w:val="00AA1E89"/>
    <w:rsid w:val="00AB4D11"/>
    <w:rsid w:val="00AB5B67"/>
    <w:rsid w:val="00AB5F38"/>
    <w:rsid w:val="00AB6BD9"/>
    <w:rsid w:val="00AC0B2F"/>
    <w:rsid w:val="00AC5816"/>
    <w:rsid w:val="00AC619F"/>
    <w:rsid w:val="00AD63CC"/>
    <w:rsid w:val="00AD7BAB"/>
    <w:rsid w:val="00AE028E"/>
    <w:rsid w:val="00AE0FA5"/>
    <w:rsid w:val="00AF52B6"/>
    <w:rsid w:val="00AF77D2"/>
    <w:rsid w:val="00B04933"/>
    <w:rsid w:val="00B05448"/>
    <w:rsid w:val="00B11BB2"/>
    <w:rsid w:val="00B144C0"/>
    <w:rsid w:val="00B17CAF"/>
    <w:rsid w:val="00B20318"/>
    <w:rsid w:val="00B338D7"/>
    <w:rsid w:val="00B34FEF"/>
    <w:rsid w:val="00B352D4"/>
    <w:rsid w:val="00B35D27"/>
    <w:rsid w:val="00B402AF"/>
    <w:rsid w:val="00B404A0"/>
    <w:rsid w:val="00B41942"/>
    <w:rsid w:val="00B44525"/>
    <w:rsid w:val="00B44C6F"/>
    <w:rsid w:val="00B44D45"/>
    <w:rsid w:val="00B453A3"/>
    <w:rsid w:val="00B46BAE"/>
    <w:rsid w:val="00B52F2E"/>
    <w:rsid w:val="00B550C0"/>
    <w:rsid w:val="00B55A90"/>
    <w:rsid w:val="00B614D1"/>
    <w:rsid w:val="00B620CA"/>
    <w:rsid w:val="00B63B89"/>
    <w:rsid w:val="00B65C72"/>
    <w:rsid w:val="00B661C8"/>
    <w:rsid w:val="00B71DAA"/>
    <w:rsid w:val="00B80CFD"/>
    <w:rsid w:val="00B83227"/>
    <w:rsid w:val="00B908B1"/>
    <w:rsid w:val="00B92424"/>
    <w:rsid w:val="00B96409"/>
    <w:rsid w:val="00B969D4"/>
    <w:rsid w:val="00B97B40"/>
    <w:rsid w:val="00BA41B3"/>
    <w:rsid w:val="00BB3EEA"/>
    <w:rsid w:val="00BC2969"/>
    <w:rsid w:val="00BC351F"/>
    <w:rsid w:val="00BC744C"/>
    <w:rsid w:val="00BD4DB6"/>
    <w:rsid w:val="00BD7A38"/>
    <w:rsid w:val="00BE0CD8"/>
    <w:rsid w:val="00BF21ED"/>
    <w:rsid w:val="00BF29ED"/>
    <w:rsid w:val="00BF5C8A"/>
    <w:rsid w:val="00C0402A"/>
    <w:rsid w:val="00C0490F"/>
    <w:rsid w:val="00C067BD"/>
    <w:rsid w:val="00C079B3"/>
    <w:rsid w:val="00C213F3"/>
    <w:rsid w:val="00C24707"/>
    <w:rsid w:val="00C31888"/>
    <w:rsid w:val="00C33CD7"/>
    <w:rsid w:val="00C34E1C"/>
    <w:rsid w:val="00C36FEA"/>
    <w:rsid w:val="00C40C62"/>
    <w:rsid w:val="00C474DC"/>
    <w:rsid w:val="00C47857"/>
    <w:rsid w:val="00C5236C"/>
    <w:rsid w:val="00C5387A"/>
    <w:rsid w:val="00C563FE"/>
    <w:rsid w:val="00C60422"/>
    <w:rsid w:val="00C61050"/>
    <w:rsid w:val="00C634C5"/>
    <w:rsid w:val="00C641E4"/>
    <w:rsid w:val="00C66480"/>
    <w:rsid w:val="00C753E9"/>
    <w:rsid w:val="00C81B69"/>
    <w:rsid w:val="00C84EA1"/>
    <w:rsid w:val="00C8519A"/>
    <w:rsid w:val="00C90176"/>
    <w:rsid w:val="00C9043A"/>
    <w:rsid w:val="00C94B35"/>
    <w:rsid w:val="00C961A9"/>
    <w:rsid w:val="00CA5A74"/>
    <w:rsid w:val="00CB2202"/>
    <w:rsid w:val="00CB30C8"/>
    <w:rsid w:val="00CB4A52"/>
    <w:rsid w:val="00CC0365"/>
    <w:rsid w:val="00CC4296"/>
    <w:rsid w:val="00CE3B84"/>
    <w:rsid w:val="00CE5378"/>
    <w:rsid w:val="00CE5D84"/>
    <w:rsid w:val="00CF6318"/>
    <w:rsid w:val="00CF63B4"/>
    <w:rsid w:val="00D00492"/>
    <w:rsid w:val="00D04F8E"/>
    <w:rsid w:val="00D05113"/>
    <w:rsid w:val="00D0540B"/>
    <w:rsid w:val="00D06A39"/>
    <w:rsid w:val="00D16023"/>
    <w:rsid w:val="00D16FD0"/>
    <w:rsid w:val="00D231CE"/>
    <w:rsid w:val="00D25CC0"/>
    <w:rsid w:val="00D2603A"/>
    <w:rsid w:val="00D2703D"/>
    <w:rsid w:val="00D27EF2"/>
    <w:rsid w:val="00D325CC"/>
    <w:rsid w:val="00D32B1A"/>
    <w:rsid w:val="00D346B5"/>
    <w:rsid w:val="00D36C5D"/>
    <w:rsid w:val="00D41565"/>
    <w:rsid w:val="00D423C7"/>
    <w:rsid w:val="00D42432"/>
    <w:rsid w:val="00D527DE"/>
    <w:rsid w:val="00D556C0"/>
    <w:rsid w:val="00D62D9B"/>
    <w:rsid w:val="00D62DF1"/>
    <w:rsid w:val="00D63DA6"/>
    <w:rsid w:val="00D650B1"/>
    <w:rsid w:val="00D71772"/>
    <w:rsid w:val="00D718C9"/>
    <w:rsid w:val="00D75B6C"/>
    <w:rsid w:val="00D82C98"/>
    <w:rsid w:val="00D85013"/>
    <w:rsid w:val="00D850C8"/>
    <w:rsid w:val="00D8660B"/>
    <w:rsid w:val="00D94C0D"/>
    <w:rsid w:val="00DA2C55"/>
    <w:rsid w:val="00DA3057"/>
    <w:rsid w:val="00DA3226"/>
    <w:rsid w:val="00DA51C9"/>
    <w:rsid w:val="00DB1E1F"/>
    <w:rsid w:val="00DB31C8"/>
    <w:rsid w:val="00DB69A0"/>
    <w:rsid w:val="00DC0B0F"/>
    <w:rsid w:val="00DC1B28"/>
    <w:rsid w:val="00DC2E9D"/>
    <w:rsid w:val="00DC5B60"/>
    <w:rsid w:val="00DC727C"/>
    <w:rsid w:val="00DD1D39"/>
    <w:rsid w:val="00DD2826"/>
    <w:rsid w:val="00DF3B32"/>
    <w:rsid w:val="00DF758C"/>
    <w:rsid w:val="00DF76C8"/>
    <w:rsid w:val="00DF7D48"/>
    <w:rsid w:val="00E0435C"/>
    <w:rsid w:val="00E04E63"/>
    <w:rsid w:val="00E07CCE"/>
    <w:rsid w:val="00E13E2F"/>
    <w:rsid w:val="00E13E61"/>
    <w:rsid w:val="00E162FC"/>
    <w:rsid w:val="00E16B13"/>
    <w:rsid w:val="00E20676"/>
    <w:rsid w:val="00E22E1D"/>
    <w:rsid w:val="00E26ABD"/>
    <w:rsid w:val="00E30742"/>
    <w:rsid w:val="00E348BA"/>
    <w:rsid w:val="00E34A80"/>
    <w:rsid w:val="00E36D9F"/>
    <w:rsid w:val="00E36FD2"/>
    <w:rsid w:val="00E471A8"/>
    <w:rsid w:val="00E6278D"/>
    <w:rsid w:val="00E65C86"/>
    <w:rsid w:val="00E66CEF"/>
    <w:rsid w:val="00E71873"/>
    <w:rsid w:val="00E73749"/>
    <w:rsid w:val="00E759E4"/>
    <w:rsid w:val="00E767B9"/>
    <w:rsid w:val="00E77B8A"/>
    <w:rsid w:val="00E818E1"/>
    <w:rsid w:val="00E829D6"/>
    <w:rsid w:val="00E83A0E"/>
    <w:rsid w:val="00E87276"/>
    <w:rsid w:val="00E933B4"/>
    <w:rsid w:val="00E9511F"/>
    <w:rsid w:val="00E966D1"/>
    <w:rsid w:val="00E97E9C"/>
    <w:rsid w:val="00EA2226"/>
    <w:rsid w:val="00EA33BE"/>
    <w:rsid w:val="00EB13F8"/>
    <w:rsid w:val="00EB28A5"/>
    <w:rsid w:val="00EB3741"/>
    <w:rsid w:val="00EB3F3D"/>
    <w:rsid w:val="00EB6DE0"/>
    <w:rsid w:val="00EC346E"/>
    <w:rsid w:val="00ED10C8"/>
    <w:rsid w:val="00ED1B50"/>
    <w:rsid w:val="00ED445E"/>
    <w:rsid w:val="00ED687C"/>
    <w:rsid w:val="00ED6928"/>
    <w:rsid w:val="00EE3C1C"/>
    <w:rsid w:val="00EE5676"/>
    <w:rsid w:val="00F01DE1"/>
    <w:rsid w:val="00F022AC"/>
    <w:rsid w:val="00F05F39"/>
    <w:rsid w:val="00F063BF"/>
    <w:rsid w:val="00F07EA2"/>
    <w:rsid w:val="00F120C3"/>
    <w:rsid w:val="00F21513"/>
    <w:rsid w:val="00F24DB0"/>
    <w:rsid w:val="00F25FE8"/>
    <w:rsid w:val="00F31133"/>
    <w:rsid w:val="00F32E26"/>
    <w:rsid w:val="00F346A2"/>
    <w:rsid w:val="00F35F9D"/>
    <w:rsid w:val="00F371FA"/>
    <w:rsid w:val="00F45ABA"/>
    <w:rsid w:val="00F55AC8"/>
    <w:rsid w:val="00F57B63"/>
    <w:rsid w:val="00F62B97"/>
    <w:rsid w:val="00F63335"/>
    <w:rsid w:val="00F64E38"/>
    <w:rsid w:val="00F65486"/>
    <w:rsid w:val="00F747FC"/>
    <w:rsid w:val="00F76523"/>
    <w:rsid w:val="00F8549F"/>
    <w:rsid w:val="00F917ED"/>
    <w:rsid w:val="00FA14B8"/>
    <w:rsid w:val="00FA56DE"/>
    <w:rsid w:val="00FB03CF"/>
    <w:rsid w:val="00FE222C"/>
    <w:rsid w:val="00FE24A6"/>
    <w:rsid w:val="00FE5B66"/>
    <w:rsid w:val="00FF53D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0DDA"/>
    <w:pPr>
      <w:tabs>
        <w:tab w:val="left" w:pos="284"/>
      </w:tabs>
      <w:spacing w:line="264" w:lineRule="atLeast"/>
    </w:pPr>
    <w:rPr>
      <w:rFonts w:ascii="Arial" w:hAnsi="Arial"/>
      <w:lang w:val="en-GB" w:eastAsia="en-US"/>
    </w:rPr>
  </w:style>
  <w:style w:type="paragraph" w:styleId="Heading1">
    <w:name w:val="heading 1"/>
    <w:basedOn w:val="Normal"/>
    <w:next w:val="Normal"/>
    <w:qFormat/>
    <w:rsid w:val="007A552B"/>
    <w:pPr>
      <w:keepNext/>
      <w:keepLines/>
      <w:numPr>
        <w:numId w:val="30"/>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30"/>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30"/>
      </w:numPr>
      <w:tabs>
        <w:tab w:val="clear" w:pos="284"/>
      </w:tabs>
      <w:jc w:val="both"/>
      <w:outlineLvl w:val="2"/>
    </w:pPr>
  </w:style>
  <w:style w:type="paragraph" w:styleId="Heading4">
    <w:name w:val="heading 4"/>
    <w:basedOn w:val="Normal"/>
    <w:next w:val="Heading4Continue"/>
    <w:qFormat/>
    <w:rsid w:val="007A552B"/>
    <w:pPr>
      <w:keepNext/>
      <w:keepLines/>
      <w:numPr>
        <w:ilvl w:val="3"/>
        <w:numId w:val="30"/>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lang w:val="fr-FR"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semiHidden/>
    <w:rsid w:val="00147933"/>
    <w:pPr>
      <w:tabs>
        <w:tab w:val="clear" w:pos="284"/>
        <w:tab w:val="center" w:pos="4678"/>
        <w:tab w:val="right" w:pos="9356"/>
      </w:tabs>
      <w:spacing w:line="240" w:lineRule="auto"/>
    </w:pPr>
    <w:rPr>
      <w:sz w:val="18"/>
    </w:rPr>
  </w:style>
  <w:style w:type="paragraph" w:styleId="Header">
    <w:name w:val="header"/>
    <w:basedOn w:val="Normal"/>
    <w:semiHidden/>
    <w:rsid w:val="00DC727C"/>
    <w:pPr>
      <w:tabs>
        <w:tab w:val="center" w:pos="4394"/>
        <w:tab w:val="right" w:pos="8789"/>
      </w:tabs>
      <w:spacing w:line="240" w:lineRule="auto"/>
    </w:pPr>
  </w:style>
  <w:style w:type="character" w:styleId="FootnoteReference">
    <w:name w:val="footnote reference"/>
    <w:basedOn w:val="DefaultParagraphFont"/>
    <w:semiHidden/>
    <w:rsid w:val="00D556C0"/>
    <w:rPr>
      <w:rFonts w:ascii="Arial" w:hAnsi="Arial"/>
      <w:spacing w:val="0"/>
      <w:position w:val="6"/>
      <w:sz w:val="16"/>
      <w:szCs w:val="16"/>
    </w:rPr>
  </w:style>
  <w:style w:type="paragraph" w:styleId="FootnoteText">
    <w:name w:val="footnote text"/>
    <w:basedOn w:val="Normal"/>
    <w:semiHidden/>
    <w:rsid w:val="00D556C0"/>
    <w:pPr>
      <w:spacing w:line="240" w:lineRule="atLeast"/>
      <w:ind w:left="284" w:hanging="284"/>
    </w:pPr>
    <w:rPr>
      <w:sz w:val="18"/>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rsid w:val="005B4C1C"/>
    <w:pPr>
      <w:spacing w:line="240" w:lineRule="atLeast"/>
    </w:pPr>
    <w:rPr>
      <w:rFonts w:ascii="Arial" w:hAnsi="Arial"/>
    </w:rPr>
    <w:tblPr/>
  </w:style>
  <w:style w:type="character" w:styleId="Hyperlink">
    <w:name w:val="Hyperlink"/>
    <w:basedOn w:val="DefaultParagraphFont"/>
    <w:rsid w:val="00571A24"/>
    <w:rPr>
      <w:color w:val="0000FF"/>
      <w:u w:val="single"/>
    </w:rPr>
  </w:style>
  <w:style w:type="paragraph" w:customStyle="1" w:styleId="DpartementDepartement">
    <w:name w:val="Département/Departement"/>
    <w:next w:val="Normal"/>
    <w:semiHidden/>
    <w:rsid w:val="00E04E63"/>
    <w:pPr>
      <w:spacing w:line="240" w:lineRule="exact"/>
    </w:pPr>
    <w:rPr>
      <w:rFonts w:ascii="Arial" w:hAnsi="Arial"/>
      <w:b/>
      <w:noProof/>
      <w:sz w:val="18"/>
      <w:szCs w:val="16"/>
      <w:lang w:val="fr-FR" w:eastAsia="en-US"/>
    </w:rPr>
  </w:style>
  <w:style w:type="paragraph" w:customStyle="1" w:styleId="ServiceDienst">
    <w:name w:val="Service/Dienst"/>
    <w:next w:val="Normal"/>
    <w:semiHidden/>
    <w:rsid w:val="00E04E63"/>
    <w:pPr>
      <w:spacing w:line="240" w:lineRule="exact"/>
    </w:pPr>
    <w:rPr>
      <w:rFonts w:ascii="Arial" w:hAnsi="Arial"/>
      <w:noProof/>
      <w:sz w:val="17"/>
      <w:szCs w:val="16"/>
      <w:lang w:val="fr-FR" w:eastAsia="en-US"/>
    </w:rPr>
  </w:style>
  <w:style w:type="paragraph" w:customStyle="1" w:styleId="SectionSectie">
    <w:name w:val="Section/Sectie"/>
    <w:next w:val="Normal"/>
    <w:semiHidden/>
    <w:rsid w:val="0081015C"/>
    <w:pPr>
      <w:spacing w:line="220" w:lineRule="exact"/>
    </w:pPr>
    <w:rPr>
      <w:rFonts w:ascii="Arial" w:hAnsi="Arial"/>
      <w:noProof/>
      <w:sz w:val="14"/>
      <w:szCs w:val="16"/>
      <w:lang w:val="fr-FR" w:eastAsia="en-US"/>
    </w:rPr>
  </w:style>
  <w:style w:type="paragraph" w:customStyle="1" w:styleId="TitreTitel">
    <w:name w:val="Titre/Titel"/>
    <w:rsid w:val="00EB3741"/>
    <w:pPr>
      <w:spacing w:line="260" w:lineRule="atLeast"/>
    </w:pPr>
    <w:rPr>
      <w:rFonts w:ascii="Arial" w:hAnsi="Arial"/>
      <w:b/>
      <w:noProof/>
      <w:sz w:val="28"/>
      <w:szCs w:val="16"/>
      <w:lang w:val="fr-FR" w:eastAsia="en-US"/>
    </w:rPr>
  </w:style>
  <w:style w:type="paragraph" w:customStyle="1" w:styleId="AdresseAdres">
    <w:name w:val="Adresse/Adres"/>
    <w:rsid w:val="00A605D0"/>
    <w:pPr>
      <w:spacing w:line="160" w:lineRule="exact"/>
    </w:pPr>
    <w:rPr>
      <w:rFonts w:ascii="Arial" w:hAnsi="Arial"/>
      <w:noProof/>
      <w:sz w:val="13"/>
      <w:szCs w:val="16"/>
      <w:lang w:val="fr-FR" w:eastAsia="en-US"/>
    </w:rPr>
  </w:style>
  <w:style w:type="paragraph" w:customStyle="1" w:styleId="BNBNBB">
    <w:name w:val="BNB/NBB"/>
    <w:next w:val="AdresseAdres"/>
    <w:semiHidden/>
    <w:rsid w:val="00A605D0"/>
    <w:pPr>
      <w:spacing w:line="160" w:lineRule="exact"/>
    </w:pPr>
    <w:rPr>
      <w:rFonts w:ascii="Arial" w:hAnsi="Arial"/>
      <w:b/>
      <w:noProof/>
      <w:sz w:val="13"/>
      <w:szCs w:val="16"/>
      <w:lang w:val="fr-FR" w:eastAsia="en-US"/>
    </w:rPr>
  </w:style>
  <w:style w:type="paragraph" w:customStyle="1" w:styleId="IntroductionInleiding">
    <w:name w:val="Introduction/Inleiding"/>
    <w:basedOn w:val="Normal"/>
    <w:uiPriority w:val="4"/>
    <w:qFormat/>
    <w:rsid w:val="00276804"/>
    <w:pPr>
      <w:spacing w:after="260"/>
    </w:pPr>
    <w:rPr>
      <w:i/>
      <w:sz w:val="22"/>
      <w:lang w:val="nl-BE"/>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semiHidden/>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65065"/>
    <w:rPr>
      <w:rFonts w:ascii="Tahoma" w:hAnsi="Tahoma" w:cs="Tahoma"/>
      <w:sz w:val="16"/>
      <w:szCs w:val="16"/>
      <w:lang w:val="en-GB" w:eastAsia="en-US"/>
    </w:rPr>
  </w:style>
  <w:style w:type="paragraph" w:customStyle="1" w:styleId="BoiteVakje">
    <w:name w:val="Boite/Vakje"/>
    <w:semiHidden/>
    <w:qFormat/>
    <w:rsid w:val="00FE24A6"/>
    <w:pPr>
      <w:spacing w:line="200" w:lineRule="atLeast"/>
    </w:pPr>
    <w:rPr>
      <w:rFonts w:ascii="Arial" w:hAnsi="Arial"/>
      <w:sz w:val="14"/>
      <w:szCs w:val="14"/>
      <w:lang w:val="fr-BE" w:eastAsia="en-US"/>
    </w:rPr>
  </w:style>
  <w:style w:type="paragraph" w:customStyle="1" w:styleId="BoitetexteVakjetekst">
    <w:name w:val="Boite_texte/Vakje_tekst"/>
    <w:basedOn w:val="BoiteVakje"/>
    <w:semiHidden/>
    <w:qFormat/>
    <w:rsid w:val="00FE24A6"/>
    <w:rPr>
      <w:sz w:val="16"/>
      <w:szCs w:val="16"/>
    </w:rPr>
  </w:style>
  <w:style w:type="paragraph" w:customStyle="1" w:styleId="Heading4Continue">
    <w:name w:val="Heading 4 Continue"/>
    <w:basedOn w:val="Normal"/>
    <w:qFormat/>
    <w:rsid w:val="007A552B"/>
    <w:pPr>
      <w:tabs>
        <w:tab w:val="clear" w:pos="284"/>
      </w:tabs>
      <w:ind w:left="993"/>
    </w:pPr>
    <w:rPr>
      <w:lang w:val="nl-BE"/>
    </w:rPr>
  </w:style>
  <w:style w:type="paragraph" w:customStyle="1" w:styleId="SignaturesHandtekeningen">
    <w:name w:val="Signatures/Handtekeningen"/>
    <w:basedOn w:val="Normal"/>
    <w:qFormat/>
    <w:rsid w:val="00E348BA"/>
    <w:pPr>
      <w:tabs>
        <w:tab w:val="clear" w:pos="284"/>
        <w:tab w:val="left" w:pos="3402"/>
      </w:tabs>
    </w:pPr>
    <w:rPr>
      <w:lang w:val="nl-BE"/>
    </w:r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val="en-GB" w:eastAsia="en-US"/>
    </w:rPr>
  </w:style>
  <w:style w:type="paragraph" w:customStyle="1" w:styleId="AnnexeBijlage">
    <w:name w:val="Annexe/Bijlage"/>
    <w:uiPriority w:val="1"/>
    <w:rsid w:val="003E5624"/>
    <w:pPr>
      <w:spacing w:line="260" w:lineRule="atLeast"/>
    </w:pPr>
    <w:rPr>
      <w:rFonts w:ascii="Arial" w:hAnsi="Arial"/>
      <w:b/>
      <w:noProof/>
      <w:sz w:val="24"/>
      <w:szCs w:val="16"/>
      <w:lang w:val="fr-FR" w:eastAsia="en-US"/>
    </w:rPr>
  </w:style>
  <w:style w:type="paragraph" w:styleId="ListParagraph">
    <w:name w:val="List Paragraph"/>
    <w:basedOn w:val="Normal"/>
    <w:uiPriority w:val="34"/>
    <w:qFormat/>
    <w:rsid w:val="003E5624"/>
    <w:pPr>
      <w:tabs>
        <w:tab w:val="clear" w:pos="284"/>
      </w:tabs>
      <w:spacing w:line="260" w:lineRule="atLeast"/>
      <w:ind w:left="720"/>
      <w:contextualSpacing/>
      <w:jc w:val="both"/>
    </w:pPr>
  </w:style>
  <w:style w:type="character" w:styleId="FollowedHyperlink">
    <w:name w:val="FollowedHyperlink"/>
    <w:basedOn w:val="DefaultParagraphFont"/>
    <w:rsid w:val="00B71DAA"/>
    <w:rPr>
      <w:color w:val="800080" w:themeColor="followedHyperlink"/>
      <w:u w:val="single"/>
    </w:rPr>
  </w:style>
  <w:style w:type="character" w:styleId="CommentReference">
    <w:name w:val="annotation reference"/>
    <w:basedOn w:val="DefaultParagraphFont"/>
    <w:rsid w:val="00B453A3"/>
    <w:rPr>
      <w:sz w:val="16"/>
      <w:szCs w:val="16"/>
    </w:rPr>
  </w:style>
  <w:style w:type="paragraph" w:styleId="CommentText">
    <w:name w:val="annotation text"/>
    <w:basedOn w:val="Normal"/>
    <w:link w:val="CommentTextChar"/>
    <w:rsid w:val="00B453A3"/>
    <w:pPr>
      <w:spacing w:line="240" w:lineRule="auto"/>
    </w:pPr>
  </w:style>
  <w:style w:type="character" w:customStyle="1" w:styleId="CommentTextChar">
    <w:name w:val="Comment Text Char"/>
    <w:basedOn w:val="DefaultParagraphFont"/>
    <w:link w:val="CommentText"/>
    <w:rsid w:val="00B453A3"/>
    <w:rPr>
      <w:rFonts w:ascii="Arial" w:hAnsi="Arial"/>
      <w:lang w:val="en-GB" w:eastAsia="en-US"/>
    </w:rPr>
  </w:style>
  <w:style w:type="paragraph" w:styleId="CommentSubject">
    <w:name w:val="annotation subject"/>
    <w:basedOn w:val="CommentText"/>
    <w:next w:val="CommentText"/>
    <w:link w:val="CommentSubjectChar"/>
    <w:rsid w:val="00B453A3"/>
    <w:rPr>
      <w:b/>
      <w:bCs/>
    </w:rPr>
  </w:style>
  <w:style w:type="character" w:customStyle="1" w:styleId="CommentSubjectChar">
    <w:name w:val="Comment Subject Char"/>
    <w:basedOn w:val="CommentTextChar"/>
    <w:link w:val="CommentSubject"/>
    <w:rsid w:val="00B453A3"/>
    <w:rPr>
      <w:rFonts w:ascii="Arial" w:hAnsi="Arial"/>
      <w:b/>
      <w:bCs/>
      <w:lang w:val="en-GB" w:eastAsia="en-US"/>
    </w:rPr>
  </w:style>
  <w:style w:type="character" w:styleId="PlaceholderText">
    <w:name w:val="Placeholder Text"/>
    <w:basedOn w:val="DefaultParagraphFont"/>
    <w:uiPriority w:val="99"/>
    <w:semiHidden/>
    <w:rsid w:val="003B113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0DDA"/>
    <w:pPr>
      <w:tabs>
        <w:tab w:val="left" w:pos="284"/>
      </w:tabs>
      <w:spacing w:line="264" w:lineRule="atLeast"/>
    </w:pPr>
    <w:rPr>
      <w:rFonts w:ascii="Arial" w:hAnsi="Arial"/>
      <w:lang w:val="en-GB" w:eastAsia="en-US"/>
    </w:rPr>
  </w:style>
  <w:style w:type="paragraph" w:styleId="Heading1">
    <w:name w:val="heading 1"/>
    <w:basedOn w:val="Normal"/>
    <w:next w:val="Normal"/>
    <w:qFormat/>
    <w:rsid w:val="007A552B"/>
    <w:pPr>
      <w:keepNext/>
      <w:keepLines/>
      <w:numPr>
        <w:numId w:val="30"/>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30"/>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30"/>
      </w:numPr>
      <w:tabs>
        <w:tab w:val="clear" w:pos="284"/>
      </w:tabs>
      <w:jc w:val="both"/>
      <w:outlineLvl w:val="2"/>
    </w:pPr>
  </w:style>
  <w:style w:type="paragraph" w:styleId="Heading4">
    <w:name w:val="heading 4"/>
    <w:basedOn w:val="Normal"/>
    <w:next w:val="Heading4Continue"/>
    <w:qFormat/>
    <w:rsid w:val="007A552B"/>
    <w:pPr>
      <w:keepNext/>
      <w:keepLines/>
      <w:numPr>
        <w:ilvl w:val="3"/>
        <w:numId w:val="30"/>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lang w:val="fr-FR"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semiHidden/>
    <w:rsid w:val="00147933"/>
    <w:pPr>
      <w:tabs>
        <w:tab w:val="clear" w:pos="284"/>
        <w:tab w:val="center" w:pos="4678"/>
        <w:tab w:val="right" w:pos="9356"/>
      </w:tabs>
      <w:spacing w:line="240" w:lineRule="auto"/>
    </w:pPr>
    <w:rPr>
      <w:sz w:val="18"/>
    </w:rPr>
  </w:style>
  <w:style w:type="paragraph" w:styleId="Header">
    <w:name w:val="header"/>
    <w:basedOn w:val="Normal"/>
    <w:semiHidden/>
    <w:rsid w:val="00DC727C"/>
    <w:pPr>
      <w:tabs>
        <w:tab w:val="center" w:pos="4394"/>
        <w:tab w:val="right" w:pos="8789"/>
      </w:tabs>
      <w:spacing w:line="240" w:lineRule="auto"/>
    </w:pPr>
  </w:style>
  <w:style w:type="character" w:styleId="FootnoteReference">
    <w:name w:val="footnote reference"/>
    <w:basedOn w:val="DefaultParagraphFont"/>
    <w:semiHidden/>
    <w:rsid w:val="00D556C0"/>
    <w:rPr>
      <w:rFonts w:ascii="Arial" w:hAnsi="Arial"/>
      <w:spacing w:val="0"/>
      <w:position w:val="6"/>
      <w:sz w:val="16"/>
      <w:szCs w:val="16"/>
    </w:rPr>
  </w:style>
  <w:style w:type="paragraph" w:styleId="FootnoteText">
    <w:name w:val="footnote text"/>
    <w:basedOn w:val="Normal"/>
    <w:semiHidden/>
    <w:rsid w:val="00D556C0"/>
    <w:pPr>
      <w:spacing w:line="240" w:lineRule="atLeast"/>
      <w:ind w:left="284" w:hanging="284"/>
    </w:pPr>
    <w:rPr>
      <w:sz w:val="18"/>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rsid w:val="005B4C1C"/>
    <w:pPr>
      <w:spacing w:line="240" w:lineRule="atLeast"/>
    </w:pPr>
    <w:rPr>
      <w:rFonts w:ascii="Arial" w:hAnsi="Arial"/>
    </w:rPr>
    <w:tblPr/>
  </w:style>
  <w:style w:type="character" w:styleId="Hyperlink">
    <w:name w:val="Hyperlink"/>
    <w:basedOn w:val="DefaultParagraphFont"/>
    <w:rsid w:val="00571A24"/>
    <w:rPr>
      <w:color w:val="0000FF"/>
      <w:u w:val="single"/>
    </w:rPr>
  </w:style>
  <w:style w:type="paragraph" w:customStyle="1" w:styleId="DpartementDepartement">
    <w:name w:val="Département/Departement"/>
    <w:next w:val="Normal"/>
    <w:semiHidden/>
    <w:rsid w:val="00E04E63"/>
    <w:pPr>
      <w:spacing w:line="240" w:lineRule="exact"/>
    </w:pPr>
    <w:rPr>
      <w:rFonts w:ascii="Arial" w:hAnsi="Arial"/>
      <w:b/>
      <w:noProof/>
      <w:sz w:val="18"/>
      <w:szCs w:val="16"/>
      <w:lang w:val="fr-FR" w:eastAsia="en-US"/>
    </w:rPr>
  </w:style>
  <w:style w:type="paragraph" w:customStyle="1" w:styleId="ServiceDienst">
    <w:name w:val="Service/Dienst"/>
    <w:next w:val="Normal"/>
    <w:semiHidden/>
    <w:rsid w:val="00E04E63"/>
    <w:pPr>
      <w:spacing w:line="240" w:lineRule="exact"/>
    </w:pPr>
    <w:rPr>
      <w:rFonts w:ascii="Arial" w:hAnsi="Arial"/>
      <w:noProof/>
      <w:sz w:val="17"/>
      <w:szCs w:val="16"/>
      <w:lang w:val="fr-FR" w:eastAsia="en-US"/>
    </w:rPr>
  </w:style>
  <w:style w:type="paragraph" w:customStyle="1" w:styleId="SectionSectie">
    <w:name w:val="Section/Sectie"/>
    <w:next w:val="Normal"/>
    <w:semiHidden/>
    <w:rsid w:val="0081015C"/>
    <w:pPr>
      <w:spacing w:line="220" w:lineRule="exact"/>
    </w:pPr>
    <w:rPr>
      <w:rFonts w:ascii="Arial" w:hAnsi="Arial"/>
      <w:noProof/>
      <w:sz w:val="14"/>
      <w:szCs w:val="16"/>
      <w:lang w:val="fr-FR" w:eastAsia="en-US"/>
    </w:rPr>
  </w:style>
  <w:style w:type="paragraph" w:customStyle="1" w:styleId="TitreTitel">
    <w:name w:val="Titre/Titel"/>
    <w:rsid w:val="00EB3741"/>
    <w:pPr>
      <w:spacing w:line="260" w:lineRule="atLeast"/>
    </w:pPr>
    <w:rPr>
      <w:rFonts w:ascii="Arial" w:hAnsi="Arial"/>
      <w:b/>
      <w:noProof/>
      <w:sz w:val="28"/>
      <w:szCs w:val="16"/>
      <w:lang w:val="fr-FR" w:eastAsia="en-US"/>
    </w:rPr>
  </w:style>
  <w:style w:type="paragraph" w:customStyle="1" w:styleId="AdresseAdres">
    <w:name w:val="Adresse/Adres"/>
    <w:rsid w:val="00A605D0"/>
    <w:pPr>
      <w:spacing w:line="160" w:lineRule="exact"/>
    </w:pPr>
    <w:rPr>
      <w:rFonts w:ascii="Arial" w:hAnsi="Arial"/>
      <w:noProof/>
      <w:sz w:val="13"/>
      <w:szCs w:val="16"/>
      <w:lang w:val="fr-FR" w:eastAsia="en-US"/>
    </w:rPr>
  </w:style>
  <w:style w:type="paragraph" w:customStyle="1" w:styleId="BNBNBB">
    <w:name w:val="BNB/NBB"/>
    <w:next w:val="AdresseAdres"/>
    <w:semiHidden/>
    <w:rsid w:val="00A605D0"/>
    <w:pPr>
      <w:spacing w:line="160" w:lineRule="exact"/>
    </w:pPr>
    <w:rPr>
      <w:rFonts w:ascii="Arial" w:hAnsi="Arial"/>
      <w:b/>
      <w:noProof/>
      <w:sz w:val="13"/>
      <w:szCs w:val="16"/>
      <w:lang w:val="fr-FR" w:eastAsia="en-US"/>
    </w:rPr>
  </w:style>
  <w:style w:type="paragraph" w:customStyle="1" w:styleId="IntroductionInleiding">
    <w:name w:val="Introduction/Inleiding"/>
    <w:basedOn w:val="Normal"/>
    <w:uiPriority w:val="4"/>
    <w:qFormat/>
    <w:rsid w:val="00276804"/>
    <w:pPr>
      <w:spacing w:after="260"/>
    </w:pPr>
    <w:rPr>
      <w:i/>
      <w:sz w:val="22"/>
      <w:lang w:val="nl-BE"/>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semiHidden/>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65065"/>
    <w:rPr>
      <w:rFonts w:ascii="Tahoma" w:hAnsi="Tahoma" w:cs="Tahoma"/>
      <w:sz w:val="16"/>
      <w:szCs w:val="16"/>
      <w:lang w:val="en-GB" w:eastAsia="en-US"/>
    </w:rPr>
  </w:style>
  <w:style w:type="paragraph" w:customStyle="1" w:styleId="BoiteVakje">
    <w:name w:val="Boite/Vakje"/>
    <w:semiHidden/>
    <w:qFormat/>
    <w:rsid w:val="00FE24A6"/>
    <w:pPr>
      <w:spacing w:line="200" w:lineRule="atLeast"/>
    </w:pPr>
    <w:rPr>
      <w:rFonts w:ascii="Arial" w:hAnsi="Arial"/>
      <w:sz w:val="14"/>
      <w:szCs w:val="14"/>
      <w:lang w:val="fr-BE" w:eastAsia="en-US"/>
    </w:rPr>
  </w:style>
  <w:style w:type="paragraph" w:customStyle="1" w:styleId="BoitetexteVakjetekst">
    <w:name w:val="Boite_texte/Vakje_tekst"/>
    <w:basedOn w:val="BoiteVakje"/>
    <w:semiHidden/>
    <w:qFormat/>
    <w:rsid w:val="00FE24A6"/>
    <w:rPr>
      <w:sz w:val="16"/>
      <w:szCs w:val="16"/>
    </w:rPr>
  </w:style>
  <w:style w:type="paragraph" w:customStyle="1" w:styleId="Heading4Continue">
    <w:name w:val="Heading 4 Continue"/>
    <w:basedOn w:val="Normal"/>
    <w:qFormat/>
    <w:rsid w:val="007A552B"/>
    <w:pPr>
      <w:tabs>
        <w:tab w:val="clear" w:pos="284"/>
      </w:tabs>
      <w:ind w:left="993"/>
    </w:pPr>
    <w:rPr>
      <w:lang w:val="nl-BE"/>
    </w:rPr>
  </w:style>
  <w:style w:type="paragraph" w:customStyle="1" w:styleId="SignaturesHandtekeningen">
    <w:name w:val="Signatures/Handtekeningen"/>
    <w:basedOn w:val="Normal"/>
    <w:qFormat/>
    <w:rsid w:val="00E348BA"/>
    <w:pPr>
      <w:tabs>
        <w:tab w:val="clear" w:pos="284"/>
        <w:tab w:val="left" w:pos="3402"/>
      </w:tabs>
    </w:pPr>
    <w:rPr>
      <w:lang w:val="nl-BE"/>
    </w:r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val="en-GB" w:eastAsia="en-US"/>
    </w:rPr>
  </w:style>
  <w:style w:type="paragraph" w:customStyle="1" w:styleId="AnnexeBijlage">
    <w:name w:val="Annexe/Bijlage"/>
    <w:uiPriority w:val="1"/>
    <w:rsid w:val="003E5624"/>
    <w:pPr>
      <w:spacing w:line="260" w:lineRule="atLeast"/>
    </w:pPr>
    <w:rPr>
      <w:rFonts w:ascii="Arial" w:hAnsi="Arial"/>
      <w:b/>
      <w:noProof/>
      <w:sz w:val="24"/>
      <w:szCs w:val="16"/>
      <w:lang w:val="fr-FR" w:eastAsia="en-US"/>
    </w:rPr>
  </w:style>
  <w:style w:type="paragraph" w:styleId="ListParagraph">
    <w:name w:val="List Paragraph"/>
    <w:basedOn w:val="Normal"/>
    <w:uiPriority w:val="34"/>
    <w:qFormat/>
    <w:rsid w:val="003E5624"/>
    <w:pPr>
      <w:tabs>
        <w:tab w:val="clear" w:pos="284"/>
      </w:tabs>
      <w:spacing w:line="260" w:lineRule="atLeast"/>
      <w:ind w:left="720"/>
      <w:contextualSpacing/>
      <w:jc w:val="both"/>
    </w:pPr>
  </w:style>
  <w:style w:type="character" w:styleId="FollowedHyperlink">
    <w:name w:val="FollowedHyperlink"/>
    <w:basedOn w:val="DefaultParagraphFont"/>
    <w:rsid w:val="00B71DAA"/>
    <w:rPr>
      <w:color w:val="800080" w:themeColor="followedHyperlink"/>
      <w:u w:val="single"/>
    </w:rPr>
  </w:style>
  <w:style w:type="character" w:styleId="CommentReference">
    <w:name w:val="annotation reference"/>
    <w:basedOn w:val="DefaultParagraphFont"/>
    <w:rsid w:val="00B453A3"/>
    <w:rPr>
      <w:sz w:val="16"/>
      <w:szCs w:val="16"/>
    </w:rPr>
  </w:style>
  <w:style w:type="paragraph" w:styleId="CommentText">
    <w:name w:val="annotation text"/>
    <w:basedOn w:val="Normal"/>
    <w:link w:val="CommentTextChar"/>
    <w:rsid w:val="00B453A3"/>
    <w:pPr>
      <w:spacing w:line="240" w:lineRule="auto"/>
    </w:pPr>
  </w:style>
  <w:style w:type="character" w:customStyle="1" w:styleId="CommentTextChar">
    <w:name w:val="Comment Text Char"/>
    <w:basedOn w:val="DefaultParagraphFont"/>
    <w:link w:val="CommentText"/>
    <w:rsid w:val="00B453A3"/>
    <w:rPr>
      <w:rFonts w:ascii="Arial" w:hAnsi="Arial"/>
      <w:lang w:val="en-GB" w:eastAsia="en-US"/>
    </w:rPr>
  </w:style>
  <w:style w:type="paragraph" w:styleId="CommentSubject">
    <w:name w:val="annotation subject"/>
    <w:basedOn w:val="CommentText"/>
    <w:next w:val="CommentText"/>
    <w:link w:val="CommentSubjectChar"/>
    <w:rsid w:val="00B453A3"/>
    <w:rPr>
      <w:b/>
      <w:bCs/>
    </w:rPr>
  </w:style>
  <w:style w:type="character" w:customStyle="1" w:styleId="CommentSubjectChar">
    <w:name w:val="Comment Subject Char"/>
    <w:basedOn w:val="CommentTextChar"/>
    <w:link w:val="CommentSubject"/>
    <w:rsid w:val="00B453A3"/>
    <w:rPr>
      <w:rFonts w:ascii="Arial" w:hAnsi="Arial"/>
      <w:b/>
      <w:bCs/>
      <w:lang w:val="en-GB" w:eastAsia="en-US"/>
    </w:rPr>
  </w:style>
  <w:style w:type="character" w:styleId="PlaceholderText">
    <w:name w:val="Placeholder Text"/>
    <w:basedOn w:val="DefaultParagraphFont"/>
    <w:uiPriority w:val="99"/>
    <w:semiHidden/>
    <w:rsid w:val="003B11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FR/TXT/PDF/?uri=CELEX:32015L0849&amp;from=FR" TargetMode="External"/><Relationship Id="rId2" Type="http://schemas.openxmlformats.org/officeDocument/2006/relationships/hyperlink" Target="http://www.fatf-gafi.org/media/fatf/documents/methodology/FATF%20Methodology%2022%20Feb%202013.pdf" TargetMode="External"/><Relationship Id="rId1" Type="http://schemas.openxmlformats.org/officeDocument/2006/relationships/hyperlink" Target="http://www.fatf-gafi.org/media/fatf/documents/recommendations/pdfs/FATF_Recommendation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nbbtemplates\Others\CIRCU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746D1-4FAF-468D-8DF8-BDC4087F0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CIRCUL.dotm</Template>
  <TotalTime>0</TotalTime>
  <Pages>8</Pages>
  <Words>3741</Words>
  <Characters>21328</Characters>
  <Application>Microsoft Office Word</Application>
  <DocSecurity>4</DocSecurity>
  <Lines>177</Lines>
  <Paragraphs>50</Paragraphs>
  <ScaleCrop>false</ScaleCrop>
  <HeadingPairs>
    <vt:vector size="2" baseType="variant">
      <vt:variant>
        <vt:lpstr>Title</vt:lpstr>
      </vt:variant>
      <vt:variant>
        <vt:i4>1</vt:i4>
      </vt:variant>
    </vt:vector>
  </HeadingPairs>
  <TitlesOfParts>
    <vt:vector size="1" baseType="lpstr">
      <vt:lpstr>Template BNB Cartouches</vt:lpstr>
    </vt:vector>
  </TitlesOfParts>
  <Company>National Bank of Belgium</Company>
  <LinksUpToDate>false</LinksUpToDate>
  <CharactersWithSpaces>25019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BNB Cartouches</dc:title>
  <dc:creator>Dufrane Maïté</dc:creator>
  <cp:lastModifiedBy>Arys Viviane</cp:lastModifiedBy>
  <cp:revision>2</cp:revision>
  <cp:lastPrinted>2016-10-26T09:24:00Z</cp:lastPrinted>
  <dcterms:created xsi:type="dcterms:W3CDTF">2016-11-08T08:45:00Z</dcterms:created>
  <dcterms:modified xsi:type="dcterms:W3CDTF">2016-11-08T08:45:00Z</dcterms:modified>
</cp:coreProperties>
</file>