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CE7E73" w:rsidRPr="00753252" w:rsidTr="007B7965">
        <w:trPr>
          <w:cantSplit/>
          <w:trHeight w:hRule="exact" w:val="1077"/>
        </w:trPr>
        <w:tc>
          <w:tcPr>
            <w:tcW w:w="6067" w:type="dxa"/>
            <w:vAlign w:val="center"/>
          </w:tcPr>
          <w:p w:rsidR="00ED499C" w:rsidRPr="00753252" w:rsidRDefault="00ED499C" w:rsidP="00ED499C">
            <w:pPr>
              <w:pStyle w:val="AdresseAdres"/>
              <w:rPr>
                <w:noProof w:val="0"/>
              </w:rPr>
            </w:pPr>
            <w:bookmarkStart w:id="0" w:name="_GoBack"/>
            <w:bookmarkEnd w:id="0"/>
            <w:r w:rsidRPr="00753252">
              <w:rPr>
                <w:noProof w:val="0"/>
              </w:rPr>
              <w:t>boulevard de Berlaimont 14 – BE-1000 Bruxelles</w:t>
            </w:r>
          </w:p>
          <w:p w:rsidR="00ED499C" w:rsidRPr="00753252" w:rsidRDefault="00ED499C" w:rsidP="00ED499C">
            <w:pPr>
              <w:pStyle w:val="AdresseAdres"/>
              <w:rPr>
                <w:noProof w:val="0"/>
              </w:rPr>
            </w:pPr>
            <w:r w:rsidRPr="00753252">
              <w:rPr>
                <w:noProof w:val="0"/>
              </w:rPr>
              <w:t>tél. + 32 2 221 38 12 – fax + 32 2 221 31 04</w:t>
            </w:r>
          </w:p>
          <w:p w:rsidR="00ED499C" w:rsidRPr="00753252" w:rsidRDefault="00ED499C" w:rsidP="00ED499C">
            <w:pPr>
              <w:pStyle w:val="AdresseAdres"/>
              <w:rPr>
                <w:noProof w:val="0"/>
              </w:rPr>
            </w:pPr>
            <w:r w:rsidRPr="00753252">
              <w:rPr>
                <w:noProof w:val="0"/>
              </w:rPr>
              <w:t>numéro d’entreprise: 0203.201.340</w:t>
            </w:r>
          </w:p>
          <w:p w:rsidR="00ED499C" w:rsidRPr="00753252" w:rsidRDefault="00ED499C" w:rsidP="00ED499C">
            <w:pPr>
              <w:pStyle w:val="AdresseAdres"/>
              <w:rPr>
                <w:noProof w:val="0"/>
              </w:rPr>
            </w:pPr>
            <w:r w:rsidRPr="00753252">
              <w:rPr>
                <w:noProof w:val="0"/>
              </w:rPr>
              <w:t>RPM Bruxelles</w:t>
            </w:r>
          </w:p>
          <w:p w:rsidR="00CE7E73" w:rsidRPr="00753252" w:rsidRDefault="00ED499C" w:rsidP="00ED499C">
            <w:pPr>
              <w:pStyle w:val="AdresseAdres"/>
              <w:rPr>
                <w:noProof w:val="0"/>
              </w:rPr>
            </w:pPr>
            <w:r w:rsidRPr="00753252">
              <w:rPr>
                <w:noProof w:val="0"/>
              </w:rPr>
              <w:t>www.bnb.be</w:t>
            </w:r>
          </w:p>
        </w:tc>
        <w:tc>
          <w:tcPr>
            <w:tcW w:w="3856" w:type="dxa"/>
            <w:gridSpan w:val="2"/>
            <w:shd w:val="clear" w:color="auto" w:fill="auto"/>
            <w:vAlign w:val="center"/>
          </w:tcPr>
          <w:p w:rsidR="00CE7E73" w:rsidRPr="00753252" w:rsidRDefault="00CE7E73" w:rsidP="00682F2F">
            <w:pPr>
              <w:spacing w:line="260" w:lineRule="atLeast"/>
              <w:rPr>
                <w:sz w:val="16"/>
                <w:szCs w:val="16"/>
                <w:lang w:val="fr-FR"/>
              </w:rPr>
            </w:pPr>
            <w:r w:rsidRPr="00753252">
              <w:rPr>
                <w:noProof/>
                <w:sz w:val="16"/>
                <w:szCs w:val="16"/>
                <w:lang w:val="en-US"/>
              </w:rPr>
              <w:drawing>
                <wp:inline distT="0" distB="0" distL="0" distR="0" wp14:anchorId="6DFDE712" wp14:editId="409692BA">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CE7E73" w:rsidRPr="0004473F" w:rsidTr="00682F2F">
        <w:trPr>
          <w:cantSplit/>
          <w:trHeight w:hRule="exact" w:val="850"/>
        </w:trPr>
        <w:tc>
          <w:tcPr>
            <w:tcW w:w="6067" w:type="dxa"/>
            <w:shd w:val="clear" w:color="auto" w:fill="auto"/>
          </w:tcPr>
          <w:p w:rsidR="00CE7E73" w:rsidRPr="00753252" w:rsidRDefault="00CE7E73" w:rsidP="00682F2F">
            <w:pPr>
              <w:pStyle w:val="AdresseAdres"/>
              <w:tabs>
                <w:tab w:val="center" w:pos="4678"/>
                <w:tab w:val="right" w:pos="9356"/>
              </w:tabs>
              <w:spacing w:line="260" w:lineRule="atLeast"/>
              <w:rPr>
                <w:noProof w:val="0"/>
                <w:sz w:val="16"/>
              </w:rPr>
            </w:pPr>
          </w:p>
        </w:tc>
        <w:tc>
          <w:tcPr>
            <w:tcW w:w="3856" w:type="dxa"/>
            <w:gridSpan w:val="2"/>
            <w:shd w:val="clear" w:color="auto" w:fill="auto"/>
            <w:vAlign w:val="bottom"/>
          </w:tcPr>
          <w:p w:rsidR="00CE7E73" w:rsidRPr="0004473F" w:rsidRDefault="00CE7E73" w:rsidP="007B7965">
            <w:pPr>
              <w:pStyle w:val="TitreTitel"/>
              <w:keepLines/>
              <w:tabs>
                <w:tab w:val="left" w:pos="284"/>
                <w:tab w:val="right" w:leader="dot" w:pos="9639"/>
              </w:tabs>
              <w:spacing w:after="170"/>
              <w:ind w:left="397" w:right="567" w:hanging="397"/>
              <w:rPr>
                <w:noProof w:val="0"/>
              </w:rPr>
            </w:pPr>
            <w:r w:rsidRPr="0004473F">
              <w:rPr>
                <w:noProof w:val="0"/>
              </w:rPr>
              <w:t>Circulaire</w:t>
            </w:r>
          </w:p>
        </w:tc>
      </w:tr>
      <w:tr w:rsidR="00CE7E73" w:rsidRPr="0004473F" w:rsidTr="007B7965">
        <w:trPr>
          <w:cantSplit/>
          <w:trHeight w:hRule="exact" w:val="794"/>
        </w:trPr>
        <w:tc>
          <w:tcPr>
            <w:tcW w:w="6067" w:type="dxa"/>
            <w:vMerge w:val="restart"/>
            <w:shd w:val="clear" w:color="auto" w:fill="auto"/>
          </w:tcPr>
          <w:p w:rsidR="00CE7E73" w:rsidRPr="0004473F" w:rsidRDefault="00CE7E73" w:rsidP="00C67902">
            <w:pPr>
              <w:pStyle w:val="AdresseAdres"/>
              <w:rPr>
                <w:noProof w:val="0"/>
              </w:rPr>
            </w:pPr>
          </w:p>
        </w:tc>
        <w:tc>
          <w:tcPr>
            <w:tcW w:w="3856" w:type="dxa"/>
            <w:gridSpan w:val="2"/>
          </w:tcPr>
          <w:p w:rsidR="00CE7E73" w:rsidRPr="0004473F" w:rsidRDefault="00CE7E73" w:rsidP="0004473F">
            <w:pPr>
              <w:spacing w:line="260" w:lineRule="atLeast"/>
              <w:rPr>
                <w:lang w:val="fr-FR"/>
              </w:rPr>
            </w:pPr>
            <w:r w:rsidRPr="0004473F">
              <w:rPr>
                <w:lang w:val="fr-FR"/>
              </w:rPr>
              <w:t>Bru</w:t>
            </w:r>
            <w:r w:rsidR="00ED499C" w:rsidRPr="0004473F">
              <w:rPr>
                <w:lang w:val="fr-FR"/>
              </w:rPr>
              <w:t>xelles</w:t>
            </w:r>
            <w:r w:rsidRPr="0004473F">
              <w:rPr>
                <w:lang w:val="fr-FR"/>
              </w:rPr>
              <w:t>,</w:t>
            </w:r>
            <w:r w:rsidR="00ED499C" w:rsidRPr="0004473F">
              <w:rPr>
                <w:lang w:val="fr-FR"/>
              </w:rPr>
              <w:t xml:space="preserve"> le</w:t>
            </w:r>
            <w:r w:rsidRPr="0004473F">
              <w:rPr>
                <w:lang w:val="fr-FR"/>
              </w:rPr>
              <w:t xml:space="preserve"> </w:t>
            </w:r>
            <w:r w:rsidR="0004473F" w:rsidRPr="0004473F">
              <w:rPr>
                <w:lang w:val="fr-FR"/>
              </w:rPr>
              <w:t>26 octobre</w:t>
            </w:r>
            <w:r w:rsidRPr="0004473F">
              <w:rPr>
                <w:lang w:val="fr-FR"/>
              </w:rPr>
              <w:t xml:space="preserve"> </w:t>
            </w:r>
            <w:r w:rsidR="006B1F5D" w:rsidRPr="0004473F">
              <w:rPr>
                <w:lang w:val="fr-FR"/>
              </w:rPr>
              <w:t>201</w:t>
            </w:r>
            <w:r w:rsidR="008649A2" w:rsidRPr="0004473F">
              <w:rPr>
                <w:lang w:val="fr-FR"/>
              </w:rPr>
              <w:t>6</w:t>
            </w:r>
          </w:p>
        </w:tc>
      </w:tr>
      <w:tr w:rsidR="00CE7E73" w:rsidRPr="0004473F" w:rsidTr="00682F2F">
        <w:trPr>
          <w:cantSplit/>
          <w:trHeight w:hRule="exact" w:val="198"/>
        </w:trPr>
        <w:tc>
          <w:tcPr>
            <w:tcW w:w="6067" w:type="dxa"/>
            <w:vMerge/>
          </w:tcPr>
          <w:p w:rsidR="00CE7E73" w:rsidRPr="0004473F" w:rsidRDefault="00CE7E73" w:rsidP="00682F2F">
            <w:pPr>
              <w:spacing w:line="260" w:lineRule="atLeast"/>
              <w:rPr>
                <w:lang w:val="fr-FR"/>
              </w:rPr>
            </w:pPr>
          </w:p>
        </w:tc>
        <w:tc>
          <w:tcPr>
            <w:tcW w:w="1644" w:type="dxa"/>
            <w:vAlign w:val="center"/>
          </w:tcPr>
          <w:p w:rsidR="00CE7E73" w:rsidRPr="0004473F" w:rsidRDefault="00CE7E73" w:rsidP="00682F2F">
            <w:pPr>
              <w:pStyle w:val="BoiteVakje"/>
              <w:rPr>
                <w:lang w:val="fr-FR"/>
              </w:rPr>
            </w:pPr>
          </w:p>
        </w:tc>
        <w:tc>
          <w:tcPr>
            <w:tcW w:w="2212" w:type="dxa"/>
            <w:vAlign w:val="center"/>
          </w:tcPr>
          <w:p w:rsidR="00CE7E73" w:rsidRPr="0004473F" w:rsidRDefault="00CE7E73" w:rsidP="00682F2F">
            <w:pPr>
              <w:pStyle w:val="BoiteVakje"/>
              <w:rPr>
                <w:sz w:val="16"/>
                <w:szCs w:val="16"/>
                <w:lang w:val="fr-FR"/>
              </w:rPr>
            </w:pPr>
          </w:p>
        </w:tc>
      </w:tr>
      <w:tr w:rsidR="00CE7E73" w:rsidRPr="0004473F" w:rsidTr="00682F2F">
        <w:trPr>
          <w:cantSplit/>
          <w:trHeight w:hRule="exact" w:val="198"/>
        </w:trPr>
        <w:tc>
          <w:tcPr>
            <w:tcW w:w="6067" w:type="dxa"/>
            <w:vMerge/>
          </w:tcPr>
          <w:p w:rsidR="00CE7E73" w:rsidRPr="0004473F" w:rsidRDefault="00CE7E73" w:rsidP="00682F2F">
            <w:pPr>
              <w:tabs>
                <w:tab w:val="left" w:pos="1276"/>
                <w:tab w:val="left" w:pos="2268"/>
              </w:tabs>
              <w:spacing w:line="260" w:lineRule="atLeast"/>
              <w:rPr>
                <w:lang w:val="fr-FR"/>
              </w:rPr>
            </w:pPr>
          </w:p>
        </w:tc>
        <w:tc>
          <w:tcPr>
            <w:tcW w:w="1644" w:type="dxa"/>
            <w:vAlign w:val="center"/>
          </w:tcPr>
          <w:p w:rsidR="00CE7E73" w:rsidRPr="0004473F" w:rsidRDefault="00ED499C" w:rsidP="00682F2F">
            <w:pPr>
              <w:pStyle w:val="BoiteVakje"/>
              <w:rPr>
                <w:lang w:val="fr-FR"/>
              </w:rPr>
            </w:pPr>
            <w:r w:rsidRPr="0004473F">
              <w:rPr>
                <w:lang w:val="fr-FR"/>
              </w:rPr>
              <w:t>Référence</w:t>
            </w:r>
            <w:r w:rsidR="00CE7E73" w:rsidRPr="0004473F">
              <w:rPr>
                <w:lang w:val="fr-FR"/>
              </w:rPr>
              <w:t xml:space="preserve">: </w:t>
            </w:r>
            <w:r w:rsidR="00CE7E73" w:rsidRPr="0004473F">
              <w:rPr>
                <w:vanish/>
                <w:color w:val="FF0000"/>
                <w:lang w:val="fr-FR"/>
              </w:rPr>
              <w:t>---------------&gt;</w:t>
            </w:r>
          </w:p>
        </w:tc>
        <w:tc>
          <w:tcPr>
            <w:tcW w:w="2212" w:type="dxa"/>
            <w:vAlign w:val="center"/>
          </w:tcPr>
          <w:p w:rsidR="00CE7E73" w:rsidRPr="0004473F" w:rsidRDefault="00CE7E73" w:rsidP="0004473F">
            <w:pPr>
              <w:pStyle w:val="BoitetexteVakjetekst"/>
              <w:rPr>
                <w:lang w:val="fr-FR"/>
              </w:rPr>
            </w:pPr>
            <w:r w:rsidRPr="0004473F">
              <w:rPr>
                <w:lang w:val="fr-FR"/>
              </w:rPr>
              <w:t>NBB_</w:t>
            </w:r>
            <w:r w:rsidR="006B1F5D" w:rsidRPr="0004473F">
              <w:rPr>
                <w:lang w:val="fr-FR"/>
              </w:rPr>
              <w:t>201</w:t>
            </w:r>
            <w:r w:rsidR="008649A2" w:rsidRPr="0004473F">
              <w:rPr>
                <w:lang w:val="fr-FR"/>
              </w:rPr>
              <w:t>6</w:t>
            </w:r>
            <w:r w:rsidRPr="0004473F">
              <w:rPr>
                <w:lang w:val="fr-FR"/>
              </w:rPr>
              <w:t>_</w:t>
            </w:r>
            <w:r w:rsidR="0004473F" w:rsidRPr="0004473F">
              <w:rPr>
                <w:lang w:val="fr-FR"/>
              </w:rPr>
              <w:t>42</w:t>
            </w:r>
          </w:p>
        </w:tc>
      </w:tr>
      <w:tr w:rsidR="00CE7E73" w:rsidRPr="0004473F" w:rsidTr="00682F2F">
        <w:trPr>
          <w:cantSplit/>
          <w:trHeight w:hRule="exact" w:val="198"/>
        </w:trPr>
        <w:tc>
          <w:tcPr>
            <w:tcW w:w="6067" w:type="dxa"/>
            <w:vMerge/>
          </w:tcPr>
          <w:p w:rsidR="00CE7E73" w:rsidRPr="0004473F" w:rsidRDefault="00CE7E73" w:rsidP="00682F2F">
            <w:pPr>
              <w:spacing w:line="260" w:lineRule="atLeast"/>
              <w:rPr>
                <w:lang w:val="fr-FR"/>
              </w:rPr>
            </w:pPr>
          </w:p>
        </w:tc>
        <w:tc>
          <w:tcPr>
            <w:tcW w:w="3856" w:type="dxa"/>
            <w:gridSpan w:val="2"/>
            <w:vAlign w:val="center"/>
          </w:tcPr>
          <w:p w:rsidR="00CE7E73" w:rsidRPr="0004473F" w:rsidRDefault="00CE7E73" w:rsidP="00682F2F">
            <w:pPr>
              <w:pStyle w:val="BoiteVakje"/>
              <w:rPr>
                <w:sz w:val="16"/>
                <w:szCs w:val="16"/>
                <w:lang w:val="fr-FR"/>
              </w:rPr>
            </w:pPr>
          </w:p>
        </w:tc>
      </w:tr>
      <w:tr w:rsidR="00CE7E73" w:rsidRPr="0004473F" w:rsidTr="00C67902">
        <w:trPr>
          <w:cantSplit/>
          <w:trHeight w:hRule="exact" w:val="198"/>
        </w:trPr>
        <w:tc>
          <w:tcPr>
            <w:tcW w:w="6067" w:type="dxa"/>
            <w:vMerge w:val="restart"/>
          </w:tcPr>
          <w:p w:rsidR="00CE7E73" w:rsidRPr="0004473F" w:rsidRDefault="00CE7E73" w:rsidP="00C67902">
            <w:pPr>
              <w:pStyle w:val="AdresseAdres"/>
              <w:rPr>
                <w:noProof w:val="0"/>
              </w:rPr>
            </w:pPr>
          </w:p>
        </w:tc>
        <w:tc>
          <w:tcPr>
            <w:tcW w:w="3856" w:type="dxa"/>
            <w:gridSpan w:val="2"/>
            <w:vAlign w:val="center"/>
          </w:tcPr>
          <w:p w:rsidR="00CE7E73" w:rsidRPr="0004473F" w:rsidRDefault="00ED499C" w:rsidP="00ED499C">
            <w:pPr>
              <w:pStyle w:val="BoiteVakje"/>
              <w:rPr>
                <w:lang w:val="fr-FR"/>
              </w:rPr>
            </w:pPr>
            <w:r w:rsidRPr="0004473F">
              <w:rPr>
                <w:lang w:val="fr-FR"/>
              </w:rPr>
              <w:t>votre</w:t>
            </w:r>
            <w:r w:rsidR="00CE7E73" w:rsidRPr="0004473F">
              <w:rPr>
                <w:lang w:val="fr-FR"/>
              </w:rPr>
              <w:t xml:space="preserve"> correspond</w:t>
            </w:r>
            <w:r w:rsidRPr="0004473F">
              <w:rPr>
                <w:lang w:val="fr-FR"/>
              </w:rPr>
              <w:t>a</w:t>
            </w:r>
            <w:r w:rsidR="00CE7E73" w:rsidRPr="0004473F">
              <w:rPr>
                <w:lang w:val="fr-FR"/>
              </w:rPr>
              <w:t xml:space="preserve">nt: </w:t>
            </w:r>
            <w:r w:rsidR="00CE7E73" w:rsidRPr="0004473F">
              <w:rPr>
                <w:rFonts w:cs="Arial"/>
                <w:vanish/>
                <w:color w:val="FF0000"/>
                <w:lang w:val="fr-FR"/>
              </w:rPr>
              <w:t>plaats de naam hieronder</w:t>
            </w:r>
          </w:p>
        </w:tc>
      </w:tr>
      <w:tr w:rsidR="00CE7E73" w:rsidRPr="0004473F" w:rsidTr="00682F2F">
        <w:trPr>
          <w:cantSplit/>
          <w:trHeight w:val="198"/>
        </w:trPr>
        <w:tc>
          <w:tcPr>
            <w:tcW w:w="6067" w:type="dxa"/>
            <w:vMerge/>
          </w:tcPr>
          <w:p w:rsidR="00CE7E73" w:rsidRPr="0004473F" w:rsidRDefault="00CE7E73" w:rsidP="00682F2F">
            <w:pPr>
              <w:spacing w:line="260" w:lineRule="atLeast"/>
              <w:rPr>
                <w:lang w:val="fr-FR"/>
              </w:rPr>
            </w:pPr>
          </w:p>
        </w:tc>
        <w:tc>
          <w:tcPr>
            <w:tcW w:w="3856" w:type="dxa"/>
            <w:gridSpan w:val="2"/>
            <w:vAlign w:val="center"/>
          </w:tcPr>
          <w:p w:rsidR="00CE7E73" w:rsidRPr="0004473F" w:rsidRDefault="00CE7E73" w:rsidP="00682F2F">
            <w:pPr>
              <w:pStyle w:val="BoiteVakje"/>
              <w:rPr>
                <w:lang w:val="fr-FR"/>
              </w:rPr>
            </w:pPr>
            <w:r w:rsidRPr="0004473F">
              <w:rPr>
                <w:lang w:val="fr-FR"/>
              </w:rPr>
              <w:t>Benoît Bienfait</w:t>
            </w:r>
          </w:p>
        </w:tc>
      </w:tr>
      <w:tr w:rsidR="00CE7E73" w:rsidRPr="0004473F" w:rsidTr="00682F2F">
        <w:trPr>
          <w:cantSplit/>
          <w:trHeight w:val="198"/>
        </w:trPr>
        <w:tc>
          <w:tcPr>
            <w:tcW w:w="6067" w:type="dxa"/>
            <w:vMerge/>
          </w:tcPr>
          <w:p w:rsidR="00CE7E73" w:rsidRPr="0004473F" w:rsidRDefault="00CE7E73" w:rsidP="00682F2F">
            <w:pPr>
              <w:spacing w:line="260" w:lineRule="atLeast"/>
              <w:rPr>
                <w:lang w:val="fr-FR"/>
              </w:rPr>
            </w:pPr>
          </w:p>
        </w:tc>
        <w:tc>
          <w:tcPr>
            <w:tcW w:w="3856" w:type="dxa"/>
            <w:gridSpan w:val="2"/>
            <w:vAlign w:val="center"/>
          </w:tcPr>
          <w:p w:rsidR="00CE7E73" w:rsidRPr="0004473F" w:rsidRDefault="00CE7E73" w:rsidP="00ED499C">
            <w:pPr>
              <w:pStyle w:val="BoiteVakje"/>
              <w:rPr>
                <w:lang w:val="fr-FR"/>
              </w:rPr>
            </w:pPr>
            <w:r w:rsidRPr="0004473F">
              <w:rPr>
                <w:lang w:val="fr-FR"/>
              </w:rPr>
              <w:t>t</w:t>
            </w:r>
            <w:r w:rsidR="00ED499C" w:rsidRPr="0004473F">
              <w:rPr>
                <w:lang w:val="fr-FR"/>
              </w:rPr>
              <w:t>é</w:t>
            </w:r>
            <w:r w:rsidRPr="0004473F">
              <w:rPr>
                <w:lang w:val="fr-FR"/>
              </w:rPr>
              <w:t>l. +32 2 221 36 42 – fax +32 2 221 31 04</w:t>
            </w:r>
          </w:p>
        </w:tc>
      </w:tr>
      <w:tr w:rsidR="00CE7E73" w:rsidRPr="0004473F" w:rsidTr="00682F2F">
        <w:trPr>
          <w:cantSplit/>
          <w:trHeight w:val="198"/>
        </w:trPr>
        <w:tc>
          <w:tcPr>
            <w:tcW w:w="6067" w:type="dxa"/>
            <w:vMerge/>
          </w:tcPr>
          <w:p w:rsidR="00CE7E73" w:rsidRPr="0004473F" w:rsidRDefault="00CE7E73" w:rsidP="00682F2F">
            <w:pPr>
              <w:pStyle w:val="SujetOnderwerp"/>
              <w:rPr>
                <w:b w:val="0"/>
                <w:noProof w:val="0"/>
                <w:sz w:val="16"/>
              </w:rPr>
            </w:pPr>
          </w:p>
        </w:tc>
        <w:tc>
          <w:tcPr>
            <w:tcW w:w="3856" w:type="dxa"/>
            <w:gridSpan w:val="2"/>
            <w:vAlign w:val="center"/>
          </w:tcPr>
          <w:p w:rsidR="00CE7E73" w:rsidRPr="0004473F" w:rsidRDefault="00ED499C" w:rsidP="00682F2F">
            <w:pPr>
              <w:pStyle w:val="BoiteVakje"/>
              <w:rPr>
                <w:b/>
                <w:lang w:val="fr-FR"/>
              </w:rPr>
            </w:pPr>
            <w:r w:rsidRPr="0004473F">
              <w:rPr>
                <w:lang w:val="fr-FR"/>
              </w:rPr>
              <w:t>benoit.bienfait@nbb.be</w:t>
            </w:r>
          </w:p>
        </w:tc>
      </w:tr>
      <w:tr w:rsidR="00CE7E73" w:rsidRPr="0004473F" w:rsidTr="004E6FD5">
        <w:trPr>
          <w:cantSplit/>
          <w:trHeight w:hRule="exact" w:val="1191"/>
        </w:trPr>
        <w:tc>
          <w:tcPr>
            <w:tcW w:w="9923" w:type="dxa"/>
            <w:gridSpan w:val="3"/>
            <w:tcMar>
              <w:top w:w="113" w:type="dxa"/>
            </w:tcMar>
            <w:vAlign w:val="bottom"/>
          </w:tcPr>
          <w:p w:rsidR="00CE7E73" w:rsidRPr="0004473F" w:rsidRDefault="00ED499C" w:rsidP="0004473F">
            <w:pPr>
              <w:pStyle w:val="SujetOnderwerp"/>
              <w:jc w:val="both"/>
              <w:rPr>
                <w:noProof w:val="0"/>
              </w:rPr>
            </w:pPr>
            <w:r w:rsidRPr="0004473F">
              <w:rPr>
                <w:noProof w:val="0"/>
              </w:rPr>
              <w:t xml:space="preserve">Questionnaire périodique relatif à la </w:t>
            </w:r>
            <w:r w:rsidR="00230453" w:rsidRPr="0004473F">
              <w:rPr>
                <w:noProof w:val="0"/>
              </w:rPr>
              <w:t>prévention du</w:t>
            </w:r>
            <w:r w:rsidRPr="0004473F">
              <w:rPr>
                <w:noProof w:val="0"/>
              </w:rPr>
              <w:t xml:space="preserve"> blanchiment de capitaux et </w:t>
            </w:r>
            <w:r w:rsidR="00230453" w:rsidRPr="0004473F">
              <w:rPr>
                <w:noProof w:val="0"/>
              </w:rPr>
              <w:t>du</w:t>
            </w:r>
            <w:r w:rsidRPr="0004473F">
              <w:rPr>
                <w:noProof w:val="0"/>
              </w:rPr>
              <w:t xml:space="preserve"> financement du terrorisme</w:t>
            </w:r>
          </w:p>
        </w:tc>
      </w:tr>
      <w:tr w:rsidR="00CE7E73" w:rsidRPr="0004473F" w:rsidTr="00CE7E73">
        <w:trPr>
          <w:cantSplit/>
          <w:trHeight w:hRule="exact" w:val="397"/>
        </w:trPr>
        <w:tc>
          <w:tcPr>
            <w:tcW w:w="9923" w:type="dxa"/>
            <w:gridSpan w:val="3"/>
            <w:vAlign w:val="center"/>
          </w:tcPr>
          <w:p w:rsidR="00CE7E73" w:rsidRPr="0004473F" w:rsidRDefault="00CE7E73" w:rsidP="0004473F">
            <w:pPr>
              <w:spacing w:line="260" w:lineRule="atLeast"/>
              <w:jc w:val="both"/>
              <w:rPr>
                <w:lang w:val="fr-FR"/>
              </w:rPr>
            </w:pPr>
          </w:p>
        </w:tc>
      </w:tr>
    </w:tbl>
    <w:p w:rsidR="00CE7E73" w:rsidRPr="0004473F" w:rsidRDefault="00CE7E73" w:rsidP="0004473F">
      <w:pPr>
        <w:jc w:val="both"/>
        <w:rPr>
          <w:lang w:val="fr-FR"/>
        </w:rPr>
      </w:pPr>
    </w:p>
    <w:p w:rsidR="00CE7E73" w:rsidRPr="0004473F" w:rsidRDefault="00ED499C" w:rsidP="0004473F">
      <w:pPr>
        <w:pStyle w:val="Sous-titreOndertitel"/>
        <w:jc w:val="both"/>
        <w:rPr>
          <w:lang w:val="fr-FR"/>
        </w:rPr>
      </w:pPr>
      <w:r w:rsidRPr="0004473F">
        <w:rPr>
          <w:lang w:val="fr-FR"/>
        </w:rPr>
        <w:t>Champ d’application</w:t>
      </w:r>
    </w:p>
    <w:p w:rsidR="00CE7E73" w:rsidRPr="0004473F" w:rsidRDefault="00CE7E73" w:rsidP="0004473F">
      <w:pPr>
        <w:jc w:val="both"/>
        <w:rPr>
          <w:i/>
          <w:sz w:val="22"/>
          <w:lang w:val="fr-FR"/>
        </w:rPr>
      </w:pPr>
      <w:r w:rsidRPr="0004473F">
        <w:rPr>
          <w:i/>
          <w:sz w:val="22"/>
          <w:lang w:val="fr-FR"/>
        </w:rPr>
        <w:t>-</w:t>
      </w:r>
      <w:r w:rsidRPr="0004473F">
        <w:rPr>
          <w:i/>
          <w:sz w:val="22"/>
          <w:lang w:val="fr-FR"/>
        </w:rPr>
        <w:tab/>
      </w:r>
      <w:r w:rsidR="00ED499C" w:rsidRPr="0004473F">
        <w:rPr>
          <w:i/>
          <w:sz w:val="22"/>
          <w:lang w:val="fr-FR"/>
        </w:rPr>
        <w:t>tous les établissements de crédit, y compris les succursales UE et non UE;</w:t>
      </w:r>
    </w:p>
    <w:p w:rsidR="00CE7E73" w:rsidRPr="0004473F" w:rsidRDefault="00CE7E73" w:rsidP="0004473F">
      <w:pPr>
        <w:jc w:val="both"/>
        <w:rPr>
          <w:i/>
          <w:sz w:val="22"/>
          <w:lang w:val="fr-FR"/>
        </w:rPr>
      </w:pPr>
      <w:r w:rsidRPr="0004473F">
        <w:rPr>
          <w:i/>
          <w:sz w:val="22"/>
          <w:lang w:val="fr-FR"/>
        </w:rPr>
        <w:t>-</w:t>
      </w:r>
      <w:r w:rsidRPr="0004473F">
        <w:rPr>
          <w:i/>
          <w:sz w:val="22"/>
          <w:lang w:val="fr-FR"/>
        </w:rPr>
        <w:tab/>
      </w:r>
      <w:r w:rsidR="00ED499C" w:rsidRPr="0004473F">
        <w:rPr>
          <w:i/>
          <w:sz w:val="22"/>
          <w:lang w:val="fr-FR"/>
        </w:rPr>
        <w:t>toutes les sociétés de bourse, y compris les succursales UE et non UE;</w:t>
      </w:r>
    </w:p>
    <w:p w:rsidR="00CE7E73" w:rsidRPr="0004473F" w:rsidRDefault="00CE7E73" w:rsidP="0004473F">
      <w:pPr>
        <w:ind w:left="284" w:hanging="284"/>
        <w:jc w:val="both"/>
        <w:rPr>
          <w:i/>
          <w:sz w:val="22"/>
          <w:lang w:val="fr-FR"/>
        </w:rPr>
      </w:pPr>
      <w:r w:rsidRPr="0004473F">
        <w:rPr>
          <w:i/>
          <w:sz w:val="22"/>
          <w:lang w:val="fr-FR"/>
        </w:rPr>
        <w:t>-</w:t>
      </w:r>
      <w:r w:rsidRPr="0004473F">
        <w:rPr>
          <w:i/>
          <w:sz w:val="22"/>
          <w:lang w:val="fr-FR"/>
        </w:rPr>
        <w:tab/>
      </w:r>
      <w:r w:rsidR="00692BF4" w:rsidRPr="0004473F">
        <w:rPr>
          <w:i/>
          <w:sz w:val="22"/>
          <w:lang w:val="fr-FR"/>
        </w:rPr>
        <w:t xml:space="preserve">toutes les compagnies d'assurance </w:t>
      </w:r>
      <w:r w:rsidR="0064767C" w:rsidRPr="0004473F">
        <w:rPr>
          <w:i/>
          <w:sz w:val="22"/>
          <w:lang w:val="fr-FR"/>
        </w:rPr>
        <w:t xml:space="preserve">qui disposent </w:t>
      </w:r>
      <w:r w:rsidR="00041D21" w:rsidRPr="0004473F">
        <w:rPr>
          <w:i/>
          <w:sz w:val="22"/>
          <w:lang w:val="fr-FR"/>
        </w:rPr>
        <w:t xml:space="preserve">de </w:t>
      </w:r>
      <w:r w:rsidR="0064767C" w:rsidRPr="0004473F">
        <w:rPr>
          <w:i/>
          <w:sz w:val="22"/>
          <w:lang w:val="fr-FR"/>
        </w:rPr>
        <w:t xml:space="preserve">l’agrément </w:t>
      </w:r>
      <w:r w:rsidR="00041D21" w:rsidRPr="0004473F">
        <w:rPr>
          <w:i/>
          <w:sz w:val="22"/>
          <w:lang w:val="fr-FR"/>
        </w:rPr>
        <w:t xml:space="preserve">pour </w:t>
      </w:r>
      <w:r w:rsidR="0064767C" w:rsidRPr="0004473F">
        <w:rPr>
          <w:i/>
          <w:sz w:val="22"/>
          <w:lang w:val="fr-FR"/>
        </w:rPr>
        <w:t>exercer</w:t>
      </w:r>
      <w:r w:rsidR="00692BF4" w:rsidRPr="0004473F">
        <w:rPr>
          <w:i/>
          <w:sz w:val="22"/>
          <w:lang w:val="fr-FR"/>
        </w:rPr>
        <w:t xml:space="preserve"> les activités d'assurance-vie, y compris les succursales UE et non UE;</w:t>
      </w:r>
    </w:p>
    <w:p w:rsidR="00421255" w:rsidRPr="0004473F" w:rsidRDefault="00CE7E73" w:rsidP="0004473F">
      <w:pPr>
        <w:pStyle w:val="IntroductionInleiding"/>
        <w:spacing w:after="0"/>
        <w:ind w:left="284" w:hanging="284"/>
        <w:jc w:val="both"/>
        <w:rPr>
          <w:lang w:val="fr-FR"/>
        </w:rPr>
      </w:pPr>
      <w:r w:rsidRPr="0004473F">
        <w:rPr>
          <w:lang w:val="fr-FR"/>
        </w:rPr>
        <w:t>-</w:t>
      </w:r>
      <w:r w:rsidRPr="0004473F">
        <w:rPr>
          <w:lang w:val="fr-FR"/>
        </w:rPr>
        <w:tab/>
      </w:r>
      <w:r w:rsidR="0043105D" w:rsidRPr="0004473F">
        <w:rPr>
          <w:lang w:val="fr-FR"/>
        </w:rPr>
        <w:t>tous les établissements de paiement et les établissements de monnaie électronique, y compris les succursales UE et non UE, à l’exception toutefois des établissements qui bénéficient, en application des articles </w:t>
      </w:r>
      <w:r w:rsidR="00421255" w:rsidRPr="0004473F">
        <w:rPr>
          <w:lang w:val="fr-FR"/>
        </w:rPr>
        <w:t xml:space="preserve">48 </w:t>
      </w:r>
      <w:r w:rsidR="00467DE5" w:rsidRPr="0004473F">
        <w:rPr>
          <w:lang w:val="fr-FR"/>
        </w:rPr>
        <w:t>ou</w:t>
      </w:r>
      <w:r w:rsidR="0043105D" w:rsidRPr="0004473F">
        <w:rPr>
          <w:lang w:val="fr-FR"/>
        </w:rPr>
        <w:t> </w:t>
      </w:r>
      <w:r w:rsidR="00421255" w:rsidRPr="0004473F">
        <w:rPr>
          <w:lang w:val="fr-FR"/>
        </w:rPr>
        <w:t xml:space="preserve">105 </w:t>
      </w:r>
      <w:r w:rsidR="0043105D" w:rsidRPr="0004473F">
        <w:rPr>
          <w:lang w:val="fr-FR"/>
        </w:rPr>
        <w:t>de la loi du 21 </w:t>
      </w:r>
      <w:r w:rsidR="00421255" w:rsidRPr="0004473F">
        <w:rPr>
          <w:lang w:val="fr-FR"/>
        </w:rPr>
        <w:t>d</w:t>
      </w:r>
      <w:r w:rsidR="0043105D" w:rsidRPr="0004473F">
        <w:rPr>
          <w:lang w:val="fr-FR"/>
        </w:rPr>
        <w:t>é</w:t>
      </w:r>
      <w:r w:rsidR="00421255" w:rsidRPr="0004473F">
        <w:rPr>
          <w:lang w:val="fr-FR"/>
        </w:rPr>
        <w:t>cembr</w:t>
      </w:r>
      <w:r w:rsidR="0043105D" w:rsidRPr="0004473F">
        <w:rPr>
          <w:lang w:val="fr-FR"/>
        </w:rPr>
        <w:t>e </w:t>
      </w:r>
      <w:r w:rsidR="00421255" w:rsidRPr="0004473F">
        <w:rPr>
          <w:lang w:val="fr-FR"/>
        </w:rPr>
        <w:t>2009</w:t>
      </w:r>
      <w:r w:rsidR="0043105D" w:rsidRPr="0004473F">
        <w:rPr>
          <w:lang w:val="fr-FR"/>
        </w:rPr>
        <w:t>, d’une exemption de l’application des dispositions de la loi</w:t>
      </w:r>
      <w:r w:rsidR="00230453" w:rsidRPr="0004473F">
        <w:rPr>
          <w:lang w:val="fr-FR"/>
        </w:rPr>
        <w:t xml:space="preserve"> précitée</w:t>
      </w:r>
      <w:r w:rsidR="00421255" w:rsidRPr="0004473F">
        <w:rPr>
          <w:lang w:val="fr-FR"/>
        </w:rPr>
        <w:t>;</w:t>
      </w:r>
    </w:p>
    <w:p w:rsidR="005A2EC4" w:rsidRPr="0004473F" w:rsidRDefault="00421255" w:rsidP="0004473F">
      <w:pPr>
        <w:pStyle w:val="IntroductionInleiding"/>
        <w:spacing w:after="0"/>
        <w:ind w:left="284" w:hanging="284"/>
        <w:jc w:val="both"/>
        <w:rPr>
          <w:lang w:val="fr-FR"/>
        </w:rPr>
      </w:pPr>
      <w:r w:rsidRPr="0004473F">
        <w:rPr>
          <w:lang w:val="fr-FR"/>
        </w:rPr>
        <w:t>-</w:t>
      </w:r>
      <w:r w:rsidRPr="0004473F">
        <w:rPr>
          <w:lang w:val="fr-FR"/>
        </w:rPr>
        <w:tab/>
      </w:r>
      <w:r w:rsidR="005A2EC4" w:rsidRPr="0004473F">
        <w:rPr>
          <w:lang w:val="fr-FR"/>
        </w:rPr>
        <w:t>tous les points de contact centraux en Belgique des établissements de paiement et des établissements de monnaie électronique agréés dans d’autres États membres de l’Espace économique européen</w:t>
      </w:r>
      <w:r w:rsidRPr="0004473F">
        <w:rPr>
          <w:lang w:val="fr-FR"/>
        </w:rPr>
        <w:t>,</w:t>
      </w:r>
      <w:r w:rsidR="005A2EC4" w:rsidRPr="0004473F">
        <w:rPr>
          <w:lang w:val="fr-FR"/>
        </w:rPr>
        <w:t xml:space="preserve"> à l’exception toutefois de ceux qui sont soumis par la circulaire </w:t>
      </w:r>
      <w:r w:rsidRPr="0004473F">
        <w:rPr>
          <w:lang w:val="fr-FR"/>
        </w:rPr>
        <w:t>NBB_20</w:t>
      </w:r>
      <w:r w:rsidR="00707751" w:rsidRPr="0004473F">
        <w:rPr>
          <w:lang w:val="fr-FR"/>
        </w:rPr>
        <w:t>16</w:t>
      </w:r>
      <w:r w:rsidRPr="0004473F">
        <w:rPr>
          <w:lang w:val="fr-FR"/>
        </w:rPr>
        <w:t>_</w:t>
      </w:r>
      <w:r w:rsidR="0004473F" w:rsidRPr="0004473F">
        <w:rPr>
          <w:lang w:val="fr-FR"/>
        </w:rPr>
        <w:t>43</w:t>
      </w:r>
      <w:r w:rsidR="00707751" w:rsidRPr="0004473F">
        <w:rPr>
          <w:lang w:val="fr-FR"/>
        </w:rPr>
        <w:t xml:space="preserve"> </w:t>
      </w:r>
      <w:r w:rsidR="005A2EC4" w:rsidRPr="0004473F">
        <w:rPr>
          <w:lang w:val="fr-FR"/>
        </w:rPr>
        <w:t>à l’obligation de répondre au questionnaire abrégé annexé à la présente circulaire</w:t>
      </w:r>
      <w:r w:rsidRPr="0004473F">
        <w:rPr>
          <w:lang w:val="fr-FR"/>
        </w:rPr>
        <w:t>;</w:t>
      </w:r>
    </w:p>
    <w:p w:rsidR="00CE7E73" w:rsidRPr="0004473F" w:rsidRDefault="00CE7E73" w:rsidP="0004473F">
      <w:pPr>
        <w:pStyle w:val="IntroductionInleiding"/>
        <w:spacing w:after="0"/>
        <w:jc w:val="both"/>
        <w:rPr>
          <w:lang w:val="fr-FR"/>
        </w:rPr>
      </w:pPr>
      <w:r w:rsidRPr="0004473F">
        <w:rPr>
          <w:lang w:val="fr-FR"/>
        </w:rPr>
        <w:t>-</w:t>
      </w:r>
      <w:r w:rsidRPr="0004473F">
        <w:rPr>
          <w:lang w:val="fr-FR"/>
        </w:rPr>
        <w:tab/>
      </w:r>
      <w:r w:rsidR="0043105D" w:rsidRPr="0004473F">
        <w:rPr>
          <w:lang w:val="fr-FR"/>
        </w:rPr>
        <w:t>les organismes de liquidation, y compris les succursales UE et non UE</w:t>
      </w:r>
      <w:r w:rsidRPr="0004473F">
        <w:rPr>
          <w:lang w:val="fr-FR"/>
        </w:rPr>
        <w:t>.</w:t>
      </w:r>
    </w:p>
    <w:p w:rsidR="005A2EC4" w:rsidRPr="0004473F" w:rsidRDefault="005A2EC4" w:rsidP="0004473F">
      <w:pPr>
        <w:pStyle w:val="IntroductionInleiding"/>
        <w:spacing w:after="0"/>
        <w:jc w:val="both"/>
        <w:rPr>
          <w:lang w:val="fr-FR"/>
        </w:rPr>
      </w:pPr>
    </w:p>
    <w:p w:rsidR="00CE7E73" w:rsidRPr="00753252" w:rsidRDefault="00ED499C" w:rsidP="0004473F">
      <w:pPr>
        <w:pStyle w:val="Sous-titreOndertitel"/>
        <w:jc w:val="both"/>
        <w:rPr>
          <w:lang w:val="fr-FR"/>
        </w:rPr>
      </w:pPr>
      <w:r w:rsidRPr="0004473F">
        <w:rPr>
          <w:lang w:val="fr-FR"/>
        </w:rPr>
        <w:t>Résumé/Objectifs</w:t>
      </w:r>
    </w:p>
    <w:p w:rsidR="00CE7E73" w:rsidRPr="00753252" w:rsidRDefault="00230453" w:rsidP="0004473F">
      <w:pPr>
        <w:pStyle w:val="IntroductionInleiding"/>
        <w:jc w:val="both"/>
        <w:rPr>
          <w:lang w:val="fr-FR"/>
        </w:rPr>
      </w:pPr>
      <w:r w:rsidRPr="00753252">
        <w:rPr>
          <w:lang w:val="fr-FR"/>
        </w:rPr>
        <w:t>Par la présente circulaire, la Banque nationale de Belgique fournit aux établissements financiers une information détaillée concernant le questionnaire périodique relatif à la prévention du blanchiment de capitaux et du financement du terrorisme auquel ils seront tenus de répondre annuellement. Ce questionnaire vise à fournir à la Banque des informations systématiques et standardisées devant lui permettre de renforcer son approche fondée sur les risques dans l'exercice de ses compétences légales de contrôle en matière de prévention du blanchiment de capitaux et du financement du terrorisme.</w:t>
      </w:r>
    </w:p>
    <w:p w:rsidR="00B00D0B" w:rsidRPr="00753252" w:rsidRDefault="00B00D0B" w:rsidP="0004473F">
      <w:pPr>
        <w:pStyle w:val="Sous-titreOndertitel"/>
        <w:jc w:val="both"/>
        <w:rPr>
          <w:lang w:val="fr-FR"/>
        </w:rPr>
      </w:pPr>
      <w:r w:rsidRPr="00753252">
        <w:rPr>
          <w:lang w:val="fr-FR"/>
        </w:rPr>
        <w:t>Structur</w:t>
      </w:r>
      <w:r w:rsidR="00230453" w:rsidRPr="00753252">
        <w:rPr>
          <w:lang w:val="fr-FR"/>
        </w:rPr>
        <w:t>e</w:t>
      </w:r>
    </w:p>
    <w:p w:rsidR="00B00D0B" w:rsidRPr="00753252" w:rsidRDefault="00230453" w:rsidP="0004473F">
      <w:pPr>
        <w:pStyle w:val="ListParagraph"/>
        <w:numPr>
          <w:ilvl w:val="0"/>
          <w:numId w:val="31"/>
        </w:numPr>
        <w:jc w:val="both"/>
        <w:rPr>
          <w:rFonts w:ascii="Arial" w:hAnsi="Arial" w:cs="Arial"/>
          <w:i/>
          <w:sz w:val="22"/>
          <w:szCs w:val="22"/>
          <w:lang w:val="fr-FR"/>
        </w:rPr>
      </w:pPr>
      <w:r w:rsidRPr="00753252">
        <w:rPr>
          <w:rFonts w:ascii="Arial" w:hAnsi="Arial" w:cs="Arial"/>
          <w:i/>
          <w:sz w:val="22"/>
          <w:szCs w:val="22"/>
          <w:lang w:val="fr-FR"/>
        </w:rPr>
        <w:t>Contexte</w:t>
      </w:r>
    </w:p>
    <w:p w:rsidR="00B00D0B" w:rsidRPr="00753252" w:rsidRDefault="00230453" w:rsidP="0004473F">
      <w:pPr>
        <w:pStyle w:val="ListParagraph"/>
        <w:numPr>
          <w:ilvl w:val="0"/>
          <w:numId w:val="31"/>
        </w:numPr>
        <w:jc w:val="both"/>
        <w:rPr>
          <w:rFonts w:ascii="Arial" w:hAnsi="Arial" w:cs="Arial"/>
          <w:i/>
          <w:sz w:val="22"/>
          <w:szCs w:val="22"/>
          <w:lang w:val="fr-FR"/>
        </w:rPr>
      </w:pPr>
      <w:r w:rsidRPr="00753252">
        <w:rPr>
          <w:rFonts w:ascii="Arial" w:hAnsi="Arial" w:cs="Arial"/>
          <w:i/>
          <w:sz w:val="22"/>
          <w:szCs w:val="22"/>
          <w:lang w:val="fr-FR"/>
        </w:rPr>
        <w:t>Version actualisée du questionnaire périodique</w:t>
      </w:r>
    </w:p>
    <w:p w:rsidR="00B00D0B" w:rsidRPr="00753252" w:rsidRDefault="00230453" w:rsidP="0004473F">
      <w:pPr>
        <w:pStyle w:val="ListParagraph"/>
        <w:numPr>
          <w:ilvl w:val="0"/>
          <w:numId w:val="31"/>
        </w:numPr>
        <w:jc w:val="both"/>
        <w:rPr>
          <w:rFonts w:ascii="Arial" w:hAnsi="Arial" w:cs="Arial"/>
          <w:i/>
          <w:sz w:val="22"/>
          <w:szCs w:val="22"/>
          <w:lang w:val="fr-FR"/>
        </w:rPr>
      </w:pPr>
      <w:r w:rsidRPr="00753252">
        <w:rPr>
          <w:rFonts w:ascii="Arial" w:hAnsi="Arial" w:cs="Arial"/>
          <w:i/>
          <w:sz w:val="22"/>
          <w:szCs w:val="22"/>
          <w:lang w:val="fr-FR"/>
        </w:rPr>
        <w:t>Calendrier</w:t>
      </w:r>
    </w:p>
    <w:p w:rsidR="00B00D0B" w:rsidRPr="00753252" w:rsidRDefault="00230453" w:rsidP="0004473F">
      <w:pPr>
        <w:pStyle w:val="ListParagraph"/>
        <w:numPr>
          <w:ilvl w:val="0"/>
          <w:numId w:val="31"/>
        </w:numPr>
        <w:ind w:left="714" w:hanging="357"/>
        <w:jc w:val="both"/>
        <w:rPr>
          <w:rFonts w:ascii="Arial" w:hAnsi="Arial" w:cs="Arial"/>
          <w:i/>
          <w:sz w:val="22"/>
          <w:szCs w:val="22"/>
          <w:lang w:val="fr-FR"/>
        </w:rPr>
      </w:pPr>
      <w:r w:rsidRPr="00753252">
        <w:rPr>
          <w:rFonts w:ascii="Arial" w:hAnsi="Arial" w:cs="Arial"/>
          <w:i/>
          <w:sz w:val="22"/>
          <w:szCs w:val="22"/>
          <w:lang w:val="fr-FR"/>
        </w:rPr>
        <w:t>Aspects pratiques</w:t>
      </w:r>
    </w:p>
    <w:p w:rsidR="00B00D0B" w:rsidRPr="00753252" w:rsidRDefault="00B00D0B" w:rsidP="0004473F">
      <w:pPr>
        <w:spacing w:after="260"/>
        <w:jc w:val="both"/>
        <w:rPr>
          <w:lang w:val="fr-FR"/>
        </w:rPr>
      </w:pPr>
    </w:p>
    <w:p w:rsidR="00230453" w:rsidRPr="00753252" w:rsidRDefault="00230453" w:rsidP="0004473F">
      <w:pPr>
        <w:jc w:val="both"/>
        <w:rPr>
          <w:lang w:val="fr-FR"/>
        </w:rPr>
      </w:pPr>
    </w:p>
    <w:p w:rsidR="00CE7E73" w:rsidRPr="00753252" w:rsidRDefault="00F86E13" w:rsidP="0004473F">
      <w:pPr>
        <w:jc w:val="both"/>
        <w:rPr>
          <w:lang w:val="fr-FR"/>
        </w:rPr>
      </w:pPr>
      <w:r w:rsidRPr="00753252">
        <w:rPr>
          <w:lang w:val="fr-FR"/>
        </w:rPr>
        <w:lastRenderedPageBreak/>
        <w:t>Madame</w:t>
      </w:r>
      <w:r w:rsidR="00CE7E73" w:rsidRPr="00753252">
        <w:rPr>
          <w:lang w:val="fr-FR"/>
        </w:rPr>
        <w:t xml:space="preserve">, </w:t>
      </w:r>
    </w:p>
    <w:p w:rsidR="00CE7E73" w:rsidRPr="00753252" w:rsidRDefault="00F86E13" w:rsidP="0004473F">
      <w:pPr>
        <w:jc w:val="both"/>
        <w:rPr>
          <w:lang w:val="fr-FR"/>
        </w:rPr>
      </w:pPr>
      <w:r w:rsidRPr="00753252">
        <w:rPr>
          <w:lang w:val="fr-FR"/>
        </w:rPr>
        <w:t>Monsieur</w:t>
      </w:r>
      <w:r w:rsidR="00CE7E73" w:rsidRPr="00753252">
        <w:rPr>
          <w:lang w:val="fr-FR"/>
        </w:rPr>
        <w:t>,</w:t>
      </w:r>
    </w:p>
    <w:p w:rsidR="00CE7E73" w:rsidRPr="00753252" w:rsidRDefault="00CE7E73" w:rsidP="0004473F">
      <w:pPr>
        <w:jc w:val="both"/>
        <w:rPr>
          <w:lang w:val="fr-FR"/>
        </w:rPr>
      </w:pPr>
    </w:p>
    <w:p w:rsidR="00F86E13" w:rsidRPr="00753252" w:rsidRDefault="00F86E13" w:rsidP="0004473F">
      <w:pPr>
        <w:spacing w:after="120"/>
        <w:jc w:val="both"/>
        <w:rPr>
          <w:lang w:val="fr-FR"/>
        </w:rPr>
      </w:pPr>
      <w:r w:rsidRPr="00753252">
        <w:rPr>
          <w:lang w:val="fr-FR"/>
        </w:rPr>
        <w:t xml:space="preserve">Par la présente circulaire, nous vous transmettons le nouveau questionnaire périodique relatif à la prévention du blanchiment de capitaux et du financement du terrorisme. </w:t>
      </w:r>
    </w:p>
    <w:p w:rsidR="00CC52EC" w:rsidRPr="00753252" w:rsidRDefault="00F86E13" w:rsidP="0004473F">
      <w:pPr>
        <w:spacing w:after="120"/>
        <w:jc w:val="both"/>
        <w:rPr>
          <w:lang w:val="fr-FR"/>
        </w:rPr>
      </w:pPr>
      <w:r w:rsidRPr="00753252">
        <w:rPr>
          <w:lang w:val="fr-FR"/>
        </w:rPr>
        <w:t>La présente circulaire remplace avec effet immédiat la circulaire NBB_</w:t>
      </w:r>
      <w:r w:rsidR="006B1F5D" w:rsidRPr="00753252">
        <w:rPr>
          <w:lang w:val="fr-FR"/>
        </w:rPr>
        <w:t>201</w:t>
      </w:r>
      <w:r w:rsidR="00041D21" w:rsidRPr="00753252">
        <w:rPr>
          <w:lang w:val="fr-FR"/>
        </w:rPr>
        <w:t>5</w:t>
      </w:r>
      <w:r w:rsidRPr="00753252">
        <w:rPr>
          <w:lang w:val="fr-FR"/>
        </w:rPr>
        <w:t>_</w:t>
      </w:r>
      <w:r w:rsidR="00041D21" w:rsidRPr="00753252">
        <w:rPr>
          <w:lang w:val="fr-FR"/>
        </w:rPr>
        <w:t>26</w:t>
      </w:r>
      <w:r w:rsidR="006B1F5D" w:rsidRPr="00753252">
        <w:rPr>
          <w:lang w:val="fr-FR"/>
        </w:rPr>
        <w:t xml:space="preserve"> </w:t>
      </w:r>
      <w:r w:rsidRPr="00753252">
        <w:rPr>
          <w:lang w:val="fr-FR"/>
        </w:rPr>
        <w:t>sur le même sujet. Les modifications touchent essentiellement aux données à rapporter.</w:t>
      </w:r>
    </w:p>
    <w:p w:rsidR="00071268" w:rsidRPr="00753252" w:rsidRDefault="00071268" w:rsidP="0004473F">
      <w:pPr>
        <w:spacing w:after="120"/>
        <w:jc w:val="both"/>
        <w:rPr>
          <w:lang w:val="fr-FR"/>
        </w:rPr>
      </w:pPr>
    </w:p>
    <w:p w:rsidR="008E697E" w:rsidRPr="00753252" w:rsidRDefault="00230453" w:rsidP="0004473F">
      <w:pPr>
        <w:pStyle w:val="ListParagraph"/>
        <w:numPr>
          <w:ilvl w:val="0"/>
          <w:numId w:val="32"/>
        </w:numPr>
        <w:spacing w:line="264" w:lineRule="atLeast"/>
        <w:ind w:left="714" w:hanging="357"/>
        <w:jc w:val="both"/>
        <w:rPr>
          <w:u w:val="single"/>
          <w:lang w:val="fr-FR"/>
        </w:rPr>
      </w:pPr>
      <w:r w:rsidRPr="00753252">
        <w:rPr>
          <w:rFonts w:ascii="Arial" w:hAnsi="Arial"/>
          <w:u w:val="single"/>
          <w:lang w:val="fr-FR"/>
        </w:rPr>
        <w:t>Contexte</w:t>
      </w:r>
    </w:p>
    <w:p w:rsidR="008E697E" w:rsidRPr="00753252" w:rsidRDefault="008E697E" w:rsidP="0004473F">
      <w:pPr>
        <w:jc w:val="both"/>
        <w:rPr>
          <w:lang w:val="fr-FR"/>
        </w:rPr>
      </w:pPr>
    </w:p>
    <w:p w:rsidR="00F86E13" w:rsidRPr="00753252" w:rsidRDefault="00F86E13" w:rsidP="0004473F">
      <w:pPr>
        <w:spacing w:after="120"/>
        <w:jc w:val="both"/>
        <w:rPr>
          <w:lang w:val="fr-FR"/>
        </w:rPr>
      </w:pPr>
      <w:r w:rsidRPr="00753252">
        <w:rPr>
          <w:lang w:val="fr-FR"/>
        </w:rPr>
        <w:t xml:space="preserve">Les « normes internationales sur la lutte contre le blanchiment de capitaux et le financement du terrorisme et de la prolifération (les Recommandations du GAFI) », qui ont été adoptées en février 2012, mettent sensiblement l’accent sur la mise en œuvre d'une approche fondée sur les risques. </w:t>
      </w:r>
    </w:p>
    <w:p w:rsidR="00555437" w:rsidRPr="00753252" w:rsidRDefault="00555437" w:rsidP="0004473F">
      <w:pPr>
        <w:spacing w:after="120"/>
        <w:jc w:val="both"/>
        <w:rPr>
          <w:lang w:val="fr-FR"/>
        </w:rPr>
      </w:pPr>
      <w:r w:rsidRPr="00753252">
        <w:rPr>
          <w:lang w:val="fr-FR"/>
        </w:rPr>
        <w:t>Ces normes internationales imposent aux autorités de contrôle concernées de disposer d’un modèle de contrôle en matière de prévention du blanchiment des capitaux, ou du financement du terrorisme ou de la prolifération, qui leur permet d’exercer leurs compétences de contrôle sur la base des risques auxquels sont exposés les établissements financiers.</w:t>
      </w:r>
    </w:p>
    <w:p w:rsidR="00555437" w:rsidRPr="00753252" w:rsidRDefault="00555437" w:rsidP="0004473F">
      <w:pPr>
        <w:spacing w:after="120"/>
        <w:jc w:val="both"/>
        <w:rPr>
          <w:lang w:val="fr-FR"/>
        </w:rPr>
      </w:pPr>
      <w:r w:rsidRPr="00753252">
        <w:rPr>
          <w:lang w:val="fr-FR"/>
        </w:rPr>
        <w:t xml:space="preserve">Dans ce contexte, la Banque nationale de Belgique estime nécessaire de pouvoir disposer d'informations plus systématiques concernant la situation en la matière de chacun des établissements financiers contrôlés, et d'obtenir ces informations selon des modalités permettant la comparaison entre les établissements financiers, ainsi que dans le temps. </w:t>
      </w:r>
    </w:p>
    <w:p w:rsidR="00101697" w:rsidRPr="00753252" w:rsidRDefault="00101697" w:rsidP="0004473F">
      <w:pPr>
        <w:tabs>
          <w:tab w:val="clear" w:pos="284"/>
        </w:tabs>
        <w:autoSpaceDE w:val="0"/>
        <w:autoSpaceDN w:val="0"/>
        <w:adjustRightInd w:val="0"/>
        <w:spacing w:after="120"/>
        <w:jc w:val="both"/>
        <w:rPr>
          <w:lang w:val="fr-FR"/>
        </w:rPr>
      </w:pPr>
      <w:r w:rsidRPr="00753252">
        <w:rPr>
          <w:lang w:val="fr-FR"/>
        </w:rPr>
        <w:t xml:space="preserve">À cet effet, et en étroite concertation avec </w:t>
      </w:r>
      <w:proofErr w:type="spellStart"/>
      <w:r w:rsidRPr="00753252">
        <w:rPr>
          <w:lang w:val="fr-FR"/>
        </w:rPr>
        <w:t>Assuralia</w:t>
      </w:r>
      <w:proofErr w:type="spellEnd"/>
      <w:r w:rsidRPr="00753252">
        <w:rPr>
          <w:lang w:val="fr-FR"/>
        </w:rPr>
        <w:t xml:space="preserve"> et </w:t>
      </w:r>
      <w:proofErr w:type="spellStart"/>
      <w:r w:rsidRPr="00753252">
        <w:rPr>
          <w:lang w:val="fr-FR"/>
        </w:rPr>
        <w:t>Febelfin</w:t>
      </w:r>
      <w:proofErr w:type="spellEnd"/>
      <w:r w:rsidRPr="00753252">
        <w:rPr>
          <w:lang w:val="fr-FR"/>
        </w:rPr>
        <w:t xml:space="preserve">, la Banque a élaboré un questionnaire électronique relatif à la prévention du blanchiment de capitaux et du financement du terrorisme auquel les établissements financiers sont tenus de répondre annuellement. Il est à noter que tous les établissements financiers assujettis à la loi du 11 janvier 1993 et qui relèvent des compétences de contrôle de la Banque sont concernés, en ce compris les succursales d'établissements financiers tant européens que non européens. </w:t>
      </w:r>
    </w:p>
    <w:p w:rsidR="00CE7E73" w:rsidRPr="00753252" w:rsidRDefault="00B95C6D" w:rsidP="0004473F">
      <w:pPr>
        <w:tabs>
          <w:tab w:val="clear" w:pos="284"/>
        </w:tabs>
        <w:autoSpaceDE w:val="0"/>
        <w:autoSpaceDN w:val="0"/>
        <w:adjustRightInd w:val="0"/>
        <w:spacing w:after="120"/>
        <w:jc w:val="both"/>
        <w:rPr>
          <w:lang w:val="fr-FR"/>
        </w:rPr>
      </w:pPr>
      <w:r w:rsidRPr="00753252">
        <w:rPr>
          <w:lang w:val="fr-FR"/>
        </w:rPr>
        <w:t>Compte tenu des particularités des établissements de paiement et des établissements de monnaie électronique</w:t>
      </w:r>
      <w:r w:rsidR="006A061A" w:rsidRPr="00753252">
        <w:rPr>
          <w:lang w:val="fr-FR"/>
        </w:rPr>
        <w:t xml:space="preserve"> agréés dans d’autres États membres de l’Espace économique européen et établis en Belgique du fait de la création d’un réseau limité d’agents, ainsi que des établissements de paiement et des établissements de monnaie électronique qui bénéficient, en application des articles 48 et 105 de la loi du 21 décembre 2009, d’une exemption de l’application des dispositions de la loi précitée, ces établissements sont soumis à l’</w:t>
      </w:r>
      <w:r w:rsidR="002F4031" w:rsidRPr="00753252">
        <w:rPr>
          <w:lang w:val="fr-FR"/>
        </w:rPr>
        <w:t>obligation de répondre à la</w:t>
      </w:r>
      <w:r w:rsidR="006A061A" w:rsidRPr="00753252">
        <w:rPr>
          <w:lang w:val="fr-FR"/>
        </w:rPr>
        <w:t xml:space="preserve"> version abrégée du questionnaire, </w:t>
      </w:r>
      <w:r w:rsidR="006A061A" w:rsidRPr="00F53C7B">
        <w:rPr>
          <w:lang w:val="fr-FR"/>
        </w:rPr>
        <w:t>conformément à la circulaire </w:t>
      </w:r>
      <w:r w:rsidR="00BB75F0" w:rsidRPr="00F53C7B">
        <w:rPr>
          <w:rFonts w:cs="Arial"/>
          <w:sz w:val="19"/>
          <w:szCs w:val="19"/>
          <w:lang w:val="fr-FR" w:eastAsia="nl-BE"/>
        </w:rPr>
        <w:t>NBB_</w:t>
      </w:r>
      <w:r w:rsidR="00041D21" w:rsidRPr="00F53C7B">
        <w:rPr>
          <w:rFonts w:cs="Arial"/>
          <w:sz w:val="19"/>
          <w:szCs w:val="19"/>
          <w:lang w:val="fr-FR" w:eastAsia="nl-BE"/>
        </w:rPr>
        <w:t>2016</w:t>
      </w:r>
      <w:r w:rsidR="00BB75F0" w:rsidRPr="00F53C7B">
        <w:rPr>
          <w:rFonts w:cs="Arial"/>
          <w:sz w:val="19"/>
          <w:szCs w:val="19"/>
          <w:lang w:val="fr-FR" w:eastAsia="nl-BE"/>
        </w:rPr>
        <w:t>_</w:t>
      </w:r>
      <w:r w:rsidR="00F53C7B" w:rsidRPr="00F53C7B">
        <w:rPr>
          <w:rFonts w:cs="Arial"/>
          <w:sz w:val="19"/>
          <w:szCs w:val="19"/>
          <w:lang w:val="fr-FR" w:eastAsia="nl-BE"/>
        </w:rPr>
        <w:t>43</w:t>
      </w:r>
      <w:r w:rsidR="009C55FF" w:rsidRPr="00F53C7B">
        <w:rPr>
          <w:rFonts w:cs="Arial"/>
          <w:sz w:val="19"/>
          <w:szCs w:val="19"/>
          <w:lang w:val="fr-FR" w:eastAsia="nl-BE"/>
        </w:rPr>
        <w:t xml:space="preserve"> </w:t>
      </w:r>
      <w:r w:rsidR="006A061A" w:rsidRPr="00F53C7B">
        <w:rPr>
          <w:rFonts w:cs="Arial"/>
          <w:sz w:val="19"/>
          <w:szCs w:val="19"/>
          <w:lang w:val="fr-FR" w:eastAsia="nl-BE"/>
        </w:rPr>
        <w:t>du</w:t>
      </w:r>
      <w:r w:rsidR="00515166" w:rsidRPr="00F53C7B">
        <w:rPr>
          <w:rFonts w:cs="Arial"/>
          <w:sz w:val="19"/>
          <w:szCs w:val="19"/>
          <w:lang w:val="fr-FR" w:eastAsia="nl-BE"/>
        </w:rPr>
        <w:t xml:space="preserve"> </w:t>
      </w:r>
      <w:r w:rsidR="00F53C7B" w:rsidRPr="00F53C7B">
        <w:rPr>
          <w:rFonts w:cs="Arial"/>
          <w:sz w:val="19"/>
          <w:szCs w:val="19"/>
          <w:lang w:val="fr-FR" w:eastAsia="nl-BE"/>
        </w:rPr>
        <w:t>26</w:t>
      </w:r>
      <w:r w:rsidR="00041D21" w:rsidRPr="00F53C7B">
        <w:rPr>
          <w:rFonts w:cs="Arial"/>
          <w:sz w:val="19"/>
          <w:szCs w:val="19"/>
          <w:lang w:val="fr-FR" w:eastAsia="nl-BE"/>
        </w:rPr>
        <w:t> </w:t>
      </w:r>
      <w:r w:rsidR="00515166" w:rsidRPr="00F53C7B">
        <w:rPr>
          <w:rFonts w:cs="Arial"/>
          <w:sz w:val="19"/>
          <w:szCs w:val="19"/>
          <w:lang w:val="fr-FR" w:eastAsia="nl-BE"/>
        </w:rPr>
        <w:t xml:space="preserve">octobre </w:t>
      </w:r>
      <w:r w:rsidR="00F53C7B" w:rsidRPr="00F53C7B">
        <w:rPr>
          <w:rFonts w:cs="Arial"/>
          <w:sz w:val="19"/>
          <w:szCs w:val="19"/>
          <w:lang w:val="fr-FR" w:eastAsia="nl-BE"/>
        </w:rPr>
        <w:t>2016</w:t>
      </w:r>
      <w:r w:rsidR="009C55FF" w:rsidRPr="00F53C7B">
        <w:rPr>
          <w:rFonts w:cs="Arial"/>
          <w:sz w:val="19"/>
          <w:szCs w:val="19"/>
          <w:lang w:val="fr-FR" w:eastAsia="nl-BE"/>
        </w:rPr>
        <w:t>.</w:t>
      </w:r>
    </w:p>
    <w:p w:rsidR="00A63EBB" w:rsidRPr="00753252" w:rsidRDefault="00101697" w:rsidP="0004473F">
      <w:pPr>
        <w:spacing w:after="120"/>
        <w:jc w:val="both"/>
        <w:rPr>
          <w:lang w:val="fr-FR"/>
        </w:rPr>
      </w:pPr>
      <w:r w:rsidRPr="00753252">
        <w:rPr>
          <w:lang w:val="fr-FR"/>
        </w:rPr>
        <w:t>Le questionnaire annexé à la présente circulaire est complété par une « note de méthodologie » qui en décrit plus en détail les objectifs et les modalités.</w:t>
      </w:r>
    </w:p>
    <w:p w:rsidR="0017325F" w:rsidRPr="00753252" w:rsidRDefault="0017325F" w:rsidP="0004473F">
      <w:pPr>
        <w:spacing w:after="120"/>
        <w:jc w:val="both"/>
        <w:rPr>
          <w:lang w:val="fr-FR"/>
        </w:rPr>
      </w:pPr>
    </w:p>
    <w:p w:rsidR="0017325F" w:rsidRPr="00753252" w:rsidRDefault="0017325F" w:rsidP="0004473F">
      <w:pPr>
        <w:pStyle w:val="ListParagraph"/>
        <w:numPr>
          <w:ilvl w:val="0"/>
          <w:numId w:val="32"/>
        </w:numPr>
        <w:spacing w:line="264" w:lineRule="atLeast"/>
        <w:ind w:left="714" w:hanging="357"/>
        <w:jc w:val="both"/>
        <w:rPr>
          <w:u w:val="single"/>
          <w:lang w:val="fr-FR"/>
        </w:rPr>
      </w:pPr>
      <w:r w:rsidRPr="00753252">
        <w:rPr>
          <w:rFonts w:ascii="Arial" w:hAnsi="Arial"/>
          <w:u w:val="single"/>
          <w:lang w:val="fr-FR"/>
        </w:rPr>
        <w:t>Version actualisée du questionnaire périodique</w:t>
      </w:r>
    </w:p>
    <w:p w:rsidR="0017325F" w:rsidRPr="00753252" w:rsidRDefault="0017325F" w:rsidP="0004473F">
      <w:pPr>
        <w:jc w:val="both"/>
        <w:rPr>
          <w:u w:val="single"/>
          <w:lang w:val="fr-FR"/>
        </w:rPr>
      </w:pPr>
    </w:p>
    <w:p w:rsidR="0017325F" w:rsidRPr="00753252" w:rsidRDefault="005B5873" w:rsidP="0004473F">
      <w:pPr>
        <w:spacing w:after="120"/>
        <w:jc w:val="both"/>
        <w:rPr>
          <w:lang w:val="fr-FR"/>
        </w:rPr>
      </w:pPr>
      <w:r w:rsidRPr="00753252">
        <w:rPr>
          <w:lang w:val="fr-FR"/>
        </w:rPr>
        <w:t>L</w:t>
      </w:r>
      <w:r w:rsidR="00CF7456" w:rsidRPr="00753252">
        <w:rPr>
          <w:lang w:val="fr-FR"/>
        </w:rPr>
        <w:t>a B</w:t>
      </w:r>
      <w:r w:rsidR="001B056D" w:rsidRPr="00753252">
        <w:rPr>
          <w:lang w:val="fr-FR"/>
        </w:rPr>
        <w:t>anque</w:t>
      </w:r>
      <w:r w:rsidR="00CF7456" w:rsidRPr="00753252">
        <w:rPr>
          <w:lang w:val="fr-FR"/>
        </w:rPr>
        <w:t xml:space="preserve"> a déjà fait parvenir </w:t>
      </w:r>
      <w:r w:rsidR="0016762B" w:rsidRPr="00753252">
        <w:rPr>
          <w:lang w:val="fr-FR"/>
        </w:rPr>
        <w:t xml:space="preserve">trois </w:t>
      </w:r>
      <w:r w:rsidR="00CF7456" w:rsidRPr="00753252">
        <w:rPr>
          <w:lang w:val="fr-FR"/>
        </w:rPr>
        <w:t>questionnaires électroniques aux établissements financiers</w:t>
      </w:r>
      <w:r w:rsidRPr="00753252">
        <w:rPr>
          <w:lang w:val="fr-FR"/>
        </w:rPr>
        <w:t xml:space="preserve"> ces dernières années</w:t>
      </w:r>
      <w:r w:rsidR="00697A04" w:rsidRPr="00753252">
        <w:rPr>
          <w:lang w:val="fr-FR"/>
        </w:rPr>
        <w:t xml:space="preserve">. </w:t>
      </w:r>
      <w:r w:rsidR="00B33D03" w:rsidRPr="00753252">
        <w:rPr>
          <w:lang w:val="fr-FR"/>
        </w:rPr>
        <w:t>La</w:t>
      </w:r>
      <w:r w:rsidR="007460EA" w:rsidRPr="00753252">
        <w:rPr>
          <w:lang w:val="fr-FR"/>
        </w:rPr>
        <w:t xml:space="preserve"> première version du questionnaire avait été annexée à la circulaire </w:t>
      </w:r>
      <w:r w:rsidR="00697A04" w:rsidRPr="00753252">
        <w:rPr>
          <w:lang w:val="fr-FR"/>
        </w:rPr>
        <w:t xml:space="preserve">NBB_2013_10 </w:t>
      </w:r>
      <w:r w:rsidR="007460EA" w:rsidRPr="00753252">
        <w:rPr>
          <w:lang w:val="fr-FR"/>
        </w:rPr>
        <w:t>du</w:t>
      </w:r>
      <w:r w:rsidR="00697A04" w:rsidRPr="00753252">
        <w:rPr>
          <w:lang w:val="fr-FR"/>
        </w:rPr>
        <w:t xml:space="preserve"> 25 </w:t>
      </w:r>
      <w:r w:rsidR="007460EA" w:rsidRPr="00753252">
        <w:rPr>
          <w:lang w:val="fr-FR"/>
        </w:rPr>
        <w:t>septembre</w:t>
      </w:r>
      <w:r w:rsidR="00697A04" w:rsidRPr="00753252">
        <w:rPr>
          <w:lang w:val="fr-FR"/>
        </w:rPr>
        <w:t xml:space="preserve"> 2013</w:t>
      </w:r>
      <w:r w:rsidR="00BA39D6" w:rsidRPr="00753252">
        <w:rPr>
          <w:lang w:val="fr-FR"/>
        </w:rPr>
        <w:t>,</w:t>
      </w:r>
      <w:r w:rsidR="00697A04" w:rsidRPr="00753252">
        <w:rPr>
          <w:lang w:val="fr-FR"/>
        </w:rPr>
        <w:t xml:space="preserve"> </w:t>
      </w:r>
      <w:r w:rsidR="00B33D03" w:rsidRPr="00753252">
        <w:rPr>
          <w:lang w:val="fr-FR"/>
        </w:rPr>
        <w:t>la</w:t>
      </w:r>
      <w:r w:rsidR="007460EA" w:rsidRPr="00753252">
        <w:rPr>
          <w:lang w:val="fr-FR"/>
        </w:rPr>
        <w:t xml:space="preserve"> </w:t>
      </w:r>
      <w:r w:rsidR="00D118F1" w:rsidRPr="00753252">
        <w:rPr>
          <w:lang w:val="fr-FR"/>
        </w:rPr>
        <w:t>deuxième</w:t>
      </w:r>
      <w:r w:rsidR="007460EA" w:rsidRPr="00753252">
        <w:rPr>
          <w:lang w:val="fr-FR"/>
        </w:rPr>
        <w:t xml:space="preserve"> à la</w:t>
      </w:r>
      <w:r w:rsidR="00697A04" w:rsidRPr="00753252">
        <w:rPr>
          <w:lang w:val="fr-FR"/>
        </w:rPr>
        <w:t xml:space="preserve"> circulaire 2014_11 </w:t>
      </w:r>
      <w:r w:rsidR="007460EA" w:rsidRPr="00753252">
        <w:rPr>
          <w:lang w:val="fr-FR"/>
        </w:rPr>
        <w:t>du 14 </w:t>
      </w:r>
      <w:r w:rsidR="00697A04" w:rsidRPr="00753252">
        <w:rPr>
          <w:lang w:val="fr-FR"/>
        </w:rPr>
        <w:t>o</w:t>
      </w:r>
      <w:r w:rsidR="007460EA" w:rsidRPr="00753252">
        <w:rPr>
          <w:lang w:val="fr-FR"/>
        </w:rPr>
        <w:t>c</w:t>
      </w:r>
      <w:r w:rsidR="00697A04" w:rsidRPr="00753252">
        <w:rPr>
          <w:lang w:val="fr-FR"/>
        </w:rPr>
        <w:t>tob</w:t>
      </w:r>
      <w:r w:rsidR="007460EA" w:rsidRPr="00753252">
        <w:rPr>
          <w:lang w:val="fr-FR"/>
        </w:rPr>
        <w:t>re</w:t>
      </w:r>
      <w:r w:rsidR="00697A04" w:rsidRPr="00753252">
        <w:rPr>
          <w:lang w:val="fr-FR"/>
        </w:rPr>
        <w:t xml:space="preserve"> 2014</w:t>
      </w:r>
      <w:r w:rsidR="00BA39D6" w:rsidRPr="00753252">
        <w:rPr>
          <w:lang w:val="fr-FR"/>
        </w:rPr>
        <w:t>, et la troisième à la circulaire 2015_26 du 7 octobre 2015</w:t>
      </w:r>
      <w:r w:rsidR="00697A04" w:rsidRPr="00753252">
        <w:rPr>
          <w:lang w:val="fr-FR"/>
        </w:rPr>
        <w:t xml:space="preserve">. </w:t>
      </w:r>
      <w:r w:rsidR="0017325F" w:rsidRPr="00753252">
        <w:rPr>
          <w:lang w:val="fr-FR"/>
        </w:rPr>
        <w:t xml:space="preserve">Les établissements financiers étaient </w:t>
      </w:r>
      <w:r w:rsidR="0025136E" w:rsidRPr="00753252">
        <w:rPr>
          <w:lang w:val="fr-FR"/>
        </w:rPr>
        <w:t xml:space="preserve">à chaque fois </w:t>
      </w:r>
      <w:r w:rsidR="0017325F" w:rsidRPr="00753252">
        <w:rPr>
          <w:lang w:val="fr-FR"/>
        </w:rPr>
        <w:t>invités à compléter ce questionnaire électronique en se basant sur la situation (notamment les procédures internes) au 31 décembre 2013</w:t>
      </w:r>
      <w:r w:rsidR="0025136E" w:rsidRPr="00753252">
        <w:rPr>
          <w:lang w:val="fr-FR"/>
        </w:rPr>
        <w:t xml:space="preserve"> pour la première version</w:t>
      </w:r>
      <w:r w:rsidR="00862B33" w:rsidRPr="00753252">
        <w:rPr>
          <w:lang w:val="fr-FR"/>
        </w:rPr>
        <w:t>,</w:t>
      </w:r>
      <w:r w:rsidR="0025136E" w:rsidRPr="00753252">
        <w:rPr>
          <w:lang w:val="fr-FR"/>
        </w:rPr>
        <w:t xml:space="preserve"> </w:t>
      </w:r>
      <w:r w:rsidR="00862B33" w:rsidRPr="00753252">
        <w:rPr>
          <w:lang w:val="fr-FR"/>
        </w:rPr>
        <w:t xml:space="preserve">au </w:t>
      </w:r>
      <w:r w:rsidR="00681F92" w:rsidRPr="00753252">
        <w:rPr>
          <w:lang w:val="fr-FR"/>
        </w:rPr>
        <w:t xml:space="preserve">31 décembre </w:t>
      </w:r>
      <w:r w:rsidR="0025136E" w:rsidRPr="00753252">
        <w:rPr>
          <w:lang w:val="fr-FR"/>
        </w:rPr>
        <w:t xml:space="preserve">2014 pour la </w:t>
      </w:r>
      <w:r w:rsidR="00D118F1" w:rsidRPr="00753252">
        <w:rPr>
          <w:lang w:val="fr-FR"/>
        </w:rPr>
        <w:t>deuxième</w:t>
      </w:r>
      <w:r w:rsidR="00862B33" w:rsidRPr="00753252">
        <w:rPr>
          <w:lang w:val="fr-FR"/>
        </w:rPr>
        <w:t xml:space="preserve"> et au 31 décembre 2015 pour la troisième</w:t>
      </w:r>
      <w:r w:rsidR="0017325F" w:rsidRPr="00753252">
        <w:rPr>
          <w:lang w:val="fr-FR"/>
        </w:rPr>
        <w:t xml:space="preserve">. </w:t>
      </w:r>
    </w:p>
    <w:p w:rsidR="0017325F" w:rsidRPr="00753252" w:rsidRDefault="0017325F" w:rsidP="0004473F">
      <w:pPr>
        <w:jc w:val="both"/>
        <w:rPr>
          <w:lang w:val="fr-FR"/>
        </w:rPr>
      </w:pPr>
    </w:p>
    <w:p w:rsidR="0017325F" w:rsidRPr="00753252" w:rsidRDefault="0017325F" w:rsidP="0004473F">
      <w:pPr>
        <w:jc w:val="both"/>
        <w:rPr>
          <w:lang w:val="fr-FR"/>
        </w:rPr>
      </w:pPr>
      <w:r w:rsidRPr="00753252">
        <w:rPr>
          <w:lang w:val="fr-FR"/>
        </w:rPr>
        <w:t xml:space="preserve">En annexe de la présente circulaire, la Banque vous fait parvenir une </w:t>
      </w:r>
      <w:r w:rsidR="00C85A31" w:rsidRPr="00753252">
        <w:rPr>
          <w:lang w:val="fr-FR"/>
        </w:rPr>
        <w:t xml:space="preserve">nouvelle </w:t>
      </w:r>
      <w:r w:rsidRPr="00753252">
        <w:rPr>
          <w:lang w:val="fr-FR"/>
        </w:rPr>
        <w:t xml:space="preserve">version de ce questionnaire. </w:t>
      </w:r>
      <w:r w:rsidR="00C6077F" w:rsidRPr="00753252">
        <w:rPr>
          <w:lang w:val="fr-FR"/>
        </w:rPr>
        <w:t xml:space="preserve">Les six premiers chapitres du questionnaire sont inchangés par rapport au questionnaire </w:t>
      </w:r>
      <w:r w:rsidR="004A3C22">
        <w:rPr>
          <w:lang w:val="fr-FR"/>
        </w:rPr>
        <w:t xml:space="preserve">que </w:t>
      </w:r>
      <w:r w:rsidR="00C6077F" w:rsidRPr="00753252">
        <w:rPr>
          <w:lang w:val="fr-FR"/>
        </w:rPr>
        <w:t xml:space="preserve">les établissements </w:t>
      </w:r>
      <w:r w:rsidR="004A3C22">
        <w:rPr>
          <w:lang w:val="fr-FR"/>
        </w:rPr>
        <w:t xml:space="preserve">avaient été invités </w:t>
      </w:r>
      <w:r w:rsidR="004A3C22" w:rsidRPr="00753252">
        <w:rPr>
          <w:lang w:val="fr-FR"/>
        </w:rPr>
        <w:t xml:space="preserve">à remplir </w:t>
      </w:r>
      <w:r w:rsidR="00C6077F" w:rsidRPr="00753252">
        <w:rPr>
          <w:lang w:val="fr-FR"/>
        </w:rPr>
        <w:t xml:space="preserve">au début de 2016. Le chapitre 7 « Données </w:t>
      </w:r>
      <w:r w:rsidR="00C6077F" w:rsidRPr="00753252">
        <w:rPr>
          <w:lang w:val="fr-FR"/>
        </w:rPr>
        <w:lastRenderedPageBreak/>
        <w:t>chiffrées », ajouté pour la première fois au questionnaire l'an dernier, disparaît et ne d</w:t>
      </w:r>
      <w:r w:rsidR="00604CBE">
        <w:rPr>
          <w:lang w:val="fr-FR"/>
        </w:rPr>
        <w:t>evra</w:t>
      </w:r>
      <w:r w:rsidR="00C6077F" w:rsidRPr="00753252">
        <w:rPr>
          <w:lang w:val="fr-FR"/>
        </w:rPr>
        <w:t xml:space="preserve"> dès lors plus être complété </w:t>
      </w:r>
      <w:r w:rsidR="00604CBE">
        <w:rPr>
          <w:lang w:val="fr-FR"/>
        </w:rPr>
        <w:t xml:space="preserve">au début de </w:t>
      </w:r>
      <w:r w:rsidR="00C6077F" w:rsidRPr="00753252">
        <w:rPr>
          <w:lang w:val="fr-FR"/>
        </w:rPr>
        <w:t xml:space="preserve">2017 </w:t>
      </w:r>
      <w:r w:rsidR="00B771EE">
        <w:rPr>
          <w:lang w:val="fr-FR"/>
        </w:rPr>
        <w:t xml:space="preserve">en tant que </w:t>
      </w:r>
      <w:r w:rsidR="00C6077F" w:rsidRPr="00753252">
        <w:rPr>
          <w:lang w:val="fr-FR"/>
        </w:rPr>
        <w:t>chapitre distinct du questionnaire périodique.</w:t>
      </w:r>
      <w:r w:rsidR="00884C15" w:rsidRPr="00753252">
        <w:rPr>
          <w:lang w:val="fr-FR"/>
        </w:rPr>
        <w:t xml:space="preserve"> </w:t>
      </w:r>
      <w:r w:rsidR="00CD0FE4" w:rsidRPr="00753252">
        <w:rPr>
          <w:lang w:val="fr-FR"/>
        </w:rPr>
        <w:t xml:space="preserve">Cela </w:t>
      </w:r>
      <w:r w:rsidR="00C75204" w:rsidRPr="00753252">
        <w:rPr>
          <w:lang w:val="fr-FR"/>
        </w:rPr>
        <w:t xml:space="preserve">ne signifie </w:t>
      </w:r>
      <w:r w:rsidR="00CD0FE4">
        <w:rPr>
          <w:lang w:val="fr-FR"/>
        </w:rPr>
        <w:t xml:space="preserve">toutefois </w:t>
      </w:r>
      <w:r w:rsidR="00C75204" w:rsidRPr="00753252">
        <w:rPr>
          <w:lang w:val="fr-FR"/>
        </w:rPr>
        <w:t xml:space="preserve">pas que les établissements financiers seront exemptés de l'obligation de communiquer à la Banque certaines données chiffrées au cours de 2017. Les informations qui avaient été demandées en 2016 au chapitre 7 qui a été supprimé seront en effet demandées par la Banque en 2017 sous un nouveau format que les établissements financiers devront joindre en addendum au rapport annuel en matière de blanchiment. </w:t>
      </w:r>
      <w:r w:rsidR="00B17F99" w:rsidRPr="00753252">
        <w:rPr>
          <w:lang w:val="fr-FR"/>
        </w:rPr>
        <w:t xml:space="preserve">Par ailleurs, il y aura lieu de fournir dans cet addendum </w:t>
      </w:r>
      <w:r w:rsidR="00C75204" w:rsidRPr="00753252">
        <w:rPr>
          <w:lang w:val="fr-FR"/>
        </w:rPr>
        <w:t xml:space="preserve">des informations supplémentaires sur les activités </w:t>
      </w:r>
      <w:r w:rsidR="00B17F99" w:rsidRPr="00753252">
        <w:rPr>
          <w:lang w:val="fr-FR"/>
        </w:rPr>
        <w:t xml:space="preserve">exercées </w:t>
      </w:r>
      <w:r w:rsidR="00C75204" w:rsidRPr="00753252">
        <w:rPr>
          <w:lang w:val="fr-FR"/>
        </w:rPr>
        <w:t xml:space="preserve">en Belgique par les </w:t>
      </w:r>
      <w:r w:rsidR="00B17F99" w:rsidRPr="00753252">
        <w:rPr>
          <w:lang w:val="fr-FR"/>
        </w:rPr>
        <w:t>établissements financiers</w:t>
      </w:r>
      <w:r w:rsidR="00C75204" w:rsidRPr="00753252">
        <w:rPr>
          <w:lang w:val="fr-FR"/>
        </w:rPr>
        <w:t xml:space="preserve">. La Banque fournira </w:t>
      </w:r>
      <w:r w:rsidR="00B17F99" w:rsidRPr="00753252">
        <w:rPr>
          <w:lang w:val="fr-FR"/>
        </w:rPr>
        <w:t xml:space="preserve">en cours d’année aux établissements financiers, dans le cadre d’une </w:t>
      </w:r>
      <w:r w:rsidR="00C75204" w:rsidRPr="00753252">
        <w:rPr>
          <w:lang w:val="fr-FR"/>
        </w:rPr>
        <w:t>circulaire distincte, d</w:t>
      </w:r>
      <w:r w:rsidR="00B17F99" w:rsidRPr="00753252">
        <w:rPr>
          <w:lang w:val="fr-FR"/>
        </w:rPr>
        <w:t xml:space="preserve">e plus amples </w:t>
      </w:r>
      <w:r w:rsidR="00C75204" w:rsidRPr="00753252">
        <w:rPr>
          <w:lang w:val="fr-FR"/>
        </w:rPr>
        <w:t xml:space="preserve">explications </w:t>
      </w:r>
      <w:r w:rsidR="00B17F99" w:rsidRPr="00753252">
        <w:rPr>
          <w:lang w:val="fr-FR"/>
        </w:rPr>
        <w:t xml:space="preserve">sur </w:t>
      </w:r>
      <w:r w:rsidR="00C75204" w:rsidRPr="00753252">
        <w:rPr>
          <w:lang w:val="fr-FR"/>
        </w:rPr>
        <w:t xml:space="preserve">cette nouvelle </w:t>
      </w:r>
      <w:r w:rsidR="00B17F99" w:rsidRPr="00753252">
        <w:rPr>
          <w:lang w:val="fr-FR"/>
        </w:rPr>
        <w:t xml:space="preserve">obligation </w:t>
      </w:r>
      <w:r w:rsidR="00C75204" w:rsidRPr="00753252">
        <w:rPr>
          <w:lang w:val="fr-FR"/>
        </w:rPr>
        <w:t>de</w:t>
      </w:r>
      <w:r w:rsidR="00C72DC1" w:rsidRPr="00753252">
        <w:rPr>
          <w:lang w:val="fr-FR"/>
        </w:rPr>
        <w:t xml:space="preserve"> </w:t>
      </w:r>
      <w:proofErr w:type="spellStart"/>
      <w:r w:rsidR="00C72DC1" w:rsidRPr="00753252">
        <w:rPr>
          <w:lang w:val="fr-FR"/>
        </w:rPr>
        <w:t>reporting</w:t>
      </w:r>
      <w:proofErr w:type="spellEnd"/>
      <w:r w:rsidR="00C75204" w:rsidRPr="00753252">
        <w:rPr>
          <w:lang w:val="fr-FR"/>
        </w:rPr>
        <w:t xml:space="preserve">, </w:t>
      </w:r>
      <w:r w:rsidR="00C72DC1" w:rsidRPr="00753252">
        <w:rPr>
          <w:lang w:val="fr-FR"/>
        </w:rPr>
        <w:t xml:space="preserve">et </w:t>
      </w:r>
      <w:r w:rsidR="00C75204" w:rsidRPr="00753252">
        <w:rPr>
          <w:lang w:val="fr-FR"/>
        </w:rPr>
        <w:t xml:space="preserve">y </w:t>
      </w:r>
      <w:r w:rsidR="00C72DC1" w:rsidRPr="00753252">
        <w:rPr>
          <w:lang w:val="fr-FR"/>
        </w:rPr>
        <w:t xml:space="preserve">détaillera </w:t>
      </w:r>
      <w:r w:rsidR="00C75204" w:rsidRPr="00753252">
        <w:rPr>
          <w:lang w:val="fr-FR"/>
        </w:rPr>
        <w:t>toutes les modalités pratiques.</w:t>
      </w:r>
    </w:p>
    <w:p w:rsidR="00884C15" w:rsidRPr="00753252" w:rsidRDefault="00884C15" w:rsidP="0004473F">
      <w:pPr>
        <w:spacing w:after="120"/>
        <w:jc w:val="both"/>
        <w:rPr>
          <w:lang w:val="fr-FR"/>
        </w:rPr>
      </w:pPr>
    </w:p>
    <w:p w:rsidR="0017325F" w:rsidRPr="00753252" w:rsidRDefault="00220D26" w:rsidP="0004473F">
      <w:pPr>
        <w:spacing w:after="120"/>
        <w:jc w:val="both"/>
        <w:rPr>
          <w:lang w:val="fr-FR"/>
        </w:rPr>
      </w:pPr>
      <w:r>
        <w:rPr>
          <w:lang w:val="fr-FR"/>
        </w:rPr>
        <w:t>Comme les années précédentes, la Banque mettra l</w:t>
      </w:r>
      <w:r w:rsidR="0017325F" w:rsidRPr="00753252">
        <w:rPr>
          <w:lang w:val="fr-FR"/>
        </w:rPr>
        <w:t xml:space="preserve">e formulaire électronique qu’il convient d’utiliser pour répondre au questionnaire actualisé à disposition via </w:t>
      </w:r>
      <w:proofErr w:type="spellStart"/>
      <w:r w:rsidR="0017325F" w:rsidRPr="00753252">
        <w:rPr>
          <w:lang w:val="fr-FR"/>
        </w:rPr>
        <w:t>OneGate</w:t>
      </w:r>
      <w:proofErr w:type="spellEnd"/>
      <w:r w:rsidR="0017325F" w:rsidRPr="00753252">
        <w:rPr>
          <w:lang w:val="fr-FR"/>
        </w:rPr>
        <w:t xml:space="preserve"> dans les premiers jours de </w:t>
      </w:r>
      <w:r w:rsidR="00DF4289" w:rsidRPr="00753252">
        <w:rPr>
          <w:lang w:val="fr-FR"/>
        </w:rPr>
        <w:t>201</w:t>
      </w:r>
      <w:r>
        <w:rPr>
          <w:lang w:val="fr-FR"/>
        </w:rPr>
        <w:t>7</w:t>
      </w:r>
      <w:r w:rsidR="0017325F" w:rsidRPr="00753252">
        <w:rPr>
          <w:lang w:val="fr-FR"/>
        </w:rPr>
        <w:t>. Ce formulaire inclura la possibilité de réutiliser les réponses fournies dans l’édition de </w:t>
      </w:r>
      <w:r w:rsidR="00DF4289" w:rsidRPr="00753252">
        <w:rPr>
          <w:lang w:val="fr-FR"/>
        </w:rPr>
        <w:t>201</w:t>
      </w:r>
      <w:r w:rsidR="00410EB2">
        <w:rPr>
          <w:lang w:val="fr-FR"/>
        </w:rPr>
        <w:t>6</w:t>
      </w:r>
      <w:r w:rsidR="00DF4289" w:rsidRPr="00753252">
        <w:rPr>
          <w:lang w:val="fr-FR"/>
        </w:rPr>
        <w:t xml:space="preserve"> </w:t>
      </w:r>
      <w:r w:rsidR="0017325F" w:rsidRPr="00753252">
        <w:rPr>
          <w:lang w:val="fr-FR"/>
        </w:rPr>
        <w:t>pour compléter le questionnaire de </w:t>
      </w:r>
      <w:r w:rsidR="00DF4289" w:rsidRPr="00753252">
        <w:rPr>
          <w:lang w:val="fr-FR"/>
        </w:rPr>
        <w:t>201</w:t>
      </w:r>
      <w:r w:rsidR="00410EB2">
        <w:rPr>
          <w:lang w:val="fr-FR"/>
        </w:rPr>
        <w:t>7</w:t>
      </w:r>
      <w:r w:rsidR="0017325F" w:rsidRPr="00753252">
        <w:rPr>
          <w:lang w:val="fr-FR"/>
        </w:rPr>
        <w:t xml:space="preserve">. Il va sans dire que recourir à cette fonctionnalité ne dispense pas les établissements financiers de l’obligation de revérifier l’exactitude de chaque réponse fournie. </w:t>
      </w:r>
    </w:p>
    <w:p w:rsidR="0017325F" w:rsidRPr="00753252" w:rsidRDefault="0017325F" w:rsidP="0004473F">
      <w:pPr>
        <w:spacing w:after="120"/>
        <w:jc w:val="both"/>
        <w:rPr>
          <w:lang w:val="fr-FR"/>
        </w:rPr>
      </w:pPr>
    </w:p>
    <w:p w:rsidR="0017325F" w:rsidRPr="00753252" w:rsidRDefault="0017325F" w:rsidP="0004473F">
      <w:pPr>
        <w:pStyle w:val="ListParagraph"/>
        <w:numPr>
          <w:ilvl w:val="0"/>
          <w:numId w:val="32"/>
        </w:numPr>
        <w:spacing w:line="264" w:lineRule="atLeast"/>
        <w:ind w:left="714" w:hanging="357"/>
        <w:jc w:val="both"/>
        <w:rPr>
          <w:lang w:val="fr-FR"/>
        </w:rPr>
      </w:pPr>
      <w:r w:rsidRPr="00753252">
        <w:rPr>
          <w:rFonts w:ascii="Arial" w:hAnsi="Arial"/>
          <w:u w:val="single"/>
          <w:lang w:val="fr-FR"/>
        </w:rPr>
        <w:t>Calendrier</w:t>
      </w:r>
    </w:p>
    <w:p w:rsidR="0017325F" w:rsidRPr="00753252" w:rsidRDefault="0017325F" w:rsidP="0004473F">
      <w:pPr>
        <w:jc w:val="both"/>
        <w:rPr>
          <w:lang w:val="fr-FR"/>
        </w:rPr>
      </w:pPr>
    </w:p>
    <w:p w:rsidR="0017325F" w:rsidRPr="00753252" w:rsidRDefault="0017325F" w:rsidP="0004473F">
      <w:pPr>
        <w:spacing w:after="120"/>
        <w:jc w:val="both"/>
        <w:rPr>
          <w:lang w:val="fr-FR"/>
        </w:rPr>
      </w:pPr>
      <w:r w:rsidRPr="00753252">
        <w:rPr>
          <w:lang w:val="fr-FR"/>
        </w:rPr>
        <w:t xml:space="preserve">Les </w:t>
      </w:r>
      <w:r w:rsidR="00D32D64" w:rsidRPr="00753252">
        <w:rPr>
          <w:lang w:val="fr-FR"/>
        </w:rPr>
        <w:t>réponses au</w:t>
      </w:r>
      <w:r w:rsidRPr="00753252">
        <w:rPr>
          <w:lang w:val="fr-FR"/>
        </w:rPr>
        <w:t xml:space="preserve"> questionnaire doivent nous parvenir par </w:t>
      </w:r>
      <w:proofErr w:type="spellStart"/>
      <w:r w:rsidRPr="00753252">
        <w:rPr>
          <w:lang w:val="fr-FR"/>
        </w:rPr>
        <w:t>OneGate</w:t>
      </w:r>
      <w:proofErr w:type="spellEnd"/>
      <w:r w:rsidRPr="00753252">
        <w:rPr>
          <w:lang w:val="fr-FR"/>
        </w:rPr>
        <w:t xml:space="preserve"> entre le 1</w:t>
      </w:r>
      <w:r w:rsidRPr="00753252">
        <w:rPr>
          <w:vertAlign w:val="superscript"/>
          <w:lang w:val="fr-FR"/>
        </w:rPr>
        <w:t>er</w:t>
      </w:r>
      <w:r w:rsidRPr="00753252">
        <w:rPr>
          <w:lang w:val="fr-FR"/>
        </w:rPr>
        <w:t xml:space="preserve"> janvier et le </w:t>
      </w:r>
      <w:r w:rsidR="00D32D64" w:rsidRPr="00753252">
        <w:rPr>
          <w:lang w:val="fr-FR"/>
        </w:rPr>
        <w:t>2</w:t>
      </w:r>
      <w:r w:rsidR="00410EB2">
        <w:rPr>
          <w:lang w:val="fr-FR"/>
        </w:rPr>
        <w:t>8</w:t>
      </w:r>
      <w:r w:rsidR="00D32D64" w:rsidRPr="00753252">
        <w:rPr>
          <w:lang w:val="fr-FR"/>
        </w:rPr>
        <w:t> </w:t>
      </w:r>
      <w:r w:rsidRPr="00753252">
        <w:rPr>
          <w:lang w:val="fr-FR"/>
        </w:rPr>
        <w:t>février</w:t>
      </w:r>
      <w:r w:rsidR="00515166" w:rsidRPr="00753252">
        <w:rPr>
          <w:lang w:val="fr-FR"/>
        </w:rPr>
        <w:t> </w:t>
      </w:r>
      <w:r w:rsidR="00D32D64" w:rsidRPr="00753252">
        <w:rPr>
          <w:lang w:val="fr-FR"/>
        </w:rPr>
        <w:t>201</w:t>
      </w:r>
      <w:r w:rsidR="00410EB2">
        <w:rPr>
          <w:lang w:val="fr-FR"/>
        </w:rPr>
        <w:t>7</w:t>
      </w:r>
      <w:r w:rsidRPr="00753252">
        <w:rPr>
          <w:lang w:val="fr-FR"/>
        </w:rPr>
        <w:t>, et doivent porter sur la situation</w:t>
      </w:r>
      <w:r w:rsidR="00D32D64" w:rsidRPr="00753252">
        <w:rPr>
          <w:lang w:val="fr-FR"/>
        </w:rPr>
        <w:t xml:space="preserve"> (notamment les procédures internes)</w:t>
      </w:r>
      <w:r w:rsidRPr="00753252">
        <w:rPr>
          <w:lang w:val="fr-FR"/>
        </w:rPr>
        <w:t xml:space="preserve"> au </w:t>
      </w:r>
      <w:r w:rsidRPr="00753252">
        <w:rPr>
          <w:b/>
          <w:u w:val="single"/>
          <w:lang w:val="fr-FR"/>
        </w:rPr>
        <w:t>31 décembre </w:t>
      </w:r>
      <w:r w:rsidR="00D32D64" w:rsidRPr="00753252">
        <w:rPr>
          <w:b/>
          <w:u w:val="single"/>
          <w:lang w:val="fr-FR"/>
        </w:rPr>
        <w:t>201</w:t>
      </w:r>
      <w:r w:rsidR="00410EB2">
        <w:rPr>
          <w:b/>
          <w:u w:val="single"/>
          <w:lang w:val="fr-FR"/>
        </w:rPr>
        <w:t>6</w:t>
      </w:r>
      <w:r w:rsidRPr="00753252">
        <w:rPr>
          <w:lang w:val="fr-FR"/>
        </w:rPr>
        <w:t xml:space="preserve">. </w:t>
      </w:r>
    </w:p>
    <w:p w:rsidR="0017325F" w:rsidRPr="00753252" w:rsidRDefault="0017325F" w:rsidP="0004473F">
      <w:pPr>
        <w:jc w:val="both"/>
        <w:rPr>
          <w:lang w:val="fr-FR"/>
        </w:rPr>
      </w:pPr>
    </w:p>
    <w:p w:rsidR="0017325F" w:rsidRPr="00753252" w:rsidRDefault="0017325F" w:rsidP="0004473F">
      <w:pPr>
        <w:pStyle w:val="ListParagraph"/>
        <w:numPr>
          <w:ilvl w:val="0"/>
          <w:numId w:val="32"/>
        </w:numPr>
        <w:spacing w:line="264" w:lineRule="atLeast"/>
        <w:ind w:left="714" w:hanging="357"/>
        <w:jc w:val="both"/>
        <w:rPr>
          <w:u w:val="single"/>
          <w:lang w:val="fr-FR"/>
        </w:rPr>
      </w:pPr>
      <w:r w:rsidRPr="00753252">
        <w:rPr>
          <w:rFonts w:ascii="Arial" w:hAnsi="Arial"/>
          <w:u w:val="single"/>
          <w:lang w:val="fr-FR"/>
        </w:rPr>
        <w:t>Aspects pratiques</w:t>
      </w:r>
    </w:p>
    <w:p w:rsidR="0017325F" w:rsidRPr="00753252" w:rsidRDefault="0017325F" w:rsidP="0004473F">
      <w:pPr>
        <w:jc w:val="both"/>
        <w:rPr>
          <w:lang w:val="fr-FR"/>
        </w:rPr>
      </w:pPr>
    </w:p>
    <w:p w:rsidR="0017325F" w:rsidRPr="00753252" w:rsidRDefault="0017325F" w:rsidP="0004473F">
      <w:pPr>
        <w:spacing w:after="120"/>
        <w:jc w:val="both"/>
        <w:rPr>
          <w:lang w:val="fr-FR"/>
        </w:rPr>
      </w:pPr>
      <w:r w:rsidRPr="00753252">
        <w:rPr>
          <w:lang w:val="fr-FR"/>
        </w:rPr>
        <w:t>Afin de vous permettre de rassembler dès à présent les informations nécessaires pour répondre dans les délais impartis au questionnaire, celui</w:t>
      </w:r>
      <w:r w:rsidRPr="00753252">
        <w:rPr>
          <w:lang w:val="fr-FR"/>
        </w:rPr>
        <w:noBreakHyphen/>
        <w:t xml:space="preserve">ci et sa note </w:t>
      </w:r>
      <w:r w:rsidR="00081939" w:rsidRPr="00753252">
        <w:rPr>
          <w:lang w:val="fr-FR"/>
        </w:rPr>
        <w:t>méthodologique</w:t>
      </w:r>
      <w:r w:rsidRPr="00753252">
        <w:rPr>
          <w:lang w:val="fr-FR"/>
        </w:rPr>
        <w:t xml:space="preserve"> vous sont adressés ci</w:t>
      </w:r>
      <w:r w:rsidRPr="00753252">
        <w:rPr>
          <w:lang w:val="fr-FR"/>
        </w:rPr>
        <w:noBreakHyphen/>
        <w:t>joint sur support papier.</w:t>
      </w:r>
    </w:p>
    <w:p w:rsidR="00B07993" w:rsidRPr="00753252" w:rsidRDefault="00B07993" w:rsidP="0004473F">
      <w:pPr>
        <w:spacing w:after="120"/>
        <w:jc w:val="both"/>
        <w:rPr>
          <w:lang w:val="fr-FR"/>
        </w:rPr>
      </w:pPr>
      <w:r w:rsidRPr="00753252">
        <w:rPr>
          <w:lang w:val="fr-FR"/>
        </w:rPr>
        <w:t xml:space="preserve">Une version anglaise de cette circulaire, de la note </w:t>
      </w:r>
      <w:r w:rsidR="00A92971" w:rsidRPr="00753252">
        <w:rPr>
          <w:lang w:val="fr-FR"/>
        </w:rPr>
        <w:t>méthodologique</w:t>
      </w:r>
      <w:r w:rsidRPr="00753252">
        <w:rPr>
          <w:lang w:val="fr-FR"/>
        </w:rPr>
        <w:t xml:space="preserve"> et du questionnaire sont disponibles sur le </w:t>
      </w:r>
      <w:r w:rsidR="000153C5" w:rsidRPr="00753252">
        <w:rPr>
          <w:lang w:val="fr-FR"/>
        </w:rPr>
        <w:t xml:space="preserve">site internet </w:t>
      </w:r>
      <w:r w:rsidRPr="00753252">
        <w:rPr>
          <w:lang w:val="fr-FR"/>
        </w:rPr>
        <w:t>de la Banque.</w:t>
      </w:r>
    </w:p>
    <w:p w:rsidR="0017325F" w:rsidRPr="00753252" w:rsidRDefault="0017325F" w:rsidP="0004473F">
      <w:pPr>
        <w:spacing w:after="120"/>
        <w:jc w:val="both"/>
        <w:rPr>
          <w:lang w:val="fr-FR"/>
        </w:rPr>
      </w:pPr>
      <w:r w:rsidRPr="00753252">
        <w:rPr>
          <w:lang w:val="fr-FR"/>
        </w:rPr>
        <w:t xml:space="preserve">Pour toute question relative à ce questionnaire, nous vous prions de vous adresser à </w:t>
      </w:r>
      <w:r w:rsidR="00410EB2">
        <w:rPr>
          <w:lang w:val="fr-FR"/>
        </w:rPr>
        <w:t xml:space="preserve">la nouvelle </w:t>
      </w:r>
      <w:r w:rsidRPr="00753252">
        <w:rPr>
          <w:lang w:val="fr-FR"/>
        </w:rPr>
        <w:t xml:space="preserve">équipe de contrôle </w:t>
      </w:r>
      <w:r w:rsidR="00410EB2">
        <w:rPr>
          <w:lang w:val="fr-FR"/>
        </w:rPr>
        <w:t xml:space="preserve">en matière de </w:t>
      </w:r>
      <w:r w:rsidR="00C71DD3">
        <w:rPr>
          <w:lang w:val="fr-FR"/>
        </w:rPr>
        <w:t>lutt</w:t>
      </w:r>
      <w:r w:rsidR="00410EB2">
        <w:rPr>
          <w:lang w:val="fr-FR"/>
        </w:rPr>
        <w:t xml:space="preserve">e contre le blanchiment et le financement du terrorisme, à l’adresse électronique </w:t>
      </w:r>
      <w:hyperlink r:id="rId10" w:history="1">
        <w:r w:rsidR="00410EB2" w:rsidRPr="00BF6291">
          <w:rPr>
            <w:rStyle w:val="Hyperlink"/>
            <w:lang w:val="nl-BE"/>
          </w:rPr>
          <w:t>supervision.ta.aml@nbb.be</w:t>
        </w:r>
      </w:hyperlink>
      <w:r w:rsidRPr="00753252">
        <w:rPr>
          <w:lang w:val="fr-FR"/>
        </w:rPr>
        <w:t xml:space="preserve">. </w:t>
      </w:r>
    </w:p>
    <w:p w:rsidR="0017325F" w:rsidRPr="00753252" w:rsidRDefault="0017325F" w:rsidP="0004473F">
      <w:pPr>
        <w:spacing w:after="120"/>
        <w:jc w:val="both"/>
        <w:rPr>
          <w:lang w:val="fr-FR"/>
        </w:rPr>
      </w:pPr>
      <w:r w:rsidRPr="00753252">
        <w:rPr>
          <w:lang w:val="fr-FR"/>
        </w:rPr>
        <w:t>Je vous prie d’agréer, Madame, Monsieur, l’expression</w:t>
      </w:r>
      <w:r w:rsidR="00233E73" w:rsidRPr="00753252">
        <w:rPr>
          <w:lang w:val="fr-FR"/>
        </w:rPr>
        <w:t xml:space="preserve"> de ma considération distinguée.</w:t>
      </w:r>
    </w:p>
    <w:p w:rsidR="0017325F" w:rsidRDefault="0017325F" w:rsidP="0004473F">
      <w:pPr>
        <w:spacing w:after="120"/>
        <w:jc w:val="both"/>
        <w:rPr>
          <w:lang w:val="fr-FR"/>
        </w:rPr>
      </w:pPr>
    </w:p>
    <w:p w:rsidR="00F53C7B" w:rsidRDefault="00F53C7B" w:rsidP="0004473F">
      <w:pPr>
        <w:spacing w:after="120"/>
        <w:jc w:val="both"/>
        <w:rPr>
          <w:lang w:val="fr-FR"/>
        </w:rPr>
      </w:pPr>
    </w:p>
    <w:p w:rsidR="00F53C7B" w:rsidRPr="00753252" w:rsidRDefault="00F53C7B" w:rsidP="0004473F">
      <w:pPr>
        <w:spacing w:after="120"/>
        <w:jc w:val="both"/>
        <w:rPr>
          <w:lang w:val="fr-FR"/>
        </w:rPr>
      </w:pPr>
    </w:p>
    <w:p w:rsidR="0017325F" w:rsidRPr="00753252" w:rsidRDefault="0017325F" w:rsidP="0004473F">
      <w:pPr>
        <w:spacing w:after="120"/>
        <w:jc w:val="both"/>
        <w:rPr>
          <w:lang w:val="fr-FR"/>
        </w:rPr>
      </w:pPr>
    </w:p>
    <w:p w:rsidR="0017325F" w:rsidRPr="00753252" w:rsidRDefault="00D26237" w:rsidP="0004473F">
      <w:pPr>
        <w:jc w:val="both"/>
        <w:rPr>
          <w:lang w:val="fr-FR"/>
        </w:rPr>
      </w:pPr>
      <w:r w:rsidRPr="00753252">
        <w:rPr>
          <w:lang w:val="fr-FR"/>
        </w:rPr>
        <w:t>Jan Smets</w:t>
      </w:r>
    </w:p>
    <w:p w:rsidR="00FF761F" w:rsidRPr="00753252" w:rsidRDefault="00233E73" w:rsidP="0004473F">
      <w:pPr>
        <w:spacing w:after="120"/>
        <w:jc w:val="both"/>
        <w:rPr>
          <w:lang w:val="fr-FR"/>
        </w:rPr>
      </w:pPr>
      <w:r w:rsidRPr="00753252">
        <w:rPr>
          <w:lang w:val="fr-FR"/>
        </w:rPr>
        <w:t>Gouverneur</w:t>
      </w:r>
    </w:p>
    <w:p w:rsidR="00233E73" w:rsidRPr="00753252" w:rsidRDefault="00FF761F" w:rsidP="0004473F">
      <w:pPr>
        <w:spacing w:before="240"/>
        <w:jc w:val="both"/>
        <w:rPr>
          <w:i/>
          <w:lang w:val="fr-FR"/>
        </w:rPr>
      </w:pPr>
      <w:r w:rsidRPr="00753252">
        <w:rPr>
          <w:i/>
          <w:lang w:val="fr-FR"/>
        </w:rPr>
        <w:t>Annexes: 2</w:t>
      </w:r>
    </w:p>
    <w:sectPr w:rsidR="00233E73" w:rsidRPr="00753252" w:rsidSect="00D850C8">
      <w:headerReference w:type="even" r:id="rId11"/>
      <w:headerReference w:type="default" r:id="rId12"/>
      <w:footerReference w:type="even" r:id="rId13"/>
      <w:footerReference w:type="defaul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DE" w:rsidRDefault="004D53DE">
      <w:r>
        <w:separator/>
      </w:r>
    </w:p>
  </w:endnote>
  <w:endnote w:type="continuationSeparator" w:id="0">
    <w:p w:rsidR="004D53DE" w:rsidRDefault="004D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CE7E73" w:rsidRDefault="00CE7E73" w:rsidP="00E87276">
    <w:pPr>
      <w:pStyle w:val="Footer"/>
      <w:pBdr>
        <w:top w:val="single" w:sz="4" w:space="1" w:color="auto"/>
      </w:pBdr>
      <w:rPr>
        <w:b/>
        <w:sz w:val="16"/>
        <w:szCs w:val="16"/>
        <w:lang w:val="nl-BE"/>
      </w:rPr>
    </w:pPr>
    <w:r w:rsidRPr="00BA7BB7">
      <w:rPr>
        <w:b/>
        <w:sz w:val="16"/>
        <w:szCs w:val="16"/>
        <w:lang w:val="nl-BE"/>
      </w:rPr>
      <w:t>Circulaire</w:t>
    </w:r>
    <w:r w:rsidRPr="00BA7BB7">
      <w:rPr>
        <w:rFonts w:cs="Arial"/>
        <w:b/>
        <w:sz w:val="16"/>
        <w:szCs w:val="16"/>
        <w:lang w:val="nl-BE"/>
      </w:rPr>
      <w:t> </w:t>
    </w:r>
    <w:r w:rsidRPr="00BA7BB7">
      <w:rPr>
        <w:rFonts w:cs="Arial"/>
        <w:b/>
        <w:sz w:val="16"/>
        <w:szCs w:val="16"/>
        <w:lang w:val="nl-BE"/>
      </w:rPr>
      <w:t>–</w:t>
    </w:r>
    <w:r w:rsidRPr="00BA7BB7">
      <w:rPr>
        <w:rFonts w:cs="Arial"/>
        <w:b/>
        <w:sz w:val="16"/>
        <w:szCs w:val="16"/>
        <w:lang w:val="nl-BE"/>
      </w:rPr>
      <w:t> </w:t>
    </w:r>
    <w:r w:rsidR="0017325F" w:rsidRPr="00BA7BB7">
      <w:rPr>
        <w:b/>
        <w:sz w:val="16"/>
        <w:szCs w:val="16"/>
        <w:lang w:val="nl-BE"/>
      </w:rPr>
      <w:t>p</w:t>
    </w:r>
    <w:r w:rsidRPr="00BA7BB7">
      <w:rPr>
        <w:b/>
        <w:sz w:val="16"/>
        <w:szCs w:val="16"/>
        <w:lang w:val="nl-BE"/>
      </w:rPr>
      <w:t xml:space="preserve">. </w:t>
    </w:r>
    <w:r w:rsidR="00F9150A" w:rsidRPr="00BA7BB7">
      <w:rPr>
        <w:b/>
        <w:sz w:val="16"/>
        <w:szCs w:val="16"/>
        <w:lang w:val="nl-BE"/>
      </w:rPr>
      <w:fldChar w:fldCharType="begin"/>
    </w:r>
    <w:r w:rsidRPr="00BA7BB7">
      <w:rPr>
        <w:b/>
        <w:sz w:val="16"/>
        <w:szCs w:val="16"/>
        <w:lang w:val="nl-BE"/>
      </w:rPr>
      <w:instrText xml:space="preserve"> PAGE   </w:instrText>
    </w:r>
    <w:r w:rsidR="00F9150A" w:rsidRPr="00BA7BB7">
      <w:rPr>
        <w:b/>
        <w:sz w:val="16"/>
        <w:szCs w:val="16"/>
        <w:lang w:val="nl-BE"/>
      </w:rPr>
      <w:fldChar w:fldCharType="separate"/>
    </w:r>
    <w:r w:rsidR="00835574">
      <w:rPr>
        <w:b/>
        <w:noProof/>
        <w:sz w:val="16"/>
        <w:szCs w:val="16"/>
        <w:lang w:val="nl-BE"/>
      </w:rPr>
      <w:t>2</w:t>
    </w:r>
    <w:r w:rsidR="00F9150A" w:rsidRPr="00BA7BB7">
      <w:rPr>
        <w:b/>
        <w:sz w:val="16"/>
        <w:szCs w:val="16"/>
        <w:lang w:val="nl-BE"/>
      </w:rPr>
      <w:fldChar w:fldCharType="end"/>
    </w:r>
    <w:r w:rsidRPr="00BA7BB7">
      <w:rPr>
        <w:b/>
        <w:sz w:val="16"/>
        <w:szCs w:val="16"/>
        <w:lang w:val="nl-BE"/>
      </w:rPr>
      <w:t>/</w:t>
    </w:r>
    <w:r w:rsidR="00F9150A" w:rsidRPr="00BA7BB7">
      <w:rPr>
        <w:b/>
        <w:sz w:val="16"/>
        <w:szCs w:val="16"/>
        <w:lang w:val="nl-BE"/>
      </w:rPr>
      <w:fldChar w:fldCharType="begin"/>
    </w:r>
    <w:r w:rsidRPr="00BA7BB7">
      <w:rPr>
        <w:b/>
        <w:sz w:val="16"/>
        <w:szCs w:val="16"/>
        <w:lang w:val="nl-BE"/>
      </w:rPr>
      <w:instrText xml:space="preserve"> NUMPAGES   </w:instrText>
    </w:r>
    <w:r w:rsidR="00F9150A" w:rsidRPr="00BA7BB7">
      <w:rPr>
        <w:b/>
        <w:sz w:val="16"/>
        <w:szCs w:val="16"/>
        <w:lang w:val="nl-BE"/>
      </w:rPr>
      <w:fldChar w:fldCharType="separate"/>
    </w:r>
    <w:r w:rsidR="00835574">
      <w:rPr>
        <w:b/>
        <w:noProof/>
        <w:sz w:val="16"/>
        <w:szCs w:val="16"/>
        <w:lang w:val="nl-BE"/>
      </w:rPr>
      <w:t>3</w:t>
    </w:r>
    <w:r w:rsidR="00F9150A" w:rsidRPr="00BA7BB7">
      <w:rPr>
        <w:b/>
        <w:sz w:val="16"/>
        <w:szCs w:val="16"/>
        <w:lang w:val="nl-BE"/>
      </w:rPr>
      <w:fldChar w:fldCharType="end"/>
    </w:r>
    <w:r w:rsidRPr="00BA7BB7">
      <w:rPr>
        <w:b/>
        <w:sz w:val="16"/>
        <w:szCs w:val="16"/>
        <w:lang w:val="nl-BE"/>
      </w:rPr>
      <w:tab/>
    </w:r>
    <w:r w:rsidR="0004473F" w:rsidRPr="0004473F">
      <w:rPr>
        <w:sz w:val="14"/>
        <w:szCs w:val="16"/>
        <w:lang w:val="nl-BE"/>
      </w:rPr>
      <w:t>NBB_2016_42</w:t>
    </w:r>
    <w:r w:rsidR="0004473F" w:rsidRPr="0004473F">
      <w:rPr>
        <w:rFonts w:cs="Arial"/>
        <w:sz w:val="14"/>
        <w:szCs w:val="16"/>
        <w:lang w:val="nl-BE"/>
      </w:rPr>
      <w:t> </w:t>
    </w:r>
    <w:r w:rsidR="0004473F" w:rsidRPr="0004473F">
      <w:rPr>
        <w:rFonts w:cs="Arial"/>
        <w:sz w:val="14"/>
        <w:szCs w:val="16"/>
        <w:lang w:val="nl-BE"/>
      </w:rPr>
      <w:t>–</w:t>
    </w:r>
    <w:r w:rsidR="0004473F" w:rsidRPr="0004473F">
      <w:rPr>
        <w:rFonts w:cs="Arial"/>
        <w:sz w:val="14"/>
        <w:szCs w:val="16"/>
        <w:lang w:val="nl-BE"/>
      </w:rPr>
      <w:t> </w:t>
    </w:r>
    <w:r w:rsidR="0004473F" w:rsidRPr="0004473F">
      <w:rPr>
        <w:sz w:val="14"/>
        <w:szCs w:val="16"/>
        <w:lang w:val="nl-BE"/>
      </w:rPr>
      <w:t xml:space="preserve">26 </w:t>
    </w:r>
    <w:proofErr w:type="spellStart"/>
    <w:r w:rsidR="0004473F" w:rsidRPr="0004473F">
      <w:rPr>
        <w:sz w:val="14"/>
        <w:szCs w:val="16"/>
        <w:lang w:val="nl-BE"/>
      </w:rPr>
      <w:t>octobre</w:t>
    </w:r>
    <w:proofErr w:type="spellEnd"/>
    <w:r w:rsidR="0004473F" w:rsidRPr="0004473F">
      <w:rPr>
        <w:sz w:val="14"/>
        <w:szCs w:val="16"/>
        <w:lang w:val="nl-BE"/>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17325F" w:rsidRDefault="00CE7E73" w:rsidP="00F64E38">
    <w:pPr>
      <w:pStyle w:val="Footer"/>
      <w:pBdr>
        <w:top w:val="single" w:sz="4" w:space="1" w:color="auto"/>
      </w:pBdr>
      <w:rPr>
        <w:b/>
        <w:sz w:val="16"/>
        <w:szCs w:val="14"/>
        <w:lang w:val="fr-BE"/>
      </w:rPr>
    </w:pPr>
    <w:r w:rsidRPr="0017325F">
      <w:rPr>
        <w:b/>
        <w:sz w:val="16"/>
        <w:szCs w:val="14"/>
        <w:lang w:val="fr-BE"/>
      </w:rPr>
      <w:tab/>
    </w:r>
    <w:r w:rsidR="0004473F" w:rsidRPr="0004473F">
      <w:rPr>
        <w:sz w:val="14"/>
        <w:szCs w:val="16"/>
        <w:lang w:val="nl-BE"/>
      </w:rPr>
      <w:t>NBB_2016_42</w:t>
    </w:r>
    <w:r w:rsidR="0004473F" w:rsidRPr="0004473F">
      <w:rPr>
        <w:rFonts w:cs="Arial"/>
        <w:sz w:val="14"/>
        <w:szCs w:val="16"/>
        <w:lang w:val="nl-BE"/>
      </w:rPr>
      <w:t> </w:t>
    </w:r>
    <w:r w:rsidR="0004473F" w:rsidRPr="0004473F">
      <w:rPr>
        <w:rFonts w:cs="Arial"/>
        <w:sz w:val="14"/>
        <w:szCs w:val="16"/>
        <w:lang w:val="nl-BE"/>
      </w:rPr>
      <w:t>–</w:t>
    </w:r>
    <w:r w:rsidR="0004473F" w:rsidRPr="0004473F">
      <w:rPr>
        <w:rFonts w:cs="Arial"/>
        <w:sz w:val="14"/>
        <w:szCs w:val="16"/>
        <w:lang w:val="nl-BE"/>
      </w:rPr>
      <w:t> </w:t>
    </w:r>
    <w:r w:rsidR="0004473F" w:rsidRPr="0004473F">
      <w:rPr>
        <w:sz w:val="14"/>
        <w:szCs w:val="16"/>
        <w:lang w:val="nl-BE"/>
      </w:rPr>
      <w:t xml:space="preserve">26 </w:t>
    </w:r>
    <w:proofErr w:type="spellStart"/>
    <w:r w:rsidR="0004473F" w:rsidRPr="0004473F">
      <w:rPr>
        <w:sz w:val="14"/>
        <w:szCs w:val="16"/>
        <w:lang w:val="nl-BE"/>
      </w:rPr>
      <w:t>octobre</w:t>
    </w:r>
    <w:proofErr w:type="spellEnd"/>
    <w:r w:rsidR="0004473F" w:rsidRPr="0004473F">
      <w:rPr>
        <w:sz w:val="14"/>
        <w:szCs w:val="16"/>
        <w:lang w:val="nl-BE"/>
      </w:rPr>
      <w:t xml:space="preserve"> 2016</w:t>
    </w:r>
    <w:r w:rsidRPr="00BA7BB7">
      <w:rPr>
        <w:b/>
        <w:sz w:val="16"/>
        <w:szCs w:val="14"/>
        <w:lang w:val="fr-BE"/>
      </w:rPr>
      <w:tab/>
      <w:t>Circulaire</w:t>
    </w:r>
    <w:r w:rsidRPr="00BA7BB7">
      <w:rPr>
        <w:rFonts w:cs="Arial"/>
        <w:b/>
        <w:sz w:val="16"/>
        <w:szCs w:val="14"/>
        <w:lang w:val="fr-BE"/>
      </w:rPr>
      <w:t> </w:t>
    </w:r>
    <w:r w:rsidRPr="00BA7BB7">
      <w:rPr>
        <w:rFonts w:cs="Arial"/>
        <w:b/>
        <w:sz w:val="16"/>
        <w:szCs w:val="14"/>
        <w:lang w:val="fr-BE"/>
      </w:rPr>
      <w:t>–</w:t>
    </w:r>
    <w:r w:rsidRPr="00BA7BB7">
      <w:rPr>
        <w:rFonts w:cs="Arial"/>
        <w:b/>
        <w:sz w:val="16"/>
        <w:szCs w:val="14"/>
        <w:lang w:val="fr-BE"/>
      </w:rPr>
      <w:t> </w:t>
    </w:r>
    <w:r w:rsidR="0017325F" w:rsidRPr="00BA7BB7">
      <w:rPr>
        <w:b/>
        <w:sz w:val="16"/>
        <w:szCs w:val="14"/>
        <w:lang w:val="fr-BE"/>
      </w:rPr>
      <w:t>p</w:t>
    </w:r>
    <w:r w:rsidRPr="00BA7BB7">
      <w:rPr>
        <w:b/>
        <w:sz w:val="16"/>
        <w:szCs w:val="14"/>
        <w:lang w:val="fr-BE"/>
      </w:rPr>
      <w:t xml:space="preserve">. </w:t>
    </w:r>
    <w:r w:rsidR="00F9150A" w:rsidRPr="00BA7BB7">
      <w:rPr>
        <w:b/>
        <w:sz w:val="16"/>
        <w:szCs w:val="14"/>
        <w:lang w:val="fr-BE"/>
      </w:rPr>
      <w:fldChar w:fldCharType="begin"/>
    </w:r>
    <w:r w:rsidRPr="00BA7BB7">
      <w:rPr>
        <w:b/>
        <w:sz w:val="16"/>
        <w:szCs w:val="14"/>
        <w:lang w:val="fr-BE"/>
      </w:rPr>
      <w:instrText xml:space="preserve"> PAGE   </w:instrText>
    </w:r>
    <w:r w:rsidR="00F9150A" w:rsidRPr="00BA7BB7">
      <w:rPr>
        <w:b/>
        <w:sz w:val="16"/>
        <w:szCs w:val="14"/>
        <w:lang w:val="fr-BE"/>
      </w:rPr>
      <w:fldChar w:fldCharType="separate"/>
    </w:r>
    <w:r w:rsidR="00835574">
      <w:rPr>
        <w:b/>
        <w:noProof/>
        <w:sz w:val="16"/>
        <w:szCs w:val="14"/>
        <w:lang w:val="fr-BE"/>
      </w:rPr>
      <w:t>3</w:t>
    </w:r>
    <w:r w:rsidR="00F9150A" w:rsidRPr="00BA7BB7">
      <w:rPr>
        <w:b/>
        <w:sz w:val="16"/>
        <w:szCs w:val="14"/>
        <w:lang w:val="fr-BE"/>
      </w:rPr>
      <w:fldChar w:fldCharType="end"/>
    </w:r>
    <w:r w:rsidRPr="00BA7BB7">
      <w:rPr>
        <w:b/>
        <w:sz w:val="16"/>
        <w:szCs w:val="14"/>
        <w:lang w:val="fr-BE"/>
      </w:rPr>
      <w:t>/</w:t>
    </w:r>
    <w:r w:rsidR="00F9150A" w:rsidRPr="00BA7BB7">
      <w:rPr>
        <w:b/>
        <w:sz w:val="16"/>
        <w:szCs w:val="14"/>
        <w:lang w:val="fr-BE"/>
      </w:rPr>
      <w:fldChar w:fldCharType="begin"/>
    </w:r>
    <w:r w:rsidRPr="00BA7BB7">
      <w:rPr>
        <w:b/>
        <w:sz w:val="16"/>
        <w:szCs w:val="14"/>
        <w:lang w:val="fr-BE"/>
      </w:rPr>
      <w:instrText xml:space="preserve"> NUMPAGES   </w:instrText>
    </w:r>
    <w:r w:rsidR="00F9150A" w:rsidRPr="00BA7BB7">
      <w:rPr>
        <w:b/>
        <w:sz w:val="16"/>
        <w:szCs w:val="14"/>
        <w:lang w:val="fr-BE"/>
      </w:rPr>
      <w:fldChar w:fldCharType="separate"/>
    </w:r>
    <w:r w:rsidR="00835574">
      <w:rPr>
        <w:b/>
        <w:noProof/>
        <w:sz w:val="16"/>
        <w:szCs w:val="14"/>
        <w:lang w:val="fr-BE"/>
      </w:rPr>
      <w:t>3</w:t>
    </w:r>
    <w:r w:rsidR="00F9150A" w:rsidRPr="00BA7BB7">
      <w:rPr>
        <w:b/>
        <w:sz w:val="16"/>
        <w:szCs w:val="14"/>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CE7E73" w:rsidRDefault="00CE7E73" w:rsidP="00CB2202">
    <w:pPr>
      <w:pStyle w:val="Footer"/>
      <w:pBdr>
        <w:top w:val="single" w:sz="4" w:space="1" w:color="auto"/>
      </w:pBdr>
      <w:rPr>
        <w:b/>
        <w:sz w:val="16"/>
        <w:szCs w:val="16"/>
        <w:lang w:val="nl-BE"/>
      </w:rPr>
    </w:pPr>
    <w:r>
      <w:rPr>
        <w:b/>
        <w:sz w:val="16"/>
        <w:szCs w:val="16"/>
        <w:lang w:val="nl-BE"/>
      </w:rPr>
      <w:tab/>
    </w:r>
    <w:r w:rsidR="00E131EB" w:rsidRPr="0004473F">
      <w:rPr>
        <w:sz w:val="14"/>
        <w:szCs w:val="16"/>
        <w:lang w:val="nl-BE"/>
      </w:rPr>
      <w:t>NBB_</w:t>
    </w:r>
    <w:r w:rsidR="006B1F5D" w:rsidRPr="0004473F">
      <w:rPr>
        <w:sz w:val="14"/>
        <w:szCs w:val="16"/>
        <w:lang w:val="nl-BE"/>
      </w:rPr>
      <w:t>201</w:t>
    </w:r>
    <w:r w:rsidR="007958EC" w:rsidRPr="0004473F">
      <w:rPr>
        <w:sz w:val="14"/>
        <w:szCs w:val="16"/>
        <w:lang w:val="nl-BE"/>
      </w:rPr>
      <w:t>6</w:t>
    </w:r>
    <w:r w:rsidR="00E131EB" w:rsidRPr="0004473F">
      <w:rPr>
        <w:sz w:val="14"/>
        <w:szCs w:val="16"/>
        <w:lang w:val="nl-BE"/>
      </w:rPr>
      <w:t>_</w:t>
    </w:r>
    <w:r w:rsidR="0004473F" w:rsidRPr="0004473F">
      <w:rPr>
        <w:sz w:val="14"/>
        <w:szCs w:val="16"/>
        <w:lang w:val="nl-BE"/>
      </w:rPr>
      <w:t>42</w:t>
    </w:r>
    <w:r w:rsidR="00E131EB" w:rsidRPr="0004473F">
      <w:rPr>
        <w:rFonts w:cs="Arial"/>
        <w:sz w:val="14"/>
        <w:szCs w:val="16"/>
        <w:lang w:val="nl-BE"/>
      </w:rPr>
      <w:t> </w:t>
    </w:r>
    <w:r w:rsidR="00E131EB" w:rsidRPr="0004473F">
      <w:rPr>
        <w:rFonts w:cs="Arial"/>
        <w:sz w:val="14"/>
        <w:szCs w:val="16"/>
        <w:lang w:val="nl-BE"/>
      </w:rPr>
      <w:t>–</w:t>
    </w:r>
    <w:r w:rsidR="00E131EB" w:rsidRPr="0004473F">
      <w:rPr>
        <w:rFonts w:cs="Arial"/>
        <w:sz w:val="14"/>
        <w:szCs w:val="16"/>
        <w:lang w:val="nl-BE"/>
      </w:rPr>
      <w:t> </w:t>
    </w:r>
    <w:r w:rsidR="0004473F" w:rsidRPr="0004473F">
      <w:rPr>
        <w:sz w:val="14"/>
        <w:szCs w:val="16"/>
        <w:lang w:val="nl-BE"/>
      </w:rPr>
      <w:t xml:space="preserve">26 </w:t>
    </w:r>
    <w:proofErr w:type="spellStart"/>
    <w:r w:rsidR="0004473F" w:rsidRPr="0004473F">
      <w:rPr>
        <w:sz w:val="14"/>
        <w:szCs w:val="16"/>
        <w:lang w:val="nl-BE"/>
      </w:rPr>
      <w:t>octobre</w:t>
    </w:r>
    <w:proofErr w:type="spellEnd"/>
    <w:r w:rsidR="00E131EB" w:rsidRPr="0004473F">
      <w:rPr>
        <w:sz w:val="14"/>
        <w:szCs w:val="16"/>
        <w:lang w:val="nl-BE"/>
      </w:rPr>
      <w:t xml:space="preserve"> </w:t>
    </w:r>
    <w:r w:rsidR="006B1F5D" w:rsidRPr="0004473F">
      <w:rPr>
        <w:sz w:val="14"/>
        <w:szCs w:val="16"/>
        <w:lang w:val="nl-BE"/>
      </w:rPr>
      <w:t>201</w:t>
    </w:r>
    <w:r w:rsidR="007958EC" w:rsidRPr="0004473F">
      <w:rPr>
        <w:sz w:val="14"/>
        <w:szCs w:val="16"/>
        <w:lang w:val="nl-BE"/>
      </w:rPr>
      <w:t>6</w:t>
    </w:r>
    <w:r w:rsidRPr="00BA7BB7">
      <w:rPr>
        <w:b/>
        <w:sz w:val="16"/>
        <w:szCs w:val="16"/>
        <w:lang w:val="nl-BE"/>
      </w:rPr>
      <w:tab/>
      <w:t>Circulaire</w:t>
    </w:r>
    <w:r w:rsidRPr="00BA7BB7">
      <w:rPr>
        <w:rFonts w:cs="Arial"/>
        <w:b/>
        <w:sz w:val="16"/>
        <w:szCs w:val="16"/>
        <w:lang w:val="nl-BE"/>
      </w:rPr>
      <w:t> </w:t>
    </w:r>
    <w:r w:rsidRPr="00BA7BB7">
      <w:rPr>
        <w:rFonts w:cs="Arial"/>
        <w:b/>
        <w:sz w:val="16"/>
        <w:szCs w:val="16"/>
        <w:lang w:val="nl-BE"/>
      </w:rPr>
      <w:t>–</w:t>
    </w:r>
    <w:r w:rsidRPr="00BA7BB7">
      <w:rPr>
        <w:rFonts w:cs="Arial"/>
        <w:b/>
        <w:sz w:val="16"/>
        <w:szCs w:val="16"/>
        <w:lang w:val="nl-BE"/>
      </w:rPr>
      <w:t> </w:t>
    </w:r>
    <w:r w:rsidR="0017325F" w:rsidRPr="00BA7BB7">
      <w:rPr>
        <w:b/>
        <w:sz w:val="16"/>
        <w:szCs w:val="16"/>
        <w:lang w:val="nl-BE"/>
      </w:rPr>
      <w:t>p</w:t>
    </w:r>
    <w:r w:rsidRPr="00BA7BB7">
      <w:rPr>
        <w:b/>
        <w:sz w:val="16"/>
        <w:szCs w:val="16"/>
        <w:lang w:val="nl-BE"/>
      </w:rPr>
      <w:t xml:space="preserve">. </w:t>
    </w:r>
    <w:r w:rsidR="00F9150A" w:rsidRPr="00BA7BB7">
      <w:rPr>
        <w:b/>
        <w:sz w:val="16"/>
        <w:szCs w:val="16"/>
        <w:lang w:val="nl-BE"/>
      </w:rPr>
      <w:fldChar w:fldCharType="begin"/>
    </w:r>
    <w:r w:rsidRPr="00BA7BB7">
      <w:rPr>
        <w:b/>
        <w:sz w:val="16"/>
        <w:szCs w:val="16"/>
        <w:lang w:val="nl-BE"/>
      </w:rPr>
      <w:instrText xml:space="preserve"> PAGE   </w:instrText>
    </w:r>
    <w:r w:rsidR="00F9150A" w:rsidRPr="00BA7BB7">
      <w:rPr>
        <w:b/>
        <w:sz w:val="16"/>
        <w:szCs w:val="16"/>
        <w:lang w:val="nl-BE"/>
      </w:rPr>
      <w:fldChar w:fldCharType="separate"/>
    </w:r>
    <w:r w:rsidR="00835574">
      <w:rPr>
        <w:b/>
        <w:noProof/>
        <w:sz w:val="16"/>
        <w:szCs w:val="16"/>
        <w:lang w:val="nl-BE"/>
      </w:rPr>
      <w:t>1</w:t>
    </w:r>
    <w:r w:rsidR="00F9150A" w:rsidRPr="00BA7BB7">
      <w:rPr>
        <w:b/>
        <w:sz w:val="16"/>
        <w:szCs w:val="16"/>
        <w:lang w:val="nl-BE"/>
      </w:rPr>
      <w:fldChar w:fldCharType="end"/>
    </w:r>
    <w:r w:rsidRPr="00BA7BB7">
      <w:rPr>
        <w:b/>
        <w:sz w:val="16"/>
        <w:szCs w:val="16"/>
        <w:lang w:val="nl-BE"/>
      </w:rPr>
      <w:t>/</w:t>
    </w:r>
    <w:r w:rsidR="00F9150A" w:rsidRPr="00BA7BB7">
      <w:rPr>
        <w:b/>
        <w:sz w:val="16"/>
        <w:szCs w:val="16"/>
        <w:lang w:val="nl-BE"/>
      </w:rPr>
      <w:fldChar w:fldCharType="begin"/>
    </w:r>
    <w:r w:rsidRPr="00BA7BB7">
      <w:rPr>
        <w:b/>
        <w:sz w:val="16"/>
        <w:szCs w:val="16"/>
        <w:lang w:val="nl-BE"/>
      </w:rPr>
      <w:instrText xml:space="preserve"> NUMPAGES   </w:instrText>
    </w:r>
    <w:r w:rsidR="00F9150A" w:rsidRPr="00BA7BB7">
      <w:rPr>
        <w:b/>
        <w:sz w:val="16"/>
        <w:szCs w:val="16"/>
        <w:lang w:val="nl-BE"/>
      </w:rPr>
      <w:fldChar w:fldCharType="separate"/>
    </w:r>
    <w:r w:rsidR="00835574">
      <w:rPr>
        <w:b/>
        <w:noProof/>
        <w:sz w:val="16"/>
        <w:szCs w:val="16"/>
        <w:lang w:val="nl-BE"/>
      </w:rPr>
      <w:t>3</w:t>
    </w:r>
    <w:r w:rsidR="00F9150A" w:rsidRPr="00BA7BB7">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DE" w:rsidRPr="00117F31" w:rsidRDefault="004D53DE" w:rsidP="00117F31">
      <w:pPr>
        <w:pStyle w:val="Footer"/>
      </w:pPr>
    </w:p>
  </w:footnote>
  <w:footnote w:type="continuationSeparator" w:id="0">
    <w:p w:rsidR="004D53DE" w:rsidRPr="00117F31" w:rsidRDefault="004D53DE" w:rsidP="00117F31">
      <w:pPr>
        <w:pStyle w:val="Footer"/>
      </w:pPr>
    </w:p>
  </w:footnote>
  <w:footnote w:type="continuationNotice" w:id="1">
    <w:p w:rsidR="004D53DE" w:rsidRDefault="004D5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834419"/>
    <w:multiLevelType w:val="hybridMultilevel"/>
    <w:tmpl w:val="600640F6"/>
    <w:lvl w:ilvl="0" w:tplc="AF8E66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65392"/>
    <w:multiLevelType w:val="hybridMultilevel"/>
    <w:tmpl w:val="8A5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nsid w:val="3B741BD0"/>
    <w:multiLevelType w:val="hybridMultilevel"/>
    <w:tmpl w:val="3F286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E5166D7"/>
    <w:multiLevelType w:val="hybridMultilevel"/>
    <w:tmpl w:val="56D0C27C"/>
    <w:lvl w:ilvl="0" w:tplc="35C897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8">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EE3C9C"/>
    <w:multiLevelType w:val="hybridMultilevel"/>
    <w:tmpl w:val="19F4F6B8"/>
    <w:lvl w:ilvl="0" w:tplc="91AACE0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920C4"/>
    <w:multiLevelType w:val="hybridMultilevel"/>
    <w:tmpl w:val="8A40273A"/>
    <w:lvl w:ilvl="0" w:tplc="7A045E3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5">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3"/>
  </w:num>
  <w:num w:numId="13">
    <w:abstractNumId w:val="33"/>
  </w:num>
  <w:num w:numId="14">
    <w:abstractNumId w:val="25"/>
  </w:num>
  <w:num w:numId="15">
    <w:abstractNumId w:val="21"/>
  </w:num>
  <w:num w:numId="16">
    <w:abstractNumId w:val="13"/>
  </w:num>
  <w:num w:numId="17">
    <w:abstractNumId w:val="34"/>
  </w:num>
  <w:num w:numId="18">
    <w:abstractNumId w:val="12"/>
  </w:num>
  <w:num w:numId="19">
    <w:abstractNumId w:val="16"/>
  </w:num>
  <w:num w:numId="20">
    <w:abstractNumId w:val="35"/>
  </w:num>
  <w:num w:numId="21">
    <w:abstractNumId w:val="11"/>
  </w:num>
  <w:num w:numId="22">
    <w:abstractNumId w:val="26"/>
  </w:num>
  <w:num w:numId="23">
    <w:abstractNumId w:val="31"/>
  </w:num>
  <w:num w:numId="24">
    <w:abstractNumId w:val="18"/>
  </w:num>
  <w:num w:numId="25">
    <w:abstractNumId w:val="17"/>
  </w:num>
  <w:num w:numId="26">
    <w:abstractNumId w:val="27"/>
  </w:num>
  <w:num w:numId="27">
    <w:abstractNumId w:val="10"/>
  </w:num>
  <w:num w:numId="28">
    <w:abstractNumId w:val="19"/>
  </w:num>
  <w:num w:numId="29">
    <w:abstractNumId w:val="32"/>
  </w:num>
  <w:num w:numId="30">
    <w:abstractNumId w:val="24"/>
  </w:num>
  <w:num w:numId="31">
    <w:abstractNumId w:val="15"/>
  </w:num>
  <w:num w:numId="32">
    <w:abstractNumId w:val="29"/>
  </w:num>
  <w:num w:numId="33">
    <w:abstractNumId w:val="22"/>
  </w:num>
  <w:num w:numId="34">
    <w:abstractNumId w:val="30"/>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70"/>
    <w:rsid w:val="000153C5"/>
    <w:rsid w:val="00020EA2"/>
    <w:rsid w:val="000214CC"/>
    <w:rsid w:val="00024A9E"/>
    <w:rsid w:val="000327D2"/>
    <w:rsid w:val="0003333C"/>
    <w:rsid w:val="00036E81"/>
    <w:rsid w:val="00041D21"/>
    <w:rsid w:val="0004319E"/>
    <w:rsid w:val="0004473F"/>
    <w:rsid w:val="0004570B"/>
    <w:rsid w:val="00051F2C"/>
    <w:rsid w:val="00053EEF"/>
    <w:rsid w:val="00062C1B"/>
    <w:rsid w:val="00064AC6"/>
    <w:rsid w:val="00071268"/>
    <w:rsid w:val="000728E0"/>
    <w:rsid w:val="00081939"/>
    <w:rsid w:val="00082FA7"/>
    <w:rsid w:val="000869C2"/>
    <w:rsid w:val="00090275"/>
    <w:rsid w:val="00097598"/>
    <w:rsid w:val="000A1DA9"/>
    <w:rsid w:val="000B6441"/>
    <w:rsid w:val="000C35AA"/>
    <w:rsid w:val="000C37AB"/>
    <w:rsid w:val="000D10C0"/>
    <w:rsid w:val="000D405E"/>
    <w:rsid w:val="000E0090"/>
    <w:rsid w:val="000E2A68"/>
    <w:rsid w:val="000F1EB6"/>
    <w:rsid w:val="000F62F1"/>
    <w:rsid w:val="000F7268"/>
    <w:rsid w:val="000F7C34"/>
    <w:rsid w:val="00101697"/>
    <w:rsid w:val="001103D5"/>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62B"/>
    <w:rsid w:val="00167ACD"/>
    <w:rsid w:val="00172DAF"/>
    <w:rsid w:val="0017325F"/>
    <w:rsid w:val="00175ADE"/>
    <w:rsid w:val="001763C2"/>
    <w:rsid w:val="001767CB"/>
    <w:rsid w:val="0018615D"/>
    <w:rsid w:val="00186EC7"/>
    <w:rsid w:val="0019158E"/>
    <w:rsid w:val="001917CC"/>
    <w:rsid w:val="00197FEB"/>
    <w:rsid w:val="001A1D68"/>
    <w:rsid w:val="001A68C1"/>
    <w:rsid w:val="001A7DC7"/>
    <w:rsid w:val="001B056D"/>
    <w:rsid w:val="001B3175"/>
    <w:rsid w:val="001B4EEE"/>
    <w:rsid w:val="001B7C46"/>
    <w:rsid w:val="001B7F21"/>
    <w:rsid w:val="001D503F"/>
    <w:rsid w:val="001F0A45"/>
    <w:rsid w:val="001F1805"/>
    <w:rsid w:val="001F63E6"/>
    <w:rsid w:val="001F711D"/>
    <w:rsid w:val="00200D79"/>
    <w:rsid w:val="00202B0B"/>
    <w:rsid w:val="00204BE8"/>
    <w:rsid w:val="00215E02"/>
    <w:rsid w:val="00220D26"/>
    <w:rsid w:val="00221231"/>
    <w:rsid w:val="00223911"/>
    <w:rsid w:val="00230453"/>
    <w:rsid w:val="002307B0"/>
    <w:rsid w:val="00231694"/>
    <w:rsid w:val="002333AF"/>
    <w:rsid w:val="00233828"/>
    <w:rsid w:val="00233E73"/>
    <w:rsid w:val="002406B2"/>
    <w:rsid w:val="002477FA"/>
    <w:rsid w:val="0025136E"/>
    <w:rsid w:val="002554D2"/>
    <w:rsid w:val="00261D63"/>
    <w:rsid w:val="00271B3F"/>
    <w:rsid w:val="002754A4"/>
    <w:rsid w:val="00275C1C"/>
    <w:rsid w:val="00276804"/>
    <w:rsid w:val="00277EDB"/>
    <w:rsid w:val="002859A3"/>
    <w:rsid w:val="00287538"/>
    <w:rsid w:val="0028790D"/>
    <w:rsid w:val="002B46DC"/>
    <w:rsid w:val="002B5743"/>
    <w:rsid w:val="002C01F3"/>
    <w:rsid w:val="002D5723"/>
    <w:rsid w:val="002D75B3"/>
    <w:rsid w:val="002E10A2"/>
    <w:rsid w:val="002E15B9"/>
    <w:rsid w:val="002E409B"/>
    <w:rsid w:val="002E5144"/>
    <w:rsid w:val="002F1611"/>
    <w:rsid w:val="002F4031"/>
    <w:rsid w:val="00303375"/>
    <w:rsid w:val="003116AA"/>
    <w:rsid w:val="003135E6"/>
    <w:rsid w:val="003364D4"/>
    <w:rsid w:val="00336912"/>
    <w:rsid w:val="003419C5"/>
    <w:rsid w:val="00346810"/>
    <w:rsid w:val="00346C0D"/>
    <w:rsid w:val="00352B22"/>
    <w:rsid w:val="00353178"/>
    <w:rsid w:val="00353E3D"/>
    <w:rsid w:val="00354956"/>
    <w:rsid w:val="00362513"/>
    <w:rsid w:val="00365065"/>
    <w:rsid w:val="00365FFE"/>
    <w:rsid w:val="00370E00"/>
    <w:rsid w:val="00377371"/>
    <w:rsid w:val="003802EE"/>
    <w:rsid w:val="0038095A"/>
    <w:rsid w:val="00381F4A"/>
    <w:rsid w:val="00383392"/>
    <w:rsid w:val="00387716"/>
    <w:rsid w:val="00395A49"/>
    <w:rsid w:val="00397DDA"/>
    <w:rsid w:val="003A2ABA"/>
    <w:rsid w:val="003B1662"/>
    <w:rsid w:val="003B7866"/>
    <w:rsid w:val="003D7096"/>
    <w:rsid w:val="003E4928"/>
    <w:rsid w:val="003E5FF4"/>
    <w:rsid w:val="003E6D17"/>
    <w:rsid w:val="003F2836"/>
    <w:rsid w:val="003F792F"/>
    <w:rsid w:val="004003CC"/>
    <w:rsid w:val="00407822"/>
    <w:rsid w:val="00410EB2"/>
    <w:rsid w:val="00412C56"/>
    <w:rsid w:val="00421255"/>
    <w:rsid w:val="0042595A"/>
    <w:rsid w:val="004275C8"/>
    <w:rsid w:val="0043105D"/>
    <w:rsid w:val="004449B7"/>
    <w:rsid w:val="00450949"/>
    <w:rsid w:val="004540E1"/>
    <w:rsid w:val="00454C65"/>
    <w:rsid w:val="00456DEB"/>
    <w:rsid w:val="004619EE"/>
    <w:rsid w:val="00464101"/>
    <w:rsid w:val="004679FA"/>
    <w:rsid w:val="00467DE5"/>
    <w:rsid w:val="00477F18"/>
    <w:rsid w:val="00485F3C"/>
    <w:rsid w:val="00497B68"/>
    <w:rsid w:val="004A3C22"/>
    <w:rsid w:val="004A477F"/>
    <w:rsid w:val="004A4C5C"/>
    <w:rsid w:val="004B400F"/>
    <w:rsid w:val="004C14FA"/>
    <w:rsid w:val="004C2424"/>
    <w:rsid w:val="004C4FEE"/>
    <w:rsid w:val="004D12DD"/>
    <w:rsid w:val="004D53DE"/>
    <w:rsid w:val="004E136D"/>
    <w:rsid w:val="004F04DA"/>
    <w:rsid w:val="004F0F6B"/>
    <w:rsid w:val="004F41BA"/>
    <w:rsid w:val="005033DA"/>
    <w:rsid w:val="0050792E"/>
    <w:rsid w:val="0051268A"/>
    <w:rsid w:val="00515166"/>
    <w:rsid w:val="00552963"/>
    <w:rsid w:val="0055492B"/>
    <w:rsid w:val="00555437"/>
    <w:rsid w:val="00557A3F"/>
    <w:rsid w:val="0056043D"/>
    <w:rsid w:val="005616A3"/>
    <w:rsid w:val="00561A9A"/>
    <w:rsid w:val="00567693"/>
    <w:rsid w:val="00571A24"/>
    <w:rsid w:val="00582D56"/>
    <w:rsid w:val="00592469"/>
    <w:rsid w:val="00592957"/>
    <w:rsid w:val="005932C7"/>
    <w:rsid w:val="0059396D"/>
    <w:rsid w:val="005A2EC4"/>
    <w:rsid w:val="005A3DA7"/>
    <w:rsid w:val="005B4C1C"/>
    <w:rsid w:val="005B5873"/>
    <w:rsid w:val="005C1B25"/>
    <w:rsid w:val="005C3450"/>
    <w:rsid w:val="005C3F84"/>
    <w:rsid w:val="005E09D9"/>
    <w:rsid w:val="005E33F6"/>
    <w:rsid w:val="00604CBE"/>
    <w:rsid w:val="006107D5"/>
    <w:rsid w:val="00610B4E"/>
    <w:rsid w:val="00611E02"/>
    <w:rsid w:val="00627AF2"/>
    <w:rsid w:val="0063089E"/>
    <w:rsid w:val="006316A4"/>
    <w:rsid w:val="00631E3C"/>
    <w:rsid w:val="00634558"/>
    <w:rsid w:val="00635AD7"/>
    <w:rsid w:val="00635DCE"/>
    <w:rsid w:val="006372C7"/>
    <w:rsid w:val="006376E3"/>
    <w:rsid w:val="006456AF"/>
    <w:rsid w:val="0064767C"/>
    <w:rsid w:val="006506E6"/>
    <w:rsid w:val="00651843"/>
    <w:rsid w:val="00653A88"/>
    <w:rsid w:val="006602F1"/>
    <w:rsid w:val="006626A0"/>
    <w:rsid w:val="00667481"/>
    <w:rsid w:val="006703F5"/>
    <w:rsid w:val="0067198D"/>
    <w:rsid w:val="0068065A"/>
    <w:rsid w:val="00681F92"/>
    <w:rsid w:val="00683802"/>
    <w:rsid w:val="00692BF4"/>
    <w:rsid w:val="0069769C"/>
    <w:rsid w:val="00697A04"/>
    <w:rsid w:val="00697F48"/>
    <w:rsid w:val="006A061A"/>
    <w:rsid w:val="006A3829"/>
    <w:rsid w:val="006B1F5D"/>
    <w:rsid w:val="006B63A2"/>
    <w:rsid w:val="006B6BFC"/>
    <w:rsid w:val="006C2BE7"/>
    <w:rsid w:val="006D54DC"/>
    <w:rsid w:val="006E7D13"/>
    <w:rsid w:val="00702DA6"/>
    <w:rsid w:val="00706B32"/>
    <w:rsid w:val="00707751"/>
    <w:rsid w:val="0071004E"/>
    <w:rsid w:val="007105CB"/>
    <w:rsid w:val="00714070"/>
    <w:rsid w:val="007148AA"/>
    <w:rsid w:val="0072334E"/>
    <w:rsid w:val="007233C5"/>
    <w:rsid w:val="00730DDA"/>
    <w:rsid w:val="00731681"/>
    <w:rsid w:val="00733829"/>
    <w:rsid w:val="00733DE9"/>
    <w:rsid w:val="00741E9C"/>
    <w:rsid w:val="00745387"/>
    <w:rsid w:val="007453C6"/>
    <w:rsid w:val="00745527"/>
    <w:rsid w:val="00745825"/>
    <w:rsid w:val="007459B1"/>
    <w:rsid w:val="007460EA"/>
    <w:rsid w:val="00750B57"/>
    <w:rsid w:val="00752FC4"/>
    <w:rsid w:val="00753252"/>
    <w:rsid w:val="007654E7"/>
    <w:rsid w:val="00766F4D"/>
    <w:rsid w:val="0077019B"/>
    <w:rsid w:val="00773E81"/>
    <w:rsid w:val="00780F82"/>
    <w:rsid w:val="00785B6F"/>
    <w:rsid w:val="00787601"/>
    <w:rsid w:val="007958EC"/>
    <w:rsid w:val="007961E7"/>
    <w:rsid w:val="00796920"/>
    <w:rsid w:val="00797BED"/>
    <w:rsid w:val="007A1C59"/>
    <w:rsid w:val="007A1F21"/>
    <w:rsid w:val="007A3EF3"/>
    <w:rsid w:val="007A552B"/>
    <w:rsid w:val="007A6D1E"/>
    <w:rsid w:val="007B25F7"/>
    <w:rsid w:val="007B793B"/>
    <w:rsid w:val="007C1322"/>
    <w:rsid w:val="007C6D45"/>
    <w:rsid w:val="007D21A6"/>
    <w:rsid w:val="007E0494"/>
    <w:rsid w:val="007E0667"/>
    <w:rsid w:val="007E6D91"/>
    <w:rsid w:val="007E71C9"/>
    <w:rsid w:val="007F0A8C"/>
    <w:rsid w:val="007F462A"/>
    <w:rsid w:val="007F5AF5"/>
    <w:rsid w:val="007F78DB"/>
    <w:rsid w:val="00804480"/>
    <w:rsid w:val="00805AFA"/>
    <w:rsid w:val="00806485"/>
    <w:rsid w:val="0081015C"/>
    <w:rsid w:val="008106BE"/>
    <w:rsid w:val="00814FBE"/>
    <w:rsid w:val="00821F74"/>
    <w:rsid w:val="00822375"/>
    <w:rsid w:val="00824A23"/>
    <w:rsid w:val="00835574"/>
    <w:rsid w:val="00836C05"/>
    <w:rsid w:val="008437C4"/>
    <w:rsid w:val="00843F67"/>
    <w:rsid w:val="00847145"/>
    <w:rsid w:val="008503E8"/>
    <w:rsid w:val="00862B33"/>
    <w:rsid w:val="008649A2"/>
    <w:rsid w:val="008837CF"/>
    <w:rsid w:val="00884C15"/>
    <w:rsid w:val="00896CFE"/>
    <w:rsid w:val="008977A1"/>
    <w:rsid w:val="00897899"/>
    <w:rsid w:val="008C4032"/>
    <w:rsid w:val="008C6233"/>
    <w:rsid w:val="008E1176"/>
    <w:rsid w:val="008E5948"/>
    <w:rsid w:val="008E6931"/>
    <w:rsid w:val="008E697E"/>
    <w:rsid w:val="0090354E"/>
    <w:rsid w:val="0090398E"/>
    <w:rsid w:val="00905D03"/>
    <w:rsid w:val="00914031"/>
    <w:rsid w:val="00917745"/>
    <w:rsid w:val="00932175"/>
    <w:rsid w:val="00935B26"/>
    <w:rsid w:val="00937808"/>
    <w:rsid w:val="00940C81"/>
    <w:rsid w:val="00942B19"/>
    <w:rsid w:val="00942EE2"/>
    <w:rsid w:val="009466D6"/>
    <w:rsid w:val="00947917"/>
    <w:rsid w:val="00950C45"/>
    <w:rsid w:val="00954143"/>
    <w:rsid w:val="009600D3"/>
    <w:rsid w:val="00960CF6"/>
    <w:rsid w:val="00974769"/>
    <w:rsid w:val="00974952"/>
    <w:rsid w:val="00983714"/>
    <w:rsid w:val="00985229"/>
    <w:rsid w:val="00987DE4"/>
    <w:rsid w:val="00987DEA"/>
    <w:rsid w:val="00991E7A"/>
    <w:rsid w:val="009939BE"/>
    <w:rsid w:val="00994BF4"/>
    <w:rsid w:val="009A0346"/>
    <w:rsid w:val="009A140C"/>
    <w:rsid w:val="009B132A"/>
    <w:rsid w:val="009B1921"/>
    <w:rsid w:val="009B6FA0"/>
    <w:rsid w:val="009C0BC7"/>
    <w:rsid w:val="009C55FF"/>
    <w:rsid w:val="009D0D31"/>
    <w:rsid w:val="009D10D0"/>
    <w:rsid w:val="009D1225"/>
    <w:rsid w:val="009D12DE"/>
    <w:rsid w:val="009D15BD"/>
    <w:rsid w:val="009D277D"/>
    <w:rsid w:val="009D3040"/>
    <w:rsid w:val="009D3082"/>
    <w:rsid w:val="009D784B"/>
    <w:rsid w:val="009E2A0A"/>
    <w:rsid w:val="009E56DB"/>
    <w:rsid w:val="009F77A3"/>
    <w:rsid w:val="00A01013"/>
    <w:rsid w:val="00A0677F"/>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3EBB"/>
    <w:rsid w:val="00A679F2"/>
    <w:rsid w:val="00A709E5"/>
    <w:rsid w:val="00A7250C"/>
    <w:rsid w:val="00A73D60"/>
    <w:rsid w:val="00A75FEB"/>
    <w:rsid w:val="00A876D8"/>
    <w:rsid w:val="00A912F7"/>
    <w:rsid w:val="00A92971"/>
    <w:rsid w:val="00A973C8"/>
    <w:rsid w:val="00AA074E"/>
    <w:rsid w:val="00AB4D11"/>
    <w:rsid w:val="00AB5B67"/>
    <w:rsid w:val="00AB5F38"/>
    <w:rsid w:val="00AB6BD9"/>
    <w:rsid w:val="00AC053B"/>
    <w:rsid w:val="00AC619F"/>
    <w:rsid w:val="00AD7BAB"/>
    <w:rsid w:val="00AE028E"/>
    <w:rsid w:val="00AE0FA5"/>
    <w:rsid w:val="00AF1616"/>
    <w:rsid w:val="00AF77D2"/>
    <w:rsid w:val="00B00D0B"/>
    <w:rsid w:val="00B04933"/>
    <w:rsid w:val="00B07993"/>
    <w:rsid w:val="00B11BB2"/>
    <w:rsid w:val="00B144C0"/>
    <w:rsid w:val="00B17F99"/>
    <w:rsid w:val="00B32389"/>
    <w:rsid w:val="00B338D7"/>
    <w:rsid w:val="00B33D03"/>
    <w:rsid w:val="00B34FEF"/>
    <w:rsid w:val="00B352D4"/>
    <w:rsid w:val="00B37500"/>
    <w:rsid w:val="00B402AF"/>
    <w:rsid w:val="00B404A0"/>
    <w:rsid w:val="00B41942"/>
    <w:rsid w:val="00B44C6F"/>
    <w:rsid w:val="00B44D45"/>
    <w:rsid w:val="00B46BAE"/>
    <w:rsid w:val="00B52F2E"/>
    <w:rsid w:val="00B614D1"/>
    <w:rsid w:val="00B63B89"/>
    <w:rsid w:val="00B661C8"/>
    <w:rsid w:val="00B771EE"/>
    <w:rsid w:val="00B80CFD"/>
    <w:rsid w:val="00B860D6"/>
    <w:rsid w:val="00B908B1"/>
    <w:rsid w:val="00B92424"/>
    <w:rsid w:val="00B95C6D"/>
    <w:rsid w:val="00B97B40"/>
    <w:rsid w:val="00BA39D6"/>
    <w:rsid w:val="00BA7BB7"/>
    <w:rsid w:val="00BB75F0"/>
    <w:rsid w:val="00BC351F"/>
    <w:rsid w:val="00BC768A"/>
    <w:rsid w:val="00BD3170"/>
    <w:rsid w:val="00BD7A38"/>
    <w:rsid w:val="00BE0CD8"/>
    <w:rsid w:val="00BF29ED"/>
    <w:rsid w:val="00BF5C8A"/>
    <w:rsid w:val="00C0402A"/>
    <w:rsid w:val="00C0490F"/>
    <w:rsid w:val="00C079B3"/>
    <w:rsid w:val="00C24707"/>
    <w:rsid w:val="00C33CD7"/>
    <w:rsid w:val="00C34E1C"/>
    <w:rsid w:val="00C474DC"/>
    <w:rsid w:val="00C47857"/>
    <w:rsid w:val="00C508D9"/>
    <w:rsid w:val="00C5387A"/>
    <w:rsid w:val="00C563FE"/>
    <w:rsid w:val="00C6077F"/>
    <w:rsid w:val="00C61050"/>
    <w:rsid w:val="00C625D5"/>
    <w:rsid w:val="00C634C5"/>
    <w:rsid w:val="00C641E4"/>
    <w:rsid w:val="00C66480"/>
    <w:rsid w:val="00C71DD3"/>
    <w:rsid w:val="00C72DC1"/>
    <w:rsid w:val="00C75204"/>
    <w:rsid w:val="00C753E9"/>
    <w:rsid w:val="00C81B69"/>
    <w:rsid w:val="00C84EA1"/>
    <w:rsid w:val="00C85A31"/>
    <w:rsid w:val="00C90176"/>
    <w:rsid w:val="00C9043A"/>
    <w:rsid w:val="00C94B35"/>
    <w:rsid w:val="00C961A9"/>
    <w:rsid w:val="00CA5A74"/>
    <w:rsid w:val="00CB2202"/>
    <w:rsid w:val="00CB30C8"/>
    <w:rsid w:val="00CB4A52"/>
    <w:rsid w:val="00CC0365"/>
    <w:rsid w:val="00CC4296"/>
    <w:rsid w:val="00CC52EC"/>
    <w:rsid w:val="00CD0FE4"/>
    <w:rsid w:val="00CD78D1"/>
    <w:rsid w:val="00CE5D84"/>
    <w:rsid w:val="00CE7E73"/>
    <w:rsid w:val="00CF171A"/>
    <w:rsid w:val="00CF6318"/>
    <w:rsid w:val="00CF63B4"/>
    <w:rsid w:val="00CF7456"/>
    <w:rsid w:val="00D00492"/>
    <w:rsid w:val="00D05113"/>
    <w:rsid w:val="00D0540B"/>
    <w:rsid w:val="00D06A39"/>
    <w:rsid w:val="00D118F1"/>
    <w:rsid w:val="00D20069"/>
    <w:rsid w:val="00D231CE"/>
    <w:rsid w:val="00D25CC0"/>
    <w:rsid w:val="00D2603A"/>
    <w:rsid w:val="00D26237"/>
    <w:rsid w:val="00D2703D"/>
    <w:rsid w:val="00D27D08"/>
    <w:rsid w:val="00D32B1A"/>
    <w:rsid w:val="00D32D64"/>
    <w:rsid w:val="00D346B5"/>
    <w:rsid w:val="00D36C5D"/>
    <w:rsid w:val="00D423C7"/>
    <w:rsid w:val="00D527DE"/>
    <w:rsid w:val="00D556C0"/>
    <w:rsid w:val="00D62D9B"/>
    <w:rsid w:val="00D63DA6"/>
    <w:rsid w:val="00D650B1"/>
    <w:rsid w:val="00D718C9"/>
    <w:rsid w:val="00D73EEF"/>
    <w:rsid w:val="00D75B6C"/>
    <w:rsid w:val="00D82C98"/>
    <w:rsid w:val="00D850C8"/>
    <w:rsid w:val="00DB31C8"/>
    <w:rsid w:val="00DC0B0F"/>
    <w:rsid w:val="00DC1B28"/>
    <w:rsid w:val="00DC727C"/>
    <w:rsid w:val="00DD1D39"/>
    <w:rsid w:val="00DD2826"/>
    <w:rsid w:val="00DE1DFA"/>
    <w:rsid w:val="00DF3B32"/>
    <w:rsid w:val="00DF4289"/>
    <w:rsid w:val="00DF758C"/>
    <w:rsid w:val="00DF7D48"/>
    <w:rsid w:val="00E00AB0"/>
    <w:rsid w:val="00E022BF"/>
    <w:rsid w:val="00E03BE2"/>
    <w:rsid w:val="00E04E63"/>
    <w:rsid w:val="00E07CCE"/>
    <w:rsid w:val="00E131EB"/>
    <w:rsid w:val="00E13E2F"/>
    <w:rsid w:val="00E13E61"/>
    <w:rsid w:val="00E162FC"/>
    <w:rsid w:val="00E16B13"/>
    <w:rsid w:val="00E22E1D"/>
    <w:rsid w:val="00E2656A"/>
    <w:rsid w:val="00E26ABD"/>
    <w:rsid w:val="00E348BA"/>
    <w:rsid w:val="00E34A80"/>
    <w:rsid w:val="00E356F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499C"/>
    <w:rsid w:val="00ED687C"/>
    <w:rsid w:val="00ED6928"/>
    <w:rsid w:val="00EE3C1C"/>
    <w:rsid w:val="00EE3D5C"/>
    <w:rsid w:val="00EE5676"/>
    <w:rsid w:val="00F01DE1"/>
    <w:rsid w:val="00F063BF"/>
    <w:rsid w:val="00F120C3"/>
    <w:rsid w:val="00F21513"/>
    <w:rsid w:val="00F24DB0"/>
    <w:rsid w:val="00F31133"/>
    <w:rsid w:val="00F32E26"/>
    <w:rsid w:val="00F35F9D"/>
    <w:rsid w:val="00F53C7B"/>
    <w:rsid w:val="00F55AC8"/>
    <w:rsid w:val="00F57B63"/>
    <w:rsid w:val="00F62B97"/>
    <w:rsid w:val="00F63335"/>
    <w:rsid w:val="00F64E38"/>
    <w:rsid w:val="00F65486"/>
    <w:rsid w:val="00F747FC"/>
    <w:rsid w:val="00F76523"/>
    <w:rsid w:val="00F8549F"/>
    <w:rsid w:val="00F86E13"/>
    <w:rsid w:val="00F9150A"/>
    <w:rsid w:val="00F917ED"/>
    <w:rsid w:val="00FA14B8"/>
    <w:rsid w:val="00FA30BC"/>
    <w:rsid w:val="00FA56DE"/>
    <w:rsid w:val="00FE222C"/>
    <w:rsid w:val="00FE24A6"/>
    <w:rsid w:val="00FF53D1"/>
    <w:rsid w:val="00FF76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B00D0B"/>
    <w:pPr>
      <w:tabs>
        <w:tab w:val="clear" w:pos="284"/>
      </w:tabs>
      <w:overflowPunct w:val="0"/>
      <w:autoSpaceDE w:val="0"/>
      <w:autoSpaceDN w:val="0"/>
      <w:adjustRightInd w:val="0"/>
      <w:spacing w:line="240" w:lineRule="auto"/>
      <w:ind w:left="720"/>
      <w:contextualSpacing/>
      <w:textAlignment w:val="baseline"/>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B00D0B"/>
    <w:pPr>
      <w:tabs>
        <w:tab w:val="clear" w:pos="284"/>
      </w:tabs>
      <w:overflowPunct w:val="0"/>
      <w:autoSpaceDE w:val="0"/>
      <w:autoSpaceDN w:val="0"/>
      <w:adjustRightInd w:val="0"/>
      <w:spacing w:line="240" w:lineRule="auto"/>
      <w:ind w:left="720"/>
      <w:contextualSpacing/>
      <w:textAlignment w:val="baseline"/>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upervision.ta.aml@nbb.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3029-5536-4F47-8AAF-7BDC497B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3</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2016-10-26T09:27:00Z</cp:lastPrinted>
  <dcterms:created xsi:type="dcterms:W3CDTF">2016-11-08T08:44:00Z</dcterms:created>
  <dcterms:modified xsi:type="dcterms:W3CDTF">2016-11-08T08:44:00Z</dcterms:modified>
</cp:coreProperties>
</file>