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077FB" w14:textId="77777777" w:rsidR="0090134A" w:rsidRPr="00DD495D" w:rsidRDefault="005974CE" w:rsidP="00DA23A1">
      <w:pPr>
        <w:pStyle w:val="Logo"/>
        <w:framePr w:wrap="around" w:x="282" w:y="562"/>
        <w:rPr>
          <w:lang w:val="fr-FR"/>
        </w:rPr>
      </w:pPr>
      <w:bookmarkStart w:id="0" w:name="_GoBack"/>
      <w:bookmarkEnd w:id="0"/>
      <w:r w:rsidRPr="00DD495D">
        <w:rPr>
          <w:noProof/>
          <w:lang w:val="fr-FR"/>
        </w:rPr>
        <w:drawing>
          <wp:inline distT="0" distB="0" distL="0" distR="0" wp14:anchorId="2C0644BD" wp14:editId="0787E273">
            <wp:extent cx="1944370" cy="6870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B_SSM_EN_RGB.em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37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7AC1B" w14:textId="3AFF0398" w:rsidR="005C6268" w:rsidRPr="00DD495D" w:rsidRDefault="00D8218F" w:rsidP="00EE3BCE">
      <w:pPr>
        <w:pStyle w:val="Heading1"/>
        <w:ind w:left="-113" w:hanging="1134"/>
        <w:rPr>
          <w:lang w:val="fr-FR"/>
        </w:rPr>
      </w:pPr>
      <w:r w:rsidRPr="00DD495D">
        <w:rPr>
          <w:lang w:val="fr-FR"/>
        </w:rPr>
        <w:t xml:space="preserve">Déclaration de </w:t>
      </w:r>
      <w:r w:rsidR="00CA2553" w:rsidRPr="00146119">
        <w:rPr>
          <w:lang w:val="fr-BE"/>
        </w:rPr>
        <w:t>protection de la vie privée</w:t>
      </w:r>
      <w:r w:rsidR="005C6268" w:rsidRPr="00DD495D">
        <w:rPr>
          <w:lang w:val="fr-FR"/>
        </w:rPr>
        <w:t xml:space="preserve"> </w:t>
      </w:r>
      <w:r w:rsidRPr="00DD495D">
        <w:rPr>
          <w:lang w:val="fr-FR"/>
        </w:rPr>
        <w:t xml:space="preserve">concernant le traitement des données </w:t>
      </w:r>
      <w:r w:rsidR="00915158" w:rsidRPr="00DD495D">
        <w:rPr>
          <w:lang w:val="fr-FR"/>
        </w:rPr>
        <w:t xml:space="preserve">à caractère </w:t>
      </w:r>
      <w:r w:rsidR="005C6268" w:rsidRPr="00DD495D">
        <w:rPr>
          <w:lang w:val="fr-FR"/>
        </w:rPr>
        <w:t>person</w:t>
      </w:r>
      <w:r w:rsidR="00915158" w:rsidRPr="00DD495D">
        <w:rPr>
          <w:lang w:val="fr-FR"/>
        </w:rPr>
        <w:t>ne</w:t>
      </w:r>
      <w:r w:rsidR="005C6268" w:rsidRPr="00DD495D">
        <w:rPr>
          <w:lang w:val="fr-FR"/>
        </w:rPr>
        <w:t xml:space="preserve">l </w:t>
      </w:r>
      <w:r w:rsidR="00915158" w:rsidRPr="00DD495D">
        <w:rPr>
          <w:lang w:val="fr-FR"/>
        </w:rPr>
        <w:t>relatives aux</w:t>
      </w:r>
      <w:r w:rsidR="005C6268" w:rsidRPr="00DD495D">
        <w:rPr>
          <w:lang w:val="fr-FR"/>
        </w:rPr>
        <w:t xml:space="preserve"> </w:t>
      </w:r>
      <w:r w:rsidR="002E629C" w:rsidRPr="00DD495D">
        <w:rPr>
          <w:lang w:val="fr-FR"/>
        </w:rPr>
        <w:t>évaluations de l’expertise et de l’honorabilité dans le cadre de la su</w:t>
      </w:r>
      <w:r w:rsidR="00AE5E3E" w:rsidRPr="00DD495D">
        <w:rPr>
          <w:lang w:val="fr-FR"/>
        </w:rPr>
        <w:t>pervision</w:t>
      </w:r>
      <w:r w:rsidR="002E629C" w:rsidRPr="00DD495D">
        <w:rPr>
          <w:lang w:val="fr-FR"/>
        </w:rPr>
        <w:t xml:space="preserve"> bancaire européenne</w:t>
      </w:r>
    </w:p>
    <w:p w14:paraId="45424C11" w14:textId="047C4A83" w:rsidR="005C6268" w:rsidRPr="00DD495D" w:rsidRDefault="00AE5E3E" w:rsidP="005C6268">
      <w:pPr>
        <w:pStyle w:val="Heading2"/>
        <w:rPr>
          <w:lang w:val="fr-FR" w:eastAsia="en-US"/>
        </w:rPr>
      </w:pPr>
      <w:r w:rsidRPr="00DD495D">
        <w:rPr>
          <w:lang w:val="fr-FR"/>
        </w:rPr>
        <w:t xml:space="preserve">Cadre </w:t>
      </w:r>
      <w:r w:rsidR="007A58F8" w:rsidRPr="00DD495D">
        <w:rPr>
          <w:lang w:val="fr-FR"/>
        </w:rPr>
        <w:t>j</w:t>
      </w:r>
      <w:r w:rsidRPr="00DD495D">
        <w:rPr>
          <w:lang w:val="fr-FR"/>
        </w:rPr>
        <w:t xml:space="preserve">uridique de protection des données </w:t>
      </w:r>
      <w:r w:rsidR="005C6268" w:rsidRPr="00DD495D">
        <w:rPr>
          <w:lang w:val="fr-FR" w:eastAsia="en-US"/>
        </w:rPr>
        <w:t xml:space="preserve">applicable </w:t>
      </w:r>
      <w:r w:rsidRPr="00DD495D">
        <w:rPr>
          <w:lang w:val="fr-FR"/>
        </w:rPr>
        <w:t>à la Banque centrale européenne</w:t>
      </w:r>
    </w:p>
    <w:p w14:paraId="1B6D143A" w14:textId="565BCE74" w:rsidR="00DC6814" w:rsidRPr="00DD495D" w:rsidRDefault="007A58F8" w:rsidP="00DC6814">
      <w:pPr>
        <w:rPr>
          <w:lang w:val="fr-FR"/>
        </w:rPr>
      </w:pPr>
      <w:r w:rsidRPr="00DD495D">
        <w:rPr>
          <w:lang w:val="fr-FR"/>
        </w:rPr>
        <w:t>La Banque c</w:t>
      </w:r>
      <w:r w:rsidR="00DC6814" w:rsidRPr="00DD495D">
        <w:rPr>
          <w:lang w:val="fr-FR"/>
        </w:rPr>
        <w:t>entral</w:t>
      </w:r>
      <w:r w:rsidRPr="00DD495D">
        <w:rPr>
          <w:lang w:val="fr-FR"/>
        </w:rPr>
        <w:t>e européenne </w:t>
      </w:r>
      <w:r w:rsidR="00DC6814" w:rsidRPr="00DD495D">
        <w:rPr>
          <w:lang w:val="fr-FR"/>
        </w:rPr>
        <w:t>(</w:t>
      </w:r>
      <w:r w:rsidRPr="00DD495D">
        <w:rPr>
          <w:lang w:val="fr-FR"/>
        </w:rPr>
        <w:t>BCE</w:t>
      </w:r>
      <w:r w:rsidR="00DC6814" w:rsidRPr="00DD495D">
        <w:rPr>
          <w:lang w:val="fr-FR"/>
        </w:rPr>
        <w:t>) adopt</w:t>
      </w:r>
      <w:r w:rsidRPr="00DD495D">
        <w:rPr>
          <w:lang w:val="fr-FR"/>
        </w:rPr>
        <w:t>e des</w:t>
      </w:r>
      <w:r w:rsidR="00DC6814" w:rsidRPr="00DD495D">
        <w:rPr>
          <w:lang w:val="fr-FR"/>
        </w:rPr>
        <w:t xml:space="preserve"> d</w:t>
      </w:r>
      <w:r w:rsidRPr="00DD495D">
        <w:rPr>
          <w:lang w:val="fr-FR"/>
        </w:rPr>
        <w:t>é</w:t>
      </w:r>
      <w:r w:rsidR="00DC6814" w:rsidRPr="00DD495D">
        <w:rPr>
          <w:lang w:val="fr-FR"/>
        </w:rPr>
        <w:t xml:space="preserve">cisions </w:t>
      </w:r>
      <w:r w:rsidRPr="00DD495D">
        <w:rPr>
          <w:lang w:val="fr-FR"/>
        </w:rPr>
        <w:t>concernan</w:t>
      </w:r>
      <w:r w:rsidR="009149E8" w:rsidRPr="00DD495D">
        <w:rPr>
          <w:lang w:val="fr-FR"/>
        </w:rPr>
        <w:t>t</w:t>
      </w:r>
      <w:r w:rsidR="00B62C63" w:rsidRPr="00DD495D">
        <w:rPr>
          <w:lang w:val="fr-FR"/>
        </w:rPr>
        <w:t xml:space="preserve"> l</w:t>
      </w:r>
      <w:r w:rsidR="008823E4" w:rsidRPr="00DD495D">
        <w:rPr>
          <w:lang w:val="fr-FR"/>
        </w:rPr>
        <w:t>’aptitude des membres de</w:t>
      </w:r>
      <w:r w:rsidR="002C1C3A">
        <w:t xml:space="preserve"> l’</w:t>
      </w:r>
      <w:r w:rsidR="008823E4" w:rsidRPr="00DD495D">
        <w:rPr>
          <w:lang w:val="fr-FR"/>
        </w:rPr>
        <w:t>organe</w:t>
      </w:r>
      <w:r w:rsidR="002C1C3A">
        <w:t xml:space="preserve"> </w:t>
      </w:r>
      <w:proofErr w:type="spellStart"/>
      <w:r w:rsidR="002C1C3A">
        <w:t>légal</w:t>
      </w:r>
      <w:proofErr w:type="spellEnd"/>
      <w:r w:rsidR="002C1C3A">
        <w:t xml:space="preserve"> </w:t>
      </w:r>
      <w:proofErr w:type="spellStart"/>
      <w:r w:rsidR="002C1C3A">
        <w:t>d’administration</w:t>
      </w:r>
      <w:proofErr w:type="spellEnd"/>
      <w:r w:rsidR="008823E4" w:rsidRPr="00DD495D">
        <w:rPr>
          <w:lang w:val="fr-FR"/>
        </w:rPr>
        <w:t xml:space="preserve"> des établissements de crédit importants</w:t>
      </w:r>
      <w:r w:rsidR="00DC6814" w:rsidRPr="00DD495D">
        <w:rPr>
          <w:lang w:val="fr-FR"/>
        </w:rPr>
        <w:t xml:space="preserve"> </w:t>
      </w:r>
      <w:r w:rsidR="008823E4" w:rsidRPr="00DD495D">
        <w:rPr>
          <w:lang w:val="fr-FR"/>
        </w:rPr>
        <w:t>à la suite des évaluations de l’expertise et de l’honorabilité conformément au règlement </w:t>
      </w:r>
      <w:r w:rsidR="00DC6814" w:rsidRPr="00DD495D">
        <w:rPr>
          <w:lang w:val="fr-FR"/>
        </w:rPr>
        <w:t>(U</w:t>
      </w:r>
      <w:r w:rsidR="008823E4" w:rsidRPr="00DD495D">
        <w:rPr>
          <w:lang w:val="fr-FR"/>
        </w:rPr>
        <w:t>E</w:t>
      </w:r>
      <w:r w:rsidR="00DC6814" w:rsidRPr="00DD495D">
        <w:rPr>
          <w:lang w:val="fr-FR"/>
        </w:rPr>
        <w:t xml:space="preserve">) </w:t>
      </w:r>
      <w:r w:rsidR="008823E4" w:rsidRPr="00DD495D">
        <w:rPr>
          <w:lang w:val="fr-FR"/>
        </w:rPr>
        <w:t>n° </w:t>
      </w:r>
      <w:r w:rsidR="00DC6814" w:rsidRPr="00DD495D">
        <w:rPr>
          <w:lang w:val="fr-FR"/>
        </w:rPr>
        <w:t>1024/2013 (</w:t>
      </w:r>
      <w:r w:rsidR="008823E4" w:rsidRPr="00DD495D">
        <w:rPr>
          <w:lang w:val="fr-FR"/>
        </w:rPr>
        <w:t>le règlement MSU</w:t>
      </w:r>
      <w:r w:rsidR="00DC6814" w:rsidRPr="00DD495D">
        <w:rPr>
          <w:lang w:val="fr-FR"/>
        </w:rPr>
        <w:t>)</w:t>
      </w:r>
      <w:r w:rsidR="00DC6814" w:rsidRPr="00DD495D">
        <w:rPr>
          <w:rStyle w:val="FootnoteReference"/>
          <w:lang w:val="fr-FR"/>
        </w:rPr>
        <w:footnoteReference w:id="2"/>
      </w:r>
      <w:r w:rsidR="00DC6814" w:rsidRPr="00DD495D">
        <w:rPr>
          <w:lang w:val="fr-FR"/>
        </w:rPr>
        <w:t>.</w:t>
      </w:r>
    </w:p>
    <w:p w14:paraId="42ADA5B3" w14:textId="243E1B40" w:rsidR="005C6268" w:rsidRPr="00DD495D" w:rsidRDefault="0053033E" w:rsidP="00DC6814">
      <w:pPr>
        <w:rPr>
          <w:rFonts w:eastAsia="Calibri"/>
          <w:lang w:val="fr-FR"/>
        </w:rPr>
      </w:pPr>
      <w:r w:rsidRPr="00DD495D">
        <w:rPr>
          <w:lang w:val="fr-FR"/>
        </w:rPr>
        <w:t>Dans ce cadre</w:t>
      </w:r>
      <w:r w:rsidR="00DC6814" w:rsidRPr="00DD495D">
        <w:rPr>
          <w:lang w:val="fr-FR"/>
        </w:rPr>
        <w:t xml:space="preserve">, </w:t>
      </w:r>
      <w:r w:rsidRPr="00DD495D">
        <w:rPr>
          <w:lang w:val="fr-FR"/>
        </w:rPr>
        <w:t xml:space="preserve">la BCE </w:t>
      </w:r>
      <w:r w:rsidR="00DC6814" w:rsidRPr="00DD495D">
        <w:rPr>
          <w:lang w:val="fr-FR"/>
        </w:rPr>
        <w:t>collect</w:t>
      </w:r>
      <w:r w:rsidRPr="00DD495D">
        <w:rPr>
          <w:lang w:val="fr-FR"/>
        </w:rPr>
        <w:t>e et traite</w:t>
      </w:r>
      <w:r w:rsidR="00AF3BAA" w:rsidRPr="00DD495D">
        <w:rPr>
          <w:lang w:val="fr-FR"/>
        </w:rPr>
        <w:t xml:space="preserve"> les données à caractère personnel conformément au droit de l’UE en matière de </w:t>
      </w:r>
      <w:r w:rsidR="00DC6814" w:rsidRPr="00DD495D">
        <w:rPr>
          <w:lang w:val="fr-FR"/>
        </w:rPr>
        <w:t xml:space="preserve">protection </w:t>
      </w:r>
      <w:r w:rsidR="00AF3BAA" w:rsidRPr="00DD495D">
        <w:rPr>
          <w:lang w:val="fr-FR"/>
        </w:rPr>
        <w:t>des données</w:t>
      </w:r>
      <w:r w:rsidR="00DC6814" w:rsidRPr="00DD495D">
        <w:rPr>
          <w:rStyle w:val="FootnoteReference"/>
          <w:lang w:val="fr-FR"/>
        </w:rPr>
        <w:footnoteReference w:id="3"/>
      </w:r>
      <w:r w:rsidR="00AF3BAA" w:rsidRPr="00DD495D">
        <w:rPr>
          <w:lang w:val="fr-FR"/>
        </w:rPr>
        <w:t>.</w:t>
      </w:r>
    </w:p>
    <w:p w14:paraId="1ABA9973" w14:textId="61A82F2B" w:rsidR="005C6268" w:rsidRPr="00DD495D" w:rsidRDefault="00845F20" w:rsidP="005C6268">
      <w:pPr>
        <w:pStyle w:val="Heading2"/>
        <w:rPr>
          <w:rFonts w:eastAsia="Calibri"/>
          <w:lang w:val="fr-FR"/>
        </w:rPr>
      </w:pPr>
      <w:r w:rsidRPr="00DD495D">
        <w:rPr>
          <w:rFonts w:eastAsia="Calibri"/>
          <w:lang w:val="fr-FR"/>
        </w:rPr>
        <w:t>La Banque c</w:t>
      </w:r>
      <w:r w:rsidR="005C6268" w:rsidRPr="00DD495D">
        <w:rPr>
          <w:rFonts w:eastAsia="Calibri"/>
          <w:lang w:val="fr-FR"/>
        </w:rPr>
        <w:t>entral</w:t>
      </w:r>
      <w:r w:rsidRPr="00DD495D">
        <w:rPr>
          <w:rFonts w:eastAsia="Calibri"/>
          <w:lang w:val="fr-FR"/>
        </w:rPr>
        <w:t>e européenne en tant que</w:t>
      </w:r>
      <w:r w:rsidR="005C6268" w:rsidRPr="00DD495D">
        <w:rPr>
          <w:rFonts w:eastAsia="Calibri"/>
          <w:lang w:val="fr-FR"/>
        </w:rPr>
        <w:t xml:space="preserve"> </w:t>
      </w:r>
      <w:r w:rsidRPr="00DD495D">
        <w:rPr>
          <w:lang w:val="fr-FR"/>
        </w:rPr>
        <w:t>responsable du traitement procédant à un traitement de données à caractère personnel</w:t>
      </w:r>
    </w:p>
    <w:p w14:paraId="039D86F4" w14:textId="2F0D33B0" w:rsidR="00DC6814" w:rsidRPr="00DD495D" w:rsidRDefault="00845F20" w:rsidP="00DC6814">
      <w:pPr>
        <w:rPr>
          <w:lang w:val="fr-FR"/>
        </w:rPr>
      </w:pPr>
      <w:r w:rsidRPr="00DD495D">
        <w:rPr>
          <w:lang w:val="fr-FR"/>
        </w:rPr>
        <w:t xml:space="preserve">La BCE est le responsable </w:t>
      </w:r>
      <w:r w:rsidR="004F6C2E" w:rsidRPr="00DD495D">
        <w:rPr>
          <w:lang w:val="fr-FR"/>
        </w:rPr>
        <w:t>des</w:t>
      </w:r>
      <w:r w:rsidR="00DC6814" w:rsidRPr="00DD495D">
        <w:rPr>
          <w:lang w:val="fr-FR"/>
        </w:rPr>
        <w:t xml:space="preserve"> </w:t>
      </w:r>
      <w:r w:rsidR="004F6C2E" w:rsidRPr="00DD495D">
        <w:rPr>
          <w:lang w:val="fr-FR"/>
        </w:rPr>
        <w:t>opérations de traitement de</w:t>
      </w:r>
      <w:r w:rsidR="00625E4A" w:rsidRPr="00DD495D">
        <w:rPr>
          <w:lang w:val="fr-FR"/>
        </w:rPr>
        <w:t>s</w:t>
      </w:r>
      <w:r w:rsidR="004F6C2E" w:rsidRPr="00DD495D">
        <w:rPr>
          <w:lang w:val="fr-FR"/>
        </w:rPr>
        <w:t xml:space="preserve"> données</w:t>
      </w:r>
      <w:r w:rsidR="00A22BC2" w:rsidRPr="00DD495D">
        <w:rPr>
          <w:lang w:val="fr-FR"/>
        </w:rPr>
        <w:t xml:space="preserve"> dans le cadre de la</w:t>
      </w:r>
      <w:r w:rsidR="00304A6B" w:rsidRPr="00DD495D">
        <w:rPr>
          <w:lang w:val="fr-FR"/>
        </w:rPr>
        <w:t xml:space="preserve"> surveillance</w:t>
      </w:r>
      <w:r w:rsidR="00DC6814" w:rsidRPr="00DD495D">
        <w:rPr>
          <w:lang w:val="fr-FR"/>
        </w:rPr>
        <w:t xml:space="preserve"> prudenti</w:t>
      </w:r>
      <w:r w:rsidR="00304A6B" w:rsidRPr="00DD495D">
        <w:rPr>
          <w:lang w:val="fr-FR"/>
        </w:rPr>
        <w:t>e</w:t>
      </w:r>
      <w:r w:rsidR="00DC6814" w:rsidRPr="00DD495D">
        <w:rPr>
          <w:lang w:val="fr-FR"/>
        </w:rPr>
        <w:t>l</w:t>
      </w:r>
      <w:r w:rsidR="00304A6B" w:rsidRPr="00DD495D">
        <w:rPr>
          <w:lang w:val="fr-FR"/>
        </w:rPr>
        <w:t>le des établissements importants</w:t>
      </w:r>
      <w:r w:rsidR="00DC6814" w:rsidRPr="00DD495D">
        <w:rPr>
          <w:rStyle w:val="FootnoteReference"/>
          <w:lang w:val="fr-FR"/>
        </w:rPr>
        <w:footnoteReference w:id="4"/>
      </w:r>
      <w:r w:rsidR="00304A6B" w:rsidRPr="00DD495D">
        <w:rPr>
          <w:lang w:val="fr-FR"/>
        </w:rPr>
        <w:t>.</w:t>
      </w:r>
    </w:p>
    <w:p w14:paraId="4D4EFEA1" w14:textId="469D714A" w:rsidR="00DC6814" w:rsidRPr="00DD495D" w:rsidRDefault="00304A6B" w:rsidP="005C6268">
      <w:pPr>
        <w:pStyle w:val="Heading2"/>
        <w:rPr>
          <w:lang w:val="fr-FR"/>
        </w:rPr>
      </w:pPr>
      <w:r w:rsidRPr="00DD495D">
        <w:rPr>
          <w:lang w:val="fr-FR"/>
        </w:rPr>
        <w:t>Objets du traitement des données à caractère</w:t>
      </w:r>
      <w:r w:rsidR="00DC6814" w:rsidRPr="00DD495D">
        <w:rPr>
          <w:lang w:val="fr-FR"/>
        </w:rPr>
        <w:t xml:space="preserve"> person</w:t>
      </w:r>
      <w:r w:rsidRPr="00DD495D">
        <w:rPr>
          <w:lang w:val="fr-FR"/>
        </w:rPr>
        <w:t>ne</w:t>
      </w:r>
      <w:r w:rsidR="00DC6814" w:rsidRPr="00DD495D">
        <w:rPr>
          <w:lang w:val="fr-FR"/>
        </w:rPr>
        <w:t>l</w:t>
      </w:r>
      <w:r w:rsidRPr="00DD495D">
        <w:rPr>
          <w:lang w:val="fr-FR"/>
        </w:rPr>
        <w:t xml:space="preserve"> par la Banque c</w:t>
      </w:r>
      <w:r w:rsidR="00DC6814" w:rsidRPr="00DD495D">
        <w:rPr>
          <w:lang w:val="fr-FR"/>
        </w:rPr>
        <w:t>entral</w:t>
      </w:r>
      <w:r w:rsidRPr="00DD495D">
        <w:rPr>
          <w:lang w:val="fr-FR"/>
        </w:rPr>
        <w:t>e européenne</w:t>
      </w:r>
    </w:p>
    <w:p w14:paraId="6A8B44F8" w14:textId="6439C16C" w:rsidR="00DC6814" w:rsidRPr="00DD495D" w:rsidRDefault="00625E4A" w:rsidP="00FD4826">
      <w:pPr>
        <w:rPr>
          <w:lang w:val="fr-FR"/>
        </w:rPr>
      </w:pPr>
      <w:r w:rsidRPr="00DD495D">
        <w:rPr>
          <w:lang w:val="fr-FR"/>
        </w:rPr>
        <w:t>Les données à caractère p</w:t>
      </w:r>
      <w:r w:rsidR="00DC6814" w:rsidRPr="00DD495D">
        <w:rPr>
          <w:lang w:val="fr-FR"/>
        </w:rPr>
        <w:t>erson</w:t>
      </w:r>
      <w:r w:rsidRPr="00DD495D">
        <w:rPr>
          <w:lang w:val="fr-FR"/>
        </w:rPr>
        <w:t>ne</w:t>
      </w:r>
      <w:r w:rsidR="00DC6814" w:rsidRPr="00DD495D">
        <w:rPr>
          <w:lang w:val="fr-FR"/>
        </w:rPr>
        <w:t xml:space="preserve">l </w:t>
      </w:r>
      <w:r w:rsidRPr="00DD495D">
        <w:rPr>
          <w:lang w:val="fr-FR"/>
        </w:rPr>
        <w:t>sont</w:t>
      </w:r>
      <w:r w:rsidR="00DC6814" w:rsidRPr="00DD495D">
        <w:rPr>
          <w:lang w:val="fr-FR"/>
        </w:rPr>
        <w:t xml:space="preserve"> collect</w:t>
      </w:r>
      <w:r w:rsidRPr="00DD495D">
        <w:rPr>
          <w:lang w:val="fr-FR"/>
        </w:rPr>
        <w:t>é</w:t>
      </w:r>
      <w:r w:rsidR="00DC6814" w:rsidRPr="00DD495D">
        <w:rPr>
          <w:lang w:val="fr-FR"/>
        </w:rPr>
        <w:t>e</w:t>
      </w:r>
      <w:r w:rsidRPr="00DD495D">
        <w:rPr>
          <w:lang w:val="fr-FR"/>
        </w:rPr>
        <w:t>s et traitées</w:t>
      </w:r>
      <w:r w:rsidR="00C10234" w:rsidRPr="00DD495D">
        <w:rPr>
          <w:lang w:val="fr-FR"/>
        </w:rPr>
        <w:t xml:space="preserve"> afin d’évaluer si les</w:t>
      </w:r>
      <w:r w:rsidR="00DC6814" w:rsidRPr="00DD495D">
        <w:rPr>
          <w:lang w:val="fr-FR"/>
        </w:rPr>
        <w:t xml:space="preserve"> person</w:t>
      </w:r>
      <w:r w:rsidR="00C10234" w:rsidRPr="00DD495D">
        <w:rPr>
          <w:lang w:val="fr-FR"/>
        </w:rPr>
        <w:t>ne</w:t>
      </w:r>
      <w:r w:rsidR="00DC6814" w:rsidRPr="00DD495D">
        <w:rPr>
          <w:lang w:val="fr-FR"/>
        </w:rPr>
        <w:t>s respons</w:t>
      </w:r>
      <w:r w:rsidR="00C10234" w:rsidRPr="00DD495D">
        <w:rPr>
          <w:lang w:val="fr-FR"/>
        </w:rPr>
        <w:t>a</w:t>
      </w:r>
      <w:r w:rsidR="00DC6814" w:rsidRPr="00DD495D">
        <w:rPr>
          <w:lang w:val="fr-FR"/>
        </w:rPr>
        <w:t>ble</w:t>
      </w:r>
      <w:r w:rsidR="00C10234" w:rsidRPr="00DD495D">
        <w:rPr>
          <w:lang w:val="fr-FR"/>
        </w:rPr>
        <w:t>s</w:t>
      </w:r>
      <w:r w:rsidR="00DC6814" w:rsidRPr="00DD495D">
        <w:rPr>
          <w:lang w:val="fr-FR"/>
        </w:rPr>
        <w:t xml:space="preserve"> </w:t>
      </w:r>
      <w:r w:rsidR="00C10234" w:rsidRPr="00DD495D">
        <w:rPr>
          <w:lang w:val="fr-FR"/>
        </w:rPr>
        <w:t>de la gestion des établissements importants</w:t>
      </w:r>
      <w:r w:rsidR="00DC6814" w:rsidRPr="00DD495D">
        <w:rPr>
          <w:lang w:val="fr-FR"/>
        </w:rPr>
        <w:t xml:space="preserve"> </w:t>
      </w:r>
      <w:r w:rsidR="00A2070E" w:rsidRPr="00DD495D">
        <w:rPr>
          <w:lang w:val="fr-FR"/>
        </w:rPr>
        <w:t>satisfont aux exigences d’expertise et d’honorabilité</w:t>
      </w:r>
      <w:r w:rsidR="00DC6814" w:rsidRPr="00DD495D">
        <w:rPr>
          <w:lang w:val="fr-FR"/>
        </w:rPr>
        <w:t xml:space="preserve">, </w:t>
      </w:r>
      <w:r w:rsidR="00A2070E" w:rsidRPr="00DD495D">
        <w:rPr>
          <w:lang w:val="fr-FR"/>
        </w:rPr>
        <w:t>c’est-à-dire s’ils</w:t>
      </w:r>
      <w:r w:rsidR="0069284B" w:rsidRPr="00DD495D">
        <w:rPr>
          <w:lang w:val="fr-FR"/>
        </w:rPr>
        <w:t xml:space="preserve"> disposent des connaissances, des compétences </w:t>
      </w:r>
      <w:r w:rsidR="00CA2553" w:rsidRPr="00146119">
        <w:rPr>
          <w:lang w:val="fr-BE"/>
        </w:rPr>
        <w:t xml:space="preserve">et de l’expérience </w:t>
      </w:r>
      <w:r w:rsidR="0069284B" w:rsidRPr="00DD495D">
        <w:rPr>
          <w:lang w:val="fr-FR"/>
        </w:rPr>
        <w:t>nécessaires à l’exercice de leurs attributions et font preuve d’une honorabilité suffisante</w:t>
      </w:r>
      <w:r w:rsidR="00DC6814" w:rsidRPr="00DD495D">
        <w:rPr>
          <w:lang w:val="fr-FR"/>
        </w:rPr>
        <w:t>.</w:t>
      </w:r>
    </w:p>
    <w:p w14:paraId="7BE1E02A" w14:textId="02B6A26E" w:rsidR="00DC6814" w:rsidRPr="00DD495D" w:rsidRDefault="00DC6814" w:rsidP="005C6268">
      <w:pPr>
        <w:pStyle w:val="Heading2"/>
        <w:rPr>
          <w:lang w:val="fr-FR"/>
        </w:rPr>
      </w:pPr>
      <w:r w:rsidRPr="00DD495D">
        <w:rPr>
          <w:lang w:val="fr-FR"/>
        </w:rPr>
        <w:lastRenderedPageBreak/>
        <w:t>L</w:t>
      </w:r>
      <w:r w:rsidR="00631E26" w:rsidRPr="00DD495D">
        <w:rPr>
          <w:lang w:val="fr-FR"/>
        </w:rPr>
        <w:t>icéité des</w:t>
      </w:r>
      <w:r w:rsidR="006B059C" w:rsidRPr="00DD495D">
        <w:rPr>
          <w:lang w:val="fr-FR"/>
        </w:rPr>
        <w:t xml:space="preserve"> opérations de traitement des données de la Banque c</w:t>
      </w:r>
      <w:r w:rsidRPr="00DD495D">
        <w:rPr>
          <w:lang w:val="fr-FR"/>
        </w:rPr>
        <w:t>entral</w:t>
      </w:r>
      <w:r w:rsidR="006B059C" w:rsidRPr="00DD495D">
        <w:rPr>
          <w:lang w:val="fr-FR"/>
        </w:rPr>
        <w:t>e européenne</w:t>
      </w:r>
    </w:p>
    <w:p w14:paraId="2361B80D" w14:textId="5F280C0E" w:rsidR="003C395B" w:rsidRPr="00DD495D" w:rsidRDefault="009012D0" w:rsidP="00FD4826">
      <w:pPr>
        <w:rPr>
          <w:lang w:val="fr-FR"/>
        </w:rPr>
      </w:pPr>
      <w:r w:rsidRPr="00DD495D">
        <w:rPr>
          <w:lang w:val="fr-FR"/>
        </w:rPr>
        <w:t>Le traitement des données à caractère personnel aux fins susmentionnées</w:t>
      </w:r>
      <w:r w:rsidR="00DC6814" w:rsidRPr="00DD495D">
        <w:rPr>
          <w:lang w:val="fr-FR"/>
        </w:rPr>
        <w:t xml:space="preserve"> </w:t>
      </w:r>
      <w:r w:rsidR="00DB37C2" w:rsidRPr="00DD495D">
        <w:rPr>
          <w:lang w:val="fr-FR"/>
        </w:rPr>
        <w:t>est n</w:t>
      </w:r>
      <w:r w:rsidR="0003121E" w:rsidRPr="00DD495D">
        <w:rPr>
          <w:lang w:val="fr-FR"/>
        </w:rPr>
        <w:t>é</w:t>
      </w:r>
      <w:r w:rsidR="00DB37C2" w:rsidRPr="00DD495D">
        <w:rPr>
          <w:lang w:val="fr-FR"/>
        </w:rPr>
        <w:t>cessaire au sens de l’a</w:t>
      </w:r>
      <w:r w:rsidR="00DC6814" w:rsidRPr="00DD495D">
        <w:rPr>
          <w:lang w:val="fr-FR"/>
        </w:rPr>
        <w:t>rticle</w:t>
      </w:r>
      <w:r w:rsidR="00DB37C2" w:rsidRPr="00DD495D">
        <w:rPr>
          <w:lang w:val="fr-FR"/>
        </w:rPr>
        <w:t> </w:t>
      </w:r>
      <w:r w:rsidR="00DC6814" w:rsidRPr="00DD495D">
        <w:rPr>
          <w:lang w:val="fr-FR"/>
        </w:rPr>
        <w:t>5</w:t>
      </w:r>
      <w:r w:rsidR="00DB37C2" w:rsidRPr="00DD495D">
        <w:rPr>
          <w:lang w:val="fr-FR"/>
        </w:rPr>
        <w:t>, paragraphe </w:t>
      </w:r>
      <w:r w:rsidR="00DC6814" w:rsidRPr="00DD495D">
        <w:rPr>
          <w:lang w:val="fr-FR"/>
        </w:rPr>
        <w:t>1</w:t>
      </w:r>
      <w:r w:rsidR="00DB37C2" w:rsidRPr="00DD495D">
        <w:rPr>
          <w:lang w:val="fr-FR"/>
        </w:rPr>
        <w:t>, points </w:t>
      </w:r>
      <w:r w:rsidR="00DC6814" w:rsidRPr="00DD495D">
        <w:rPr>
          <w:lang w:val="fr-FR"/>
        </w:rPr>
        <w:t>a</w:t>
      </w:r>
      <w:r w:rsidR="0003121E" w:rsidRPr="00DD495D">
        <w:rPr>
          <w:lang w:val="fr-FR"/>
        </w:rPr>
        <w:t>)</w:t>
      </w:r>
      <w:r w:rsidR="00DB37C2" w:rsidRPr="00DD495D">
        <w:rPr>
          <w:lang w:val="fr-FR"/>
        </w:rPr>
        <w:t xml:space="preserve"> et</w:t>
      </w:r>
      <w:r w:rsidR="00DC6814" w:rsidRPr="00DD495D">
        <w:rPr>
          <w:lang w:val="fr-FR"/>
        </w:rPr>
        <w:t xml:space="preserve"> b</w:t>
      </w:r>
      <w:r w:rsidR="0003121E" w:rsidRPr="00DD495D">
        <w:rPr>
          <w:lang w:val="fr-FR"/>
        </w:rPr>
        <w:t>)</w:t>
      </w:r>
      <w:r w:rsidR="008565BB" w:rsidRPr="00DD495D">
        <w:rPr>
          <w:lang w:val="fr-FR"/>
        </w:rPr>
        <w:t>,</w:t>
      </w:r>
      <w:r w:rsidR="00DB37C2" w:rsidRPr="00DD495D">
        <w:rPr>
          <w:lang w:val="fr-FR"/>
        </w:rPr>
        <w:t xml:space="preserve"> du règlement</w:t>
      </w:r>
      <w:r w:rsidR="0003121E" w:rsidRPr="00DD495D">
        <w:rPr>
          <w:lang w:val="fr-FR"/>
        </w:rPr>
        <w:t> </w:t>
      </w:r>
      <w:r w:rsidR="00DC6814" w:rsidRPr="00DD495D">
        <w:rPr>
          <w:lang w:val="fr-FR"/>
        </w:rPr>
        <w:t>(U</w:t>
      </w:r>
      <w:r w:rsidR="0003121E" w:rsidRPr="00DD495D">
        <w:rPr>
          <w:lang w:val="fr-FR"/>
        </w:rPr>
        <w:t>E</w:t>
      </w:r>
      <w:r w:rsidR="00DC6814" w:rsidRPr="00DD495D">
        <w:rPr>
          <w:lang w:val="fr-FR"/>
        </w:rPr>
        <w:t xml:space="preserve">) 2018/1725, </w:t>
      </w:r>
      <w:r w:rsidR="00B66C03" w:rsidRPr="00DD495D">
        <w:rPr>
          <w:lang w:val="fr-FR"/>
        </w:rPr>
        <w:t xml:space="preserve">en </w:t>
      </w:r>
      <w:r w:rsidR="00DD495D" w:rsidRPr="00DD495D">
        <w:rPr>
          <w:lang w:val="fr-FR"/>
        </w:rPr>
        <w:t xml:space="preserve">conjonction </w:t>
      </w:r>
      <w:r w:rsidR="00B66C03" w:rsidRPr="00DD495D">
        <w:rPr>
          <w:lang w:val="fr-FR"/>
        </w:rPr>
        <w:t>avec l’a</w:t>
      </w:r>
      <w:r w:rsidR="00DC6814" w:rsidRPr="00DD495D">
        <w:rPr>
          <w:lang w:val="fr-FR"/>
        </w:rPr>
        <w:t>rticle</w:t>
      </w:r>
      <w:r w:rsidR="00B66C03" w:rsidRPr="00DD495D">
        <w:rPr>
          <w:lang w:val="fr-FR"/>
        </w:rPr>
        <w:t> </w:t>
      </w:r>
      <w:r w:rsidR="00DC6814" w:rsidRPr="00DD495D">
        <w:rPr>
          <w:lang w:val="fr-FR"/>
        </w:rPr>
        <w:t>127</w:t>
      </w:r>
      <w:r w:rsidR="00B66C03" w:rsidRPr="00DD495D">
        <w:rPr>
          <w:lang w:val="fr-FR"/>
        </w:rPr>
        <w:t>, paragraphe </w:t>
      </w:r>
      <w:r w:rsidR="00DC6814" w:rsidRPr="00DD495D">
        <w:rPr>
          <w:lang w:val="fr-FR"/>
        </w:rPr>
        <w:t>6</w:t>
      </w:r>
      <w:r w:rsidR="00B66C03" w:rsidRPr="00DD495D">
        <w:rPr>
          <w:lang w:val="fr-FR"/>
        </w:rPr>
        <w:t>, du traité</w:t>
      </w:r>
      <w:r w:rsidR="00F32745" w:rsidRPr="00DD495D">
        <w:rPr>
          <w:lang w:val="fr-FR"/>
        </w:rPr>
        <w:t xml:space="preserve"> sur le fonctionnement de l’</w:t>
      </w:r>
      <w:r w:rsidR="00DC6814" w:rsidRPr="00DD495D">
        <w:rPr>
          <w:lang w:val="fr-FR"/>
        </w:rPr>
        <w:t>Union</w:t>
      </w:r>
      <w:r w:rsidR="00F32745" w:rsidRPr="00DD495D">
        <w:rPr>
          <w:lang w:val="fr-FR"/>
        </w:rPr>
        <w:t xml:space="preserve"> européenne</w:t>
      </w:r>
      <w:r w:rsidR="00DC6814" w:rsidRPr="00DD495D">
        <w:rPr>
          <w:lang w:val="fr-FR"/>
        </w:rPr>
        <w:t xml:space="preserve">, </w:t>
      </w:r>
      <w:r w:rsidR="00DD495D" w:rsidRPr="00137602">
        <w:rPr>
          <w:lang w:val="fr-FR"/>
        </w:rPr>
        <w:t>avec le</w:t>
      </w:r>
      <w:r w:rsidR="00DD495D" w:rsidRPr="00137602">
        <w:rPr>
          <w:lang w:val="fr-BE"/>
        </w:rPr>
        <w:t xml:space="preserve"> </w:t>
      </w:r>
      <w:r w:rsidR="00A44FA6" w:rsidRPr="00DD495D">
        <w:rPr>
          <w:lang w:val="fr-FR"/>
        </w:rPr>
        <w:t>règlement MSU</w:t>
      </w:r>
      <w:r w:rsidR="00773490" w:rsidRPr="00DD495D">
        <w:rPr>
          <w:lang w:val="fr-FR"/>
        </w:rPr>
        <w:t>,</w:t>
      </w:r>
      <w:r w:rsidR="00DC6814" w:rsidRPr="00DD495D">
        <w:rPr>
          <w:lang w:val="fr-FR"/>
        </w:rPr>
        <w:t xml:space="preserve"> </w:t>
      </w:r>
      <w:r w:rsidR="00DD495D" w:rsidRPr="00137602">
        <w:rPr>
          <w:lang w:val="fr-BE"/>
        </w:rPr>
        <w:t xml:space="preserve">avec le </w:t>
      </w:r>
      <w:r w:rsidR="00A44FA6" w:rsidRPr="00DD495D">
        <w:rPr>
          <w:lang w:val="fr-FR"/>
        </w:rPr>
        <w:t>règlement </w:t>
      </w:r>
      <w:r w:rsidR="00DC6814" w:rsidRPr="00DD495D">
        <w:rPr>
          <w:lang w:val="fr-FR"/>
        </w:rPr>
        <w:t>(U</w:t>
      </w:r>
      <w:r w:rsidR="00AF1B4D" w:rsidRPr="00DD495D">
        <w:rPr>
          <w:lang w:val="fr-FR"/>
        </w:rPr>
        <w:t>E</w:t>
      </w:r>
      <w:r w:rsidR="00DC6814" w:rsidRPr="00DD495D">
        <w:rPr>
          <w:lang w:val="fr-FR"/>
        </w:rPr>
        <w:t xml:space="preserve">) </w:t>
      </w:r>
      <w:r w:rsidR="00AF1B4D" w:rsidRPr="00DD495D">
        <w:rPr>
          <w:lang w:val="fr-FR"/>
        </w:rPr>
        <w:t>n° </w:t>
      </w:r>
      <w:r w:rsidR="00DC6814" w:rsidRPr="00DD495D">
        <w:rPr>
          <w:lang w:val="fr-FR"/>
        </w:rPr>
        <w:t>468/201</w:t>
      </w:r>
      <w:r w:rsidR="00773490" w:rsidRPr="00DD495D">
        <w:rPr>
          <w:lang w:val="fr-FR"/>
        </w:rPr>
        <w:t xml:space="preserve"> (</w:t>
      </w:r>
      <w:r w:rsidR="009C3BCB" w:rsidRPr="00DD495D">
        <w:rPr>
          <w:lang w:val="fr-FR"/>
        </w:rPr>
        <w:t>le règlement</w:t>
      </w:r>
      <w:r w:rsidR="00936CF1" w:rsidRPr="00DD495D">
        <w:rPr>
          <w:lang w:val="fr-FR"/>
        </w:rPr>
        <w:t>-</w:t>
      </w:r>
      <w:r w:rsidR="009C3BCB" w:rsidRPr="00DD495D">
        <w:rPr>
          <w:lang w:val="fr-FR"/>
        </w:rPr>
        <w:t>cadre relati</w:t>
      </w:r>
      <w:r w:rsidR="00936CF1" w:rsidRPr="00DD495D">
        <w:rPr>
          <w:lang w:val="fr-FR"/>
        </w:rPr>
        <w:t>f</w:t>
      </w:r>
      <w:r w:rsidR="009C3BCB" w:rsidRPr="00DD495D">
        <w:rPr>
          <w:lang w:val="fr-FR"/>
        </w:rPr>
        <w:t xml:space="preserve"> au MSU</w:t>
      </w:r>
      <w:r w:rsidR="00DC6814" w:rsidRPr="00DD495D">
        <w:rPr>
          <w:lang w:val="fr-FR"/>
        </w:rPr>
        <w:t>)</w:t>
      </w:r>
      <w:r w:rsidR="00773490" w:rsidRPr="00DD495D">
        <w:rPr>
          <w:rStyle w:val="FootnoteReference"/>
          <w:lang w:val="fr-FR"/>
        </w:rPr>
        <w:footnoteReference w:id="5"/>
      </w:r>
      <w:r w:rsidR="00773490" w:rsidRPr="00DD495D">
        <w:rPr>
          <w:lang w:val="fr-FR"/>
        </w:rPr>
        <w:t xml:space="preserve"> </w:t>
      </w:r>
      <w:r w:rsidR="009C3BCB" w:rsidRPr="00DD495D">
        <w:rPr>
          <w:lang w:val="fr-FR"/>
        </w:rPr>
        <w:t xml:space="preserve">et </w:t>
      </w:r>
      <w:r w:rsidR="00DD495D" w:rsidRPr="00137602">
        <w:rPr>
          <w:lang w:val="fr-BE"/>
        </w:rPr>
        <w:t xml:space="preserve">avec </w:t>
      </w:r>
      <w:r w:rsidR="009C3BCB" w:rsidRPr="00DD495D">
        <w:rPr>
          <w:lang w:val="fr-FR"/>
        </w:rPr>
        <w:t>la d</w:t>
      </w:r>
      <w:r w:rsidR="00DC6814" w:rsidRPr="00DD495D">
        <w:rPr>
          <w:lang w:val="fr-FR"/>
        </w:rPr>
        <w:t>irective</w:t>
      </w:r>
      <w:r w:rsidR="009C3BCB" w:rsidRPr="00DD495D">
        <w:rPr>
          <w:lang w:val="fr-FR"/>
        </w:rPr>
        <w:t> </w:t>
      </w:r>
      <w:r w:rsidR="00DC6814" w:rsidRPr="00DD495D">
        <w:rPr>
          <w:lang w:val="fr-FR"/>
        </w:rPr>
        <w:t>2013/36/U</w:t>
      </w:r>
      <w:r w:rsidR="000A3357" w:rsidRPr="00DD495D">
        <w:rPr>
          <w:lang w:val="fr-FR"/>
        </w:rPr>
        <w:t>E</w:t>
      </w:r>
      <w:r w:rsidR="00773490" w:rsidRPr="00DD495D">
        <w:rPr>
          <w:lang w:val="fr-FR"/>
        </w:rPr>
        <w:t xml:space="preserve"> (C</w:t>
      </w:r>
      <w:r w:rsidR="00DC6814" w:rsidRPr="00DD495D">
        <w:rPr>
          <w:lang w:val="fr-FR"/>
        </w:rPr>
        <w:t>RD</w:t>
      </w:r>
      <w:r w:rsidR="009C3BCB" w:rsidRPr="00DD495D">
        <w:rPr>
          <w:lang w:val="fr-FR"/>
        </w:rPr>
        <w:t> </w:t>
      </w:r>
      <w:r w:rsidR="00DC6814" w:rsidRPr="00DD495D">
        <w:rPr>
          <w:lang w:val="fr-FR"/>
        </w:rPr>
        <w:t>IV)</w:t>
      </w:r>
      <w:r w:rsidR="00DC6814" w:rsidRPr="00DD495D">
        <w:rPr>
          <w:rStyle w:val="FootnoteReference"/>
          <w:lang w:val="fr-FR"/>
        </w:rPr>
        <w:footnoteReference w:id="6"/>
      </w:r>
      <w:r w:rsidR="003C395B" w:rsidRPr="00DD495D">
        <w:rPr>
          <w:lang w:val="fr-FR"/>
        </w:rPr>
        <w:t>.</w:t>
      </w:r>
    </w:p>
    <w:p w14:paraId="76DE89E2" w14:textId="1AE4AEDC" w:rsidR="00DC6814" w:rsidRPr="00DD495D" w:rsidRDefault="0017047F" w:rsidP="00FD4826">
      <w:pPr>
        <w:rPr>
          <w:lang w:val="fr-FR"/>
        </w:rPr>
      </w:pPr>
      <w:r w:rsidRPr="00DD495D">
        <w:rPr>
          <w:lang w:val="fr-FR"/>
        </w:rPr>
        <w:t>E</w:t>
      </w:r>
      <w:r w:rsidR="00DC6814" w:rsidRPr="00DD495D">
        <w:rPr>
          <w:lang w:val="fr-FR"/>
        </w:rPr>
        <w:t>n particul</w:t>
      </w:r>
      <w:r w:rsidRPr="00DD495D">
        <w:rPr>
          <w:lang w:val="fr-FR"/>
        </w:rPr>
        <w:t>ie</w:t>
      </w:r>
      <w:r w:rsidR="00DC6814" w:rsidRPr="00DD495D">
        <w:rPr>
          <w:lang w:val="fr-FR"/>
        </w:rPr>
        <w:t xml:space="preserve">r, </w:t>
      </w:r>
      <w:r w:rsidRPr="00DD495D">
        <w:rPr>
          <w:lang w:val="fr-FR"/>
        </w:rPr>
        <w:t>la BCE</w:t>
      </w:r>
      <w:r w:rsidR="002B33AA" w:rsidRPr="00DD495D">
        <w:rPr>
          <w:lang w:val="fr-FR"/>
        </w:rPr>
        <w:t xml:space="preserve"> doit </w:t>
      </w:r>
      <w:r w:rsidR="00A23DD5" w:rsidRPr="00DD495D">
        <w:rPr>
          <w:lang w:val="fr-FR"/>
        </w:rPr>
        <w:t xml:space="preserve">veiller </w:t>
      </w:r>
      <w:r w:rsidR="002C7C74" w:rsidRPr="00DD495D">
        <w:rPr>
          <w:lang w:val="fr-FR"/>
        </w:rPr>
        <w:t>au respect</w:t>
      </w:r>
      <w:r w:rsidR="00DC6814" w:rsidRPr="00DD495D">
        <w:rPr>
          <w:lang w:val="fr-FR"/>
        </w:rPr>
        <w:t xml:space="preserve"> </w:t>
      </w:r>
      <w:r w:rsidR="004E1089" w:rsidRPr="00DD495D">
        <w:rPr>
          <w:lang w:val="fr-FR"/>
        </w:rPr>
        <w:t>du droit</w:t>
      </w:r>
      <w:r w:rsidR="004A7FBB" w:rsidRPr="00DD495D">
        <w:rPr>
          <w:lang w:val="fr-FR"/>
        </w:rPr>
        <w:t xml:space="preserve"> </w:t>
      </w:r>
      <w:r w:rsidR="004E1089" w:rsidRPr="00DD495D">
        <w:rPr>
          <w:lang w:val="fr-FR"/>
        </w:rPr>
        <w:t>de l’</w:t>
      </w:r>
      <w:r w:rsidR="00DC6814" w:rsidRPr="00DD495D">
        <w:rPr>
          <w:lang w:val="fr-FR"/>
        </w:rPr>
        <w:t xml:space="preserve">Union </w:t>
      </w:r>
      <w:r w:rsidR="00E708EA" w:rsidRPr="00DD495D">
        <w:rPr>
          <w:lang w:val="fr-FR"/>
        </w:rPr>
        <w:t xml:space="preserve">applicable </w:t>
      </w:r>
      <w:r w:rsidR="00070DEF" w:rsidRPr="00DD495D">
        <w:rPr>
          <w:lang w:val="fr-FR"/>
        </w:rPr>
        <w:t xml:space="preserve">qui impose aux établissements de crédit des exigences en vertu desquelles ceux-ci devront disposer de dispositifs solides en matière de gouvernance, y compris les exigences </w:t>
      </w:r>
      <w:r w:rsidR="00CA2553" w:rsidRPr="00146119">
        <w:rPr>
          <w:lang w:val="fr-BE"/>
        </w:rPr>
        <w:t>d’expertise et d’honorabilité</w:t>
      </w:r>
      <w:r w:rsidR="00070DEF" w:rsidRPr="00DD495D">
        <w:rPr>
          <w:lang w:val="fr-FR"/>
        </w:rPr>
        <w:t xml:space="preserve"> nécessaires à l’exercice des fonctions des personnes chargées de la gestion des établissements de crédit</w:t>
      </w:r>
      <w:r w:rsidR="00DC6814" w:rsidRPr="00DD495D">
        <w:rPr>
          <w:rStyle w:val="FootnoteReference"/>
          <w:lang w:val="fr-FR"/>
        </w:rPr>
        <w:footnoteReference w:id="7"/>
      </w:r>
      <w:r w:rsidR="00070DEF" w:rsidRPr="00DD495D">
        <w:rPr>
          <w:lang w:val="fr-FR"/>
        </w:rPr>
        <w:t>.</w:t>
      </w:r>
      <w:r w:rsidR="00DC6814" w:rsidRPr="00DD495D">
        <w:rPr>
          <w:lang w:val="fr-FR"/>
        </w:rPr>
        <w:t xml:space="preserve"> </w:t>
      </w:r>
      <w:r w:rsidR="00007A01" w:rsidRPr="00DD495D">
        <w:rPr>
          <w:lang w:val="fr-FR"/>
        </w:rPr>
        <w:t>Aux fins de l’accomplissement de ses missions</w:t>
      </w:r>
      <w:r w:rsidR="00DC6814" w:rsidRPr="00DD495D">
        <w:rPr>
          <w:lang w:val="fr-FR"/>
        </w:rPr>
        <w:t xml:space="preserve">, </w:t>
      </w:r>
      <w:r w:rsidR="00007A01" w:rsidRPr="00DD495D">
        <w:rPr>
          <w:lang w:val="fr-FR"/>
        </w:rPr>
        <w:t>la BCE</w:t>
      </w:r>
      <w:r w:rsidR="00DC6814" w:rsidRPr="00DD495D">
        <w:rPr>
          <w:lang w:val="fr-FR"/>
        </w:rPr>
        <w:t xml:space="preserve"> </w:t>
      </w:r>
      <w:r w:rsidR="00007A01" w:rsidRPr="00DD495D">
        <w:rPr>
          <w:lang w:val="fr-FR"/>
        </w:rPr>
        <w:t xml:space="preserve">dispose du pouvoir de démettre, à tout moment, de leurs fonctions les membres de l’organe </w:t>
      </w:r>
      <w:proofErr w:type="spellStart"/>
      <w:r w:rsidR="0022684E">
        <w:t>l</w:t>
      </w:r>
      <w:r w:rsidR="0028315C">
        <w:t>é</w:t>
      </w:r>
      <w:r w:rsidR="0022684E">
        <w:t>gal</w:t>
      </w:r>
      <w:proofErr w:type="spellEnd"/>
      <w:r w:rsidR="0022684E">
        <w:t xml:space="preserve"> </w:t>
      </w:r>
      <w:proofErr w:type="spellStart"/>
      <w:r w:rsidR="0022684E">
        <w:t>d’administration</w:t>
      </w:r>
      <w:proofErr w:type="spellEnd"/>
      <w:r w:rsidR="00007A01" w:rsidRPr="00DD495D">
        <w:rPr>
          <w:lang w:val="fr-FR"/>
        </w:rPr>
        <w:t xml:space="preserve"> des établissements de crédit qui ne remplissent pas les obligations prévues dans les actes du droit de l’Union</w:t>
      </w:r>
      <w:r w:rsidR="00E708EA" w:rsidRPr="00DD495D">
        <w:rPr>
          <w:lang w:val="fr-FR"/>
        </w:rPr>
        <w:t xml:space="preserve"> applicable</w:t>
      </w:r>
      <w:r w:rsidR="00DC6814" w:rsidRPr="00DD495D">
        <w:rPr>
          <w:rStyle w:val="FootnoteReference"/>
          <w:lang w:val="fr-FR"/>
        </w:rPr>
        <w:footnoteReference w:id="8"/>
      </w:r>
      <w:r w:rsidR="00007A01" w:rsidRPr="00DD495D">
        <w:rPr>
          <w:lang w:val="fr-FR"/>
        </w:rPr>
        <w:t>.</w:t>
      </w:r>
    </w:p>
    <w:p w14:paraId="525CA806" w14:textId="09DACC68" w:rsidR="00DC6814" w:rsidRPr="00DD495D" w:rsidRDefault="00007A01" w:rsidP="00FD4826">
      <w:pPr>
        <w:rPr>
          <w:lang w:val="fr-FR"/>
        </w:rPr>
      </w:pPr>
      <w:r w:rsidRPr="00DD495D">
        <w:rPr>
          <w:lang w:val="fr-FR"/>
        </w:rPr>
        <w:t>Par ailleurs</w:t>
      </w:r>
      <w:r w:rsidR="00DC6814" w:rsidRPr="00DD495D">
        <w:rPr>
          <w:lang w:val="fr-FR"/>
        </w:rPr>
        <w:t xml:space="preserve">, </w:t>
      </w:r>
      <w:r w:rsidRPr="00DD495D">
        <w:rPr>
          <w:lang w:val="fr-FR"/>
        </w:rPr>
        <w:t>l’a</w:t>
      </w:r>
      <w:r w:rsidR="00DC6814" w:rsidRPr="00DD495D">
        <w:rPr>
          <w:lang w:val="fr-FR"/>
        </w:rPr>
        <w:t>rticle</w:t>
      </w:r>
      <w:r w:rsidRPr="00DD495D">
        <w:rPr>
          <w:lang w:val="fr-FR"/>
        </w:rPr>
        <w:t> </w:t>
      </w:r>
      <w:r w:rsidR="00DC6814" w:rsidRPr="00DD495D">
        <w:rPr>
          <w:lang w:val="fr-FR"/>
        </w:rPr>
        <w:t>91</w:t>
      </w:r>
      <w:r w:rsidRPr="00DD495D">
        <w:rPr>
          <w:lang w:val="fr-FR"/>
        </w:rPr>
        <w:t>, paragraphe </w:t>
      </w:r>
      <w:r w:rsidR="00DC6814" w:rsidRPr="00DD495D">
        <w:rPr>
          <w:lang w:val="fr-FR"/>
        </w:rPr>
        <w:t>1</w:t>
      </w:r>
      <w:r w:rsidRPr="00DD495D">
        <w:rPr>
          <w:lang w:val="fr-FR"/>
        </w:rPr>
        <w:t>, de la</w:t>
      </w:r>
      <w:r w:rsidR="00DC6814" w:rsidRPr="00DD495D">
        <w:rPr>
          <w:lang w:val="fr-FR"/>
        </w:rPr>
        <w:t xml:space="preserve"> CRD</w:t>
      </w:r>
      <w:r w:rsidRPr="00DD495D">
        <w:rPr>
          <w:lang w:val="fr-FR"/>
        </w:rPr>
        <w:t> </w:t>
      </w:r>
      <w:r w:rsidR="00DC6814" w:rsidRPr="00DD495D">
        <w:rPr>
          <w:lang w:val="fr-FR"/>
        </w:rPr>
        <w:t xml:space="preserve">IV </w:t>
      </w:r>
      <w:r w:rsidR="00EC5565" w:rsidRPr="00DD495D">
        <w:rPr>
          <w:lang w:val="fr-FR"/>
        </w:rPr>
        <w:t xml:space="preserve">prévoit que les membres de l’organe </w:t>
      </w:r>
      <w:proofErr w:type="spellStart"/>
      <w:r w:rsidR="0022684E">
        <w:t>l</w:t>
      </w:r>
      <w:r w:rsidR="0028315C">
        <w:t>é</w:t>
      </w:r>
      <w:r w:rsidR="0022684E">
        <w:t>gal</w:t>
      </w:r>
      <w:proofErr w:type="spellEnd"/>
      <w:r w:rsidR="0022684E">
        <w:t xml:space="preserve"> </w:t>
      </w:r>
      <w:proofErr w:type="spellStart"/>
      <w:r w:rsidR="0022684E">
        <w:t>d’administration</w:t>
      </w:r>
      <w:proofErr w:type="spellEnd"/>
      <w:r w:rsidR="00EC5565" w:rsidRPr="00DD495D">
        <w:rPr>
          <w:lang w:val="fr-FR"/>
        </w:rPr>
        <w:t xml:space="preserve"> disposent à tout moment de l’honorabilité et des connaissances, des compétences et de l’expérience nécessaires à l’exercice de leurs attributions</w:t>
      </w:r>
      <w:r w:rsidR="00DC6814" w:rsidRPr="00DD495D">
        <w:rPr>
          <w:lang w:val="fr-FR"/>
        </w:rPr>
        <w:t>.</w:t>
      </w:r>
    </w:p>
    <w:p w14:paraId="47A6D103" w14:textId="209C4685" w:rsidR="00EE3BCE" w:rsidRPr="00DD495D" w:rsidRDefault="00EC5565" w:rsidP="00FD4826">
      <w:pPr>
        <w:rPr>
          <w:lang w:val="fr-FR"/>
        </w:rPr>
      </w:pPr>
      <w:r w:rsidRPr="00DD495D">
        <w:rPr>
          <w:lang w:val="fr-FR"/>
        </w:rPr>
        <w:t>Les a</w:t>
      </w:r>
      <w:r w:rsidR="00DC6814" w:rsidRPr="00DD495D">
        <w:rPr>
          <w:lang w:val="fr-FR"/>
        </w:rPr>
        <w:t>rticles</w:t>
      </w:r>
      <w:r w:rsidRPr="00DD495D">
        <w:rPr>
          <w:lang w:val="fr-FR"/>
        </w:rPr>
        <w:t> </w:t>
      </w:r>
      <w:r w:rsidR="00DC6814" w:rsidRPr="00DD495D">
        <w:rPr>
          <w:lang w:val="fr-FR"/>
        </w:rPr>
        <w:t xml:space="preserve">93 </w:t>
      </w:r>
      <w:r w:rsidRPr="00DD495D">
        <w:rPr>
          <w:lang w:val="fr-FR"/>
        </w:rPr>
        <w:t>et</w:t>
      </w:r>
      <w:r w:rsidR="00DC6814" w:rsidRPr="00DD495D">
        <w:rPr>
          <w:lang w:val="fr-FR"/>
        </w:rPr>
        <w:t xml:space="preserve"> 94 </w:t>
      </w:r>
      <w:r w:rsidRPr="00DD495D">
        <w:rPr>
          <w:lang w:val="fr-FR"/>
        </w:rPr>
        <w:t>du règlement-cadre relati</w:t>
      </w:r>
      <w:r w:rsidR="0098097A" w:rsidRPr="00DD495D">
        <w:rPr>
          <w:lang w:val="fr-FR"/>
        </w:rPr>
        <w:t>f</w:t>
      </w:r>
      <w:r w:rsidRPr="00DD495D">
        <w:rPr>
          <w:lang w:val="fr-FR"/>
        </w:rPr>
        <w:t xml:space="preserve"> au MSU</w:t>
      </w:r>
      <w:r w:rsidR="00EB6638" w:rsidRPr="00DD495D">
        <w:rPr>
          <w:lang w:val="fr-FR"/>
        </w:rPr>
        <w:t xml:space="preserve"> </w:t>
      </w:r>
      <w:r w:rsidR="0039508F" w:rsidRPr="00DD495D">
        <w:rPr>
          <w:lang w:val="fr-FR"/>
        </w:rPr>
        <w:t>définissent</w:t>
      </w:r>
      <w:r w:rsidR="00EB6638" w:rsidRPr="00DD495D">
        <w:rPr>
          <w:lang w:val="fr-FR"/>
        </w:rPr>
        <w:t xml:space="preserve"> les règles</w:t>
      </w:r>
      <w:r w:rsidR="00DC6814" w:rsidRPr="00DD495D">
        <w:rPr>
          <w:lang w:val="fr-FR"/>
        </w:rPr>
        <w:t xml:space="preserve"> </w:t>
      </w:r>
      <w:r w:rsidR="0039508F" w:rsidRPr="00DD495D">
        <w:rPr>
          <w:lang w:val="fr-FR"/>
        </w:rPr>
        <w:t xml:space="preserve">relatives à l’évaluation, par la BCE, du respect des exigences </w:t>
      </w:r>
      <w:r w:rsidR="00CA2553" w:rsidRPr="00146119">
        <w:rPr>
          <w:lang w:val="fr-BE"/>
        </w:rPr>
        <w:t>d’expertise et d’honorabilité</w:t>
      </w:r>
      <w:r w:rsidR="0039508F" w:rsidRPr="00DD495D">
        <w:rPr>
          <w:lang w:val="fr-FR"/>
        </w:rPr>
        <w:t xml:space="preserve"> nécessaires à l’exercice des fonctions des personnes chargées de la gestion des établissements de crédit</w:t>
      </w:r>
      <w:r w:rsidR="00DC6814" w:rsidRPr="00DD495D">
        <w:rPr>
          <w:lang w:val="fr-FR"/>
        </w:rPr>
        <w:t xml:space="preserve">. </w:t>
      </w:r>
      <w:r w:rsidR="00F54392" w:rsidRPr="00DD495D">
        <w:rPr>
          <w:lang w:val="fr-FR"/>
        </w:rPr>
        <w:t xml:space="preserve">Pour garantir qu’il soit à tout moment satisfait </w:t>
      </w:r>
      <w:r w:rsidR="007C6161" w:rsidRPr="00DD495D">
        <w:rPr>
          <w:lang w:val="fr-FR"/>
        </w:rPr>
        <w:t>aux</w:t>
      </w:r>
      <w:r w:rsidR="00F54392" w:rsidRPr="00DD495D">
        <w:rPr>
          <w:lang w:val="fr-FR"/>
        </w:rPr>
        <w:t xml:space="preserve"> exigences</w:t>
      </w:r>
      <w:r w:rsidR="007C6161" w:rsidRPr="00DD495D">
        <w:rPr>
          <w:lang w:val="fr-FR"/>
        </w:rPr>
        <w:t xml:space="preserve"> </w:t>
      </w:r>
      <w:r w:rsidR="00E708EA" w:rsidRPr="00DD495D">
        <w:rPr>
          <w:lang w:val="fr-FR"/>
        </w:rPr>
        <w:t>d’honorabilité, de connaissances, de compétences et d’expérience</w:t>
      </w:r>
      <w:r w:rsidR="00DC6814" w:rsidRPr="00DD495D">
        <w:rPr>
          <w:lang w:val="fr-FR"/>
        </w:rPr>
        <w:t xml:space="preserve">, </w:t>
      </w:r>
      <w:r w:rsidR="007C6161" w:rsidRPr="00DD495D">
        <w:rPr>
          <w:lang w:val="fr-FR"/>
        </w:rPr>
        <w:t>la BCE peut</w:t>
      </w:r>
      <w:r w:rsidR="00654B07" w:rsidRPr="00DD495D">
        <w:rPr>
          <w:lang w:val="fr-FR"/>
        </w:rPr>
        <w:t xml:space="preserve"> prendre l’initiative d’une nouvelle évaluation basée sur de nouveaux faits </w:t>
      </w:r>
      <w:r w:rsidR="007627D1" w:rsidRPr="00DD495D">
        <w:rPr>
          <w:lang w:val="fr-FR"/>
        </w:rPr>
        <w:t xml:space="preserve">ou points </w:t>
      </w:r>
      <w:r w:rsidR="00654B07" w:rsidRPr="00DD495D">
        <w:rPr>
          <w:lang w:val="fr-FR"/>
        </w:rPr>
        <w:t xml:space="preserve">si elle prend connaissance de nouveaux faits pouvant avoir une incidence sur l’évaluation initiale du membre de l’organe </w:t>
      </w:r>
      <w:proofErr w:type="spellStart"/>
      <w:r w:rsidR="0028315C">
        <w:t>légal</w:t>
      </w:r>
      <w:proofErr w:type="spellEnd"/>
      <w:r w:rsidR="0028315C">
        <w:t xml:space="preserve"> </w:t>
      </w:r>
      <w:proofErr w:type="spellStart"/>
      <w:r w:rsidR="0028315C">
        <w:t>d’administration</w:t>
      </w:r>
      <w:proofErr w:type="spellEnd"/>
      <w:r w:rsidR="00654B07" w:rsidRPr="00DD495D">
        <w:rPr>
          <w:lang w:val="fr-FR"/>
        </w:rPr>
        <w:t xml:space="preserve"> concerné</w:t>
      </w:r>
      <w:r w:rsidR="00DC6814" w:rsidRPr="00DD495D">
        <w:rPr>
          <w:lang w:val="fr-FR"/>
        </w:rPr>
        <w:t>.</w:t>
      </w:r>
    </w:p>
    <w:p w14:paraId="65AD29F8" w14:textId="77777777" w:rsidR="00EE3BCE" w:rsidRPr="00DD495D" w:rsidRDefault="00EE3BCE">
      <w:pPr>
        <w:rPr>
          <w:lang w:val="fr-FR"/>
        </w:rPr>
      </w:pPr>
      <w:r w:rsidRPr="00DD495D">
        <w:rPr>
          <w:lang w:val="fr-FR"/>
        </w:rPr>
        <w:br w:type="page"/>
      </w:r>
    </w:p>
    <w:p w14:paraId="3F2FECAE" w14:textId="4BC1246A" w:rsidR="005C6268" w:rsidRPr="00DD495D" w:rsidRDefault="005C6268" w:rsidP="005C6268">
      <w:pPr>
        <w:pStyle w:val="Heading2"/>
        <w:rPr>
          <w:lang w:val="fr-FR"/>
        </w:rPr>
      </w:pPr>
      <w:r w:rsidRPr="00DD495D">
        <w:rPr>
          <w:lang w:val="fr-FR"/>
        </w:rPr>
        <w:t>Cat</w:t>
      </w:r>
      <w:r w:rsidR="00171EA8" w:rsidRPr="00DD495D">
        <w:rPr>
          <w:lang w:val="fr-FR"/>
        </w:rPr>
        <w:t>é</w:t>
      </w:r>
      <w:r w:rsidRPr="00DD495D">
        <w:rPr>
          <w:lang w:val="fr-FR"/>
        </w:rPr>
        <w:t xml:space="preserve">gories </w:t>
      </w:r>
      <w:r w:rsidR="00171EA8" w:rsidRPr="00DD495D">
        <w:rPr>
          <w:lang w:val="fr-FR"/>
        </w:rPr>
        <w:t>de données</w:t>
      </w:r>
      <w:r w:rsidRPr="00DD495D">
        <w:rPr>
          <w:lang w:val="fr-FR"/>
        </w:rPr>
        <w:t xml:space="preserve"> </w:t>
      </w:r>
      <w:r w:rsidR="00DE43E2" w:rsidRPr="00DD495D">
        <w:rPr>
          <w:lang w:val="fr-FR"/>
        </w:rPr>
        <w:t xml:space="preserve">à caractère </w:t>
      </w:r>
      <w:r w:rsidRPr="00DD495D">
        <w:rPr>
          <w:lang w:val="fr-FR"/>
        </w:rPr>
        <w:t>person</w:t>
      </w:r>
      <w:r w:rsidR="00171EA8" w:rsidRPr="00DD495D">
        <w:rPr>
          <w:lang w:val="fr-FR"/>
        </w:rPr>
        <w:t>ne</w:t>
      </w:r>
      <w:r w:rsidRPr="00DD495D">
        <w:rPr>
          <w:lang w:val="fr-FR"/>
        </w:rPr>
        <w:t>l</w:t>
      </w:r>
      <w:r w:rsidR="00171EA8" w:rsidRPr="00DD495D">
        <w:rPr>
          <w:lang w:val="fr-FR"/>
        </w:rPr>
        <w:t xml:space="preserve"> traitées par la Banque centrale européenne</w:t>
      </w:r>
    </w:p>
    <w:p w14:paraId="2C97A408" w14:textId="09460421" w:rsidR="00DC6814" w:rsidRPr="00DD495D" w:rsidRDefault="00FA4332" w:rsidP="00DC6814">
      <w:pPr>
        <w:rPr>
          <w:lang w:val="fr-FR"/>
        </w:rPr>
      </w:pPr>
      <w:r w:rsidRPr="00DD495D">
        <w:rPr>
          <w:lang w:val="fr-FR"/>
        </w:rPr>
        <w:t xml:space="preserve">Les données suivantes à caractère personnel sont traitées </w:t>
      </w:r>
      <w:r w:rsidR="009C7480" w:rsidRPr="00DD495D">
        <w:rPr>
          <w:lang w:val="fr-FR"/>
        </w:rPr>
        <w:t>au regard des évaluations de l’expertise et de l’honorabilité</w:t>
      </w:r>
      <w:r w:rsidR="00A12FB1" w:rsidRPr="00DD495D">
        <w:rPr>
          <w:lang w:val="fr-FR"/>
        </w:rPr>
        <w:t> :</w:t>
      </w:r>
    </w:p>
    <w:p w14:paraId="507C920F" w14:textId="74043908" w:rsidR="00DC6814" w:rsidRPr="00DD495D" w:rsidRDefault="00A12FB1" w:rsidP="00DC6814">
      <w:pPr>
        <w:pStyle w:val="ListNumber2"/>
        <w:rPr>
          <w:lang w:val="fr-FR"/>
        </w:rPr>
      </w:pPr>
      <w:r w:rsidRPr="00DD495D">
        <w:rPr>
          <w:lang w:val="fr-FR"/>
        </w:rPr>
        <w:t>les données à caractère personnel fournies par les demandeurs</w:t>
      </w:r>
      <w:r w:rsidR="00DC6814" w:rsidRPr="00DD495D">
        <w:rPr>
          <w:lang w:val="fr-FR"/>
        </w:rPr>
        <w:t xml:space="preserve"> (</w:t>
      </w:r>
      <w:r w:rsidRPr="00DD495D">
        <w:rPr>
          <w:lang w:val="fr-FR"/>
        </w:rPr>
        <w:t>par écrit</w:t>
      </w:r>
      <w:r w:rsidR="00DC6814" w:rsidRPr="00DD495D">
        <w:rPr>
          <w:rStyle w:val="FootnoteReference"/>
          <w:lang w:val="fr-FR"/>
        </w:rPr>
        <w:footnoteReference w:id="9"/>
      </w:r>
      <w:r w:rsidR="00DC6814" w:rsidRPr="00DD495D">
        <w:rPr>
          <w:lang w:val="fr-FR"/>
        </w:rPr>
        <w:t xml:space="preserve"> o</w:t>
      </w:r>
      <w:r w:rsidRPr="00DD495D">
        <w:rPr>
          <w:lang w:val="fr-FR"/>
        </w:rPr>
        <w:t>u au cours d’entretiens</w:t>
      </w:r>
      <w:r w:rsidR="00DC6814" w:rsidRPr="00DD495D">
        <w:rPr>
          <w:lang w:val="fr-FR"/>
        </w:rPr>
        <w:t xml:space="preserve">) </w:t>
      </w:r>
      <w:r w:rsidRPr="00DD495D">
        <w:rPr>
          <w:lang w:val="fr-FR"/>
        </w:rPr>
        <w:t>qui portent sur </w:t>
      </w:r>
      <w:r w:rsidR="00DC6814" w:rsidRPr="00DD495D">
        <w:rPr>
          <w:lang w:val="fr-FR"/>
        </w:rPr>
        <w:t>:</w:t>
      </w:r>
    </w:p>
    <w:p w14:paraId="55FC2A68" w14:textId="49776EFB" w:rsidR="005C6268" w:rsidRPr="00DD495D" w:rsidRDefault="00AF05AD" w:rsidP="005C6268">
      <w:pPr>
        <w:pStyle w:val="ListParagraph"/>
        <w:numPr>
          <w:ilvl w:val="0"/>
          <w:numId w:val="20"/>
        </w:numPr>
        <w:spacing w:after="0"/>
        <w:contextualSpacing/>
        <w:jc w:val="both"/>
        <w:rPr>
          <w:rFonts w:ascii="Arial" w:hAnsi="Arial" w:cs="Arial"/>
          <w:sz w:val="19"/>
          <w:lang w:val="fr-FR"/>
        </w:rPr>
      </w:pPr>
      <w:r w:rsidRPr="00DD495D">
        <w:rPr>
          <w:lang w:val="fr-FR"/>
        </w:rPr>
        <w:t xml:space="preserve">les </w:t>
      </w:r>
      <w:r w:rsidRPr="00DD495D">
        <w:rPr>
          <w:rStyle w:val="IntenseEmphasis"/>
          <w:lang w:val="fr-FR"/>
        </w:rPr>
        <w:t>données</w:t>
      </w:r>
      <w:r w:rsidR="004960A5" w:rsidRPr="00DD495D">
        <w:rPr>
          <w:rStyle w:val="IntenseEmphasis"/>
          <w:lang w:val="fr-FR"/>
        </w:rPr>
        <w:t xml:space="preserve"> personnelles</w:t>
      </w:r>
      <w:r w:rsidR="005C6268" w:rsidRPr="00DD495D">
        <w:rPr>
          <w:rFonts w:ascii="Arial" w:hAnsi="Arial" w:cs="Arial"/>
          <w:sz w:val="19"/>
          <w:lang w:val="fr-FR"/>
        </w:rPr>
        <w:t xml:space="preserve">, </w:t>
      </w:r>
      <w:r w:rsidRPr="00DD495D">
        <w:rPr>
          <w:lang w:val="fr-FR"/>
        </w:rPr>
        <w:t>comme le nom complet</w:t>
      </w:r>
      <w:r w:rsidR="005C6268" w:rsidRPr="00DD495D">
        <w:rPr>
          <w:rFonts w:ascii="Arial" w:hAnsi="Arial" w:cs="Arial"/>
          <w:sz w:val="19"/>
          <w:lang w:val="fr-FR"/>
        </w:rPr>
        <w:t xml:space="preserve">, </w:t>
      </w:r>
      <w:r w:rsidRPr="00DD495D">
        <w:rPr>
          <w:lang w:val="fr-FR"/>
        </w:rPr>
        <w:t>le numéro de carte d’identité/</w:t>
      </w:r>
      <w:r w:rsidR="0086265E" w:rsidRPr="00DD495D">
        <w:rPr>
          <w:lang w:val="fr-FR"/>
        </w:rPr>
        <w:t xml:space="preserve">de </w:t>
      </w:r>
      <w:r w:rsidR="005C6268" w:rsidRPr="00DD495D">
        <w:rPr>
          <w:rFonts w:ascii="Arial" w:hAnsi="Arial" w:cs="Arial"/>
          <w:sz w:val="19"/>
          <w:lang w:val="fr-FR"/>
        </w:rPr>
        <w:t>pass</w:t>
      </w:r>
      <w:r w:rsidR="0086265E" w:rsidRPr="00DD495D">
        <w:rPr>
          <w:lang w:val="fr-FR"/>
        </w:rPr>
        <w:t>e</w:t>
      </w:r>
      <w:r w:rsidR="005C6268" w:rsidRPr="00DD495D">
        <w:rPr>
          <w:rFonts w:ascii="Arial" w:hAnsi="Arial" w:cs="Arial"/>
          <w:sz w:val="19"/>
          <w:lang w:val="fr-FR"/>
        </w:rPr>
        <w:t xml:space="preserve">port, </w:t>
      </w:r>
      <w:r w:rsidR="0086265E" w:rsidRPr="00DD495D">
        <w:rPr>
          <w:lang w:val="fr-FR"/>
        </w:rPr>
        <w:t xml:space="preserve">la </w:t>
      </w:r>
      <w:r w:rsidR="005C6268" w:rsidRPr="00DD495D">
        <w:rPr>
          <w:rFonts w:ascii="Arial" w:hAnsi="Arial" w:cs="Arial"/>
          <w:sz w:val="19"/>
          <w:lang w:val="fr-FR"/>
        </w:rPr>
        <w:t>nationalit</w:t>
      </w:r>
      <w:r w:rsidR="0086265E" w:rsidRPr="00DD495D">
        <w:rPr>
          <w:lang w:val="fr-FR"/>
        </w:rPr>
        <w:t>é </w:t>
      </w:r>
      <w:r w:rsidR="005C6268" w:rsidRPr="00DD495D">
        <w:rPr>
          <w:rFonts w:ascii="Arial" w:hAnsi="Arial" w:cs="Arial"/>
          <w:sz w:val="19"/>
          <w:lang w:val="fr-FR"/>
        </w:rPr>
        <w:t>;</w:t>
      </w:r>
    </w:p>
    <w:p w14:paraId="45F3B345" w14:textId="1E6360E9" w:rsidR="005C6268" w:rsidRPr="00DD495D" w:rsidRDefault="0086265E" w:rsidP="005C6268">
      <w:pPr>
        <w:pStyle w:val="ListParagraph"/>
        <w:numPr>
          <w:ilvl w:val="0"/>
          <w:numId w:val="20"/>
        </w:numPr>
        <w:spacing w:after="0"/>
        <w:contextualSpacing/>
        <w:jc w:val="both"/>
        <w:rPr>
          <w:rFonts w:ascii="Arial" w:hAnsi="Arial" w:cs="Arial"/>
          <w:sz w:val="19"/>
          <w:lang w:val="fr-FR"/>
        </w:rPr>
      </w:pPr>
      <w:r w:rsidRPr="00DD495D">
        <w:rPr>
          <w:lang w:val="fr-FR"/>
        </w:rPr>
        <w:t xml:space="preserve">les </w:t>
      </w:r>
      <w:r w:rsidRPr="00DD495D">
        <w:rPr>
          <w:rStyle w:val="IntenseEmphasis"/>
          <w:lang w:val="fr-FR"/>
        </w:rPr>
        <w:t>coordonnées</w:t>
      </w:r>
      <w:r w:rsidR="005C6268" w:rsidRPr="00DD495D">
        <w:rPr>
          <w:rFonts w:ascii="Arial" w:hAnsi="Arial" w:cs="Arial"/>
          <w:b/>
          <w:sz w:val="19"/>
          <w:lang w:val="fr-FR"/>
        </w:rPr>
        <w:t>,</w:t>
      </w:r>
      <w:r w:rsidR="004960A5" w:rsidRPr="00DD495D">
        <w:rPr>
          <w:lang w:val="fr-FR"/>
        </w:rPr>
        <w:t xml:space="preserve"> </w:t>
      </w:r>
      <w:r w:rsidR="009824C6" w:rsidRPr="00DD495D">
        <w:rPr>
          <w:lang w:val="fr-FR"/>
        </w:rPr>
        <w:t>comme l’</w:t>
      </w:r>
      <w:r w:rsidR="005C6268" w:rsidRPr="00DD495D">
        <w:rPr>
          <w:rFonts w:ascii="Arial" w:hAnsi="Arial" w:cs="Arial"/>
          <w:sz w:val="19"/>
          <w:lang w:val="fr-FR"/>
        </w:rPr>
        <w:t>adress</w:t>
      </w:r>
      <w:r w:rsidR="009824C6" w:rsidRPr="00DD495D">
        <w:rPr>
          <w:lang w:val="fr-FR"/>
        </w:rPr>
        <w:t>e</w:t>
      </w:r>
      <w:r w:rsidR="00DD495D" w:rsidRPr="00137602">
        <w:rPr>
          <w:lang w:val="fr-BE"/>
        </w:rPr>
        <w:t xml:space="preserve"> physique</w:t>
      </w:r>
      <w:r w:rsidR="005C6268" w:rsidRPr="00DD495D">
        <w:rPr>
          <w:rFonts w:ascii="Arial" w:hAnsi="Arial" w:cs="Arial"/>
          <w:sz w:val="19"/>
          <w:lang w:val="fr-FR"/>
        </w:rPr>
        <w:t xml:space="preserve">, </w:t>
      </w:r>
      <w:r w:rsidR="00DD495D" w:rsidRPr="00137602">
        <w:rPr>
          <w:lang w:val="fr-FR"/>
        </w:rPr>
        <w:t>l’adresse électronique</w:t>
      </w:r>
      <w:r w:rsidR="004960A5" w:rsidRPr="00DD495D">
        <w:rPr>
          <w:lang w:val="fr-FR"/>
        </w:rPr>
        <w:t>, le numéro de télé</w:t>
      </w:r>
      <w:r w:rsidR="005C6268" w:rsidRPr="00DD495D">
        <w:rPr>
          <w:rFonts w:ascii="Arial" w:hAnsi="Arial" w:cs="Arial"/>
          <w:sz w:val="19"/>
          <w:lang w:val="fr-FR"/>
        </w:rPr>
        <w:t>phone</w:t>
      </w:r>
      <w:r w:rsidR="004960A5" w:rsidRPr="00DD495D">
        <w:rPr>
          <w:lang w:val="fr-FR"/>
        </w:rPr>
        <w:t> </w:t>
      </w:r>
      <w:r w:rsidR="005C6268" w:rsidRPr="00DD495D">
        <w:rPr>
          <w:rFonts w:ascii="Arial" w:hAnsi="Arial" w:cs="Arial"/>
          <w:sz w:val="19"/>
          <w:lang w:val="fr-FR"/>
        </w:rPr>
        <w:t>;</w:t>
      </w:r>
    </w:p>
    <w:p w14:paraId="31312F97" w14:textId="07847261" w:rsidR="005C6268" w:rsidRPr="00DD495D" w:rsidRDefault="004960A5" w:rsidP="005C6268">
      <w:pPr>
        <w:pStyle w:val="ListParagraph"/>
        <w:numPr>
          <w:ilvl w:val="0"/>
          <w:numId w:val="20"/>
        </w:numPr>
        <w:spacing w:after="0"/>
        <w:contextualSpacing/>
        <w:jc w:val="both"/>
        <w:rPr>
          <w:rFonts w:ascii="Arial" w:hAnsi="Arial" w:cs="Arial"/>
          <w:sz w:val="19"/>
          <w:lang w:val="fr-FR"/>
        </w:rPr>
      </w:pPr>
      <w:r w:rsidRPr="00DD495D">
        <w:rPr>
          <w:lang w:val="fr-FR"/>
        </w:rPr>
        <w:t xml:space="preserve">les </w:t>
      </w:r>
      <w:r w:rsidRPr="00DD495D">
        <w:rPr>
          <w:rStyle w:val="IntenseEmphasis"/>
          <w:lang w:val="fr-FR"/>
        </w:rPr>
        <w:t>connaissances</w:t>
      </w:r>
      <w:r w:rsidRPr="00DD495D">
        <w:rPr>
          <w:lang w:val="fr-FR"/>
        </w:rPr>
        <w:t xml:space="preserve">, les </w:t>
      </w:r>
      <w:r w:rsidRPr="00DD495D">
        <w:rPr>
          <w:rStyle w:val="IntenseEmphasis"/>
          <w:lang w:val="fr-FR"/>
        </w:rPr>
        <w:t>compétences</w:t>
      </w:r>
      <w:r w:rsidRPr="00DD495D">
        <w:rPr>
          <w:lang w:val="fr-FR"/>
        </w:rPr>
        <w:t xml:space="preserve"> et l’</w:t>
      </w:r>
      <w:r w:rsidR="005C6268" w:rsidRPr="00DD495D">
        <w:rPr>
          <w:rStyle w:val="IntenseEmphasis"/>
          <w:lang w:val="fr-FR"/>
        </w:rPr>
        <w:t>exp</w:t>
      </w:r>
      <w:r w:rsidRPr="00DD495D">
        <w:rPr>
          <w:rStyle w:val="IntenseEmphasis"/>
          <w:lang w:val="fr-FR"/>
        </w:rPr>
        <w:t>é</w:t>
      </w:r>
      <w:r w:rsidR="005C6268" w:rsidRPr="00DD495D">
        <w:rPr>
          <w:rStyle w:val="IntenseEmphasis"/>
          <w:lang w:val="fr-FR"/>
        </w:rPr>
        <w:t>rience</w:t>
      </w:r>
      <w:r w:rsidR="005C6268" w:rsidRPr="00DD495D">
        <w:rPr>
          <w:rFonts w:ascii="Arial" w:hAnsi="Arial" w:cs="Arial"/>
          <w:b/>
          <w:sz w:val="19"/>
          <w:lang w:val="fr-FR"/>
        </w:rPr>
        <w:t>,</w:t>
      </w:r>
      <w:r w:rsidRPr="00DD495D">
        <w:rPr>
          <w:lang w:val="fr-FR"/>
        </w:rPr>
        <w:t xml:space="preserve"> comme les</w:t>
      </w:r>
      <w:r w:rsidR="005C6268" w:rsidRPr="00DD495D">
        <w:rPr>
          <w:rFonts w:ascii="Arial" w:hAnsi="Arial" w:cs="Arial"/>
          <w:sz w:val="19"/>
          <w:lang w:val="fr-FR"/>
        </w:rPr>
        <w:t xml:space="preserve"> information</w:t>
      </w:r>
      <w:r w:rsidRPr="00DD495D">
        <w:rPr>
          <w:lang w:val="fr-FR"/>
        </w:rPr>
        <w:t>s relatives à l’expérience professionnelle</w:t>
      </w:r>
      <w:r w:rsidR="005C6268" w:rsidRPr="00DD495D">
        <w:rPr>
          <w:rFonts w:ascii="Arial" w:hAnsi="Arial" w:cs="Arial"/>
          <w:sz w:val="19"/>
          <w:lang w:val="fr-FR"/>
        </w:rPr>
        <w:t xml:space="preserve"> prat</w:t>
      </w:r>
      <w:r w:rsidRPr="00DD495D">
        <w:rPr>
          <w:lang w:val="fr-FR"/>
        </w:rPr>
        <w:t>ique acquise</w:t>
      </w:r>
      <w:r w:rsidR="005C6268" w:rsidRPr="00DD495D">
        <w:rPr>
          <w:rFonts w:ascii="Arial" w:hAnsi="Arial" w:cs="Arial"/>
          <w:sz w:val="19"/>
          <w:lang w:val="fr-FR"/>
        </w:rPr>
        <w:t xml:space="preserve"> </w:t>
      </w:r>
      <w:r w:rsidRPr="00DD495D">
        <w:rPr>
          <w:lang w:val="fr-FR"/>
        </w:rPr>
        <w:t>auprès de ses employeurs précédents et à l’</w:t>
      </w:r>
      <w:r w:rsidR="005C6268" w:rsidRPr="00DD495D">
        <w:rPr>
          <w:rFonts w:ascii="Arial" w:hAnsi="Arial" w:cs="Arial"/>
          <w:sz w:val="19"/>
          <w:lang w:val="fr-FR"/>
        </w:rPr>
        <w:t>exp</w:t>
      </w:r>
      <w:r w:rsidRPr="00DD495D">
        <w:rPr>
          <w:lang w:val="fr-FR"/>
        </w:rPr>
        <w:t>é</w:t>
      </w:r>
      <w:r w:rsidR="005C6268" w:rsidRPr="00DD495D">
        <w:rPr>
          <w:rFonts w:ascii="Arial" w:hAnsi="Arial" w:cs="Arial"/>
          <w:sz w:val="19"/>
          <w:lang w:val="fr-FR"/>
        </w:rPr>
        <w:t>rience</w:t>
      </w:r>
      <w:r w:rsidRPr="00DD495D">
        <w:rPr>
          <w:lang w:val="fr-FR"/>
        </w:rPr>
        <w:t xml:space="preserve"> théorique</w:t>
      </w:r>
      <w:r w:rsidR="005C6268" w:rsidRPr="00DD495D">
        <w:rPr>
          <w:rFonts w:ascii="Arial" w:hAnsi="Arial" w:cs="Arial"/>
          <w:sz w:val="19"/>
          <w:lang w:val="fr-FR"/>
        </w:rPr>
        <w:t xml:space="preserve"> (</w:t>
      </w:r>
      <w:r w:rsidRPr="00DD495D">
        <w:rPr>
          <w:lang w:val="fr-FR"/>
        </w:rPr>
        <w:t>connaissances et compétences</w:t>
      </w:r>
      <w:r w:rsidR="005C6268" w:rsidRPr="00DD495D">
        <w:rPr>
          <w:rFonts w:ascii="Arial" w:hAnsi="Arial" w:cs="Arial"/>
          <w:sz w:val="19"/>
          <w:lang w:val="fr-FR"/>
        </w:rPr>
        <w:t xml:space="preserve">) </w:t>
      </w:r>
      <w:r w:rsidRPr="00DD495D">
        <w:rPr>
          <w:lang w:val="fr-FR"/>
        </w:rPr>
        <w:t>acquise au cours des études et des formations </w:t>
      </w:r>
      <w:r w:rsidR="005C6268" w:rsidRPr="00DD495D">
        <w:rPr>
          <w:rFonts w:ascii="Arial" w:hAnsi="Arial" w:cs="Arial"/>
          <w:sz w:val="19"/>
          <w:lang w:val="fr-FR"/>
        </w:rPr>
        <w:t>;</w:t>
      </w:r>
    </w:p>
    <w:p w14:paraId="46FB7F4F" w14:textId="4770180A" w:rsidR="005C6268" w:rsidRPr="00DD495D" w:rsidRDefault="004960A5" w:rsidP="005C6268">
      <w:pPr>
        <w:pStyle w:val="ListParagraph"/>
        <w:numPr>
          <w:ilvl w:val="0"/>
          <w:numId w:val="20"/>
        </w:numPr>
        <w:spacing w:after="0"/>
        <w:contextualSpacing/>
        <w:jc w:val="both"/>
        <w:rPr>
          <w:rFonts w:ascii="Arial" w:hAnsi="Arial" w:cs="Arial"/>
          <w:b/>
          <w:sz w:val="19"/>
          <w:lang w:val="fr-FR"/>
        </w:rPr>
      </w:pPr>
      <w:r w:rsidRPr="00DD495D">
        <w:rPr>
          <w:lang w:val="fr-FR"/>
        </w:rPr>
        <w:t xml:space="preserve">la </w:t>
      </w:r>
      <w:r w:rsidR="005C6268" w:rsidRPr="00DD495D">
        <w:rPr>
          <w:rStyle w:val="IntenseEmphasis"/>
          <w:lang w:val="fr-FR"/>
        </w:rPr>
        <w:t>r</w:t>
      </w:r>
      <w:r w:rsidRPr="00DD495D">
        <w:rPr>
          <w:rStyle w:val="IntenseEmphasis"/>
          <w:lang w:val="fr-FR"/>
        </w:rPr>
        <w:t>é</w:t>
      </w:r>
      <w:r w:rsidR="005C6268" w:rsidRPr="00DD495D">
        <w:rPr>
          <w:rStyle w:val="IntenseEmphasis"/>
          <w:lang w:val="fr-FR"/>
        </w:rPr>
        <w:t>putation</w:t>
      </w:r>
      <w:r w:rsidR="005C6268" w:rsidRPr="00DD495D">
        <w:rPr>
          <w:rFonts w:ascii="Arial" w:hAnsi="Arial" w:cs="Arial"/>
          <w:b/>
          <w:sz w:val="19"/>
          <w:lang w:val="fr-FR"/>
        </w:rPr>
        <w:t>,</w:t>
      </w:r>
      <w:r w:rsidRPr="00DD495D">
        <w:rPr>
          <w:lang w:val="fr-FR"/>
        </w:rPr>
        <w:t xml:space="preserve"> comme le</w:t>
      </w:r>
      <w:r w:rsidR="00552B7F" w:rsidRPr="00DD495D">
        <w:rPr>
          <w:lang w:val="fr-FR"/>
        </w:rPr>
        <w:t xml:space="preserve"> casier j</w:t>
      </w:r>
      <w:r w:rsidRPr="00DD495D">
        <w:rPr>
          <w:lang w:val="fr-FR"/>
        </w:rPr>
        <w:t>udiciaire </w:t>
      </w:r>
      <w:r w:rsidR="005C6268" w:rsidRPr="00DD495D">
        <w:rPr>
          <w:rFonts w:ascii="Arial" w:hAnsi="Arial" w:cs="Arial"/>
          <w:sz w:val="19"/>
          <w:lang w:val="fr-FR"/>
        </w:rPr>
        <w:t>;</w:t>
      </w:r>
    </w:p>
    <w:p w14:paraId="394FD02B" w14:textId="075D1619" w:rsidR="005C6268" w:rsidRPr="00DD495D" w:rsidRDefault="00552B7F" w:rsidP="005C6268">
      <w:pPr>
        <w:pStyle w:val="ListParagraph"/>
        <w:numPr>
          <w:ilvl w:val="0"/>
          <w:numId w:val="20"/>
        </w:numPr>
        <w:spacing w:after="0"/>
        <w:contextualSpacing/>
        <w:jc w:val="both"/>
        <w:rPr>
          <w:rFonts w:ascii="Arial" w:hAnsi="Arial" w:cs="Arial"/>
          <w:b/>
          <w:sz w:val="19"/>
          <w:lang w:val="fr-FR"/>
        </w:rPr>
      </w:pPr>
      <w:proofErr w:type="gramStart"/>
      <w:r w:rsidRPr="00DD495D">
        <w:rPr>
          <w:lang w:val="fr-FR"/>
        </w:rPr>
        <w:t>les</w:t>
      </w:r>
      <w:proofErr w:type="gramEnd"/>
      <w:r w:rsidRPr="00DD495D">
        <w:rPr>
          <w:lang w:val="fr-FR"/>
        </w:rPr>
        <w:t xml:space="preserve"> </w:t>
      </w:r>
      <w:r w:rsidR="005C6268" w:rsidRPr="00DD495D">
        <w:rPr>
          <w:rStyle w:val="IntenseEmphasis"/>
          <w:lang w:val="fr-FR"/>
        </w:rPr>
        <w:t xml:space="preserve">conflits </w:t>
      </w:r>
      <w:r w:rsidRPr="00DD495D">
        <w:rPr>
          <w:rStyle w:val="IntenseEmphasis"/>
          <w:lang w:val="fr-FR"/>
        </w:rPr>
        <w:t>d’</w:t>
      </w:r>
      <w:r w:rsidR="005C6268" w:rsidRPr="00DD495D">
        <w:rPr>
          <w:rStyle w:val="IntenseEmphasis"/>
          <w:lang w:val="fr-FR"/>
        </w:rPr>
        <w:t>int</w:t>
      </w:r>
      <w:r w:rsidRPr="00DD495D">
        <w:rPr>
          <w:rStyle w:val="IntenseEmphasis"/>
          <w:lang w:val="fr-FR"/>
        </w:rPr>
        <w:t>é</w:t>
      </w:r>
      <w:r w:rsidR="005C6268" w:rsidRPr="00DD495D">
        <w:rPr>
          <w:rStyle w:val="IntenseEmphasis"/>
          <w:lang w:val="fr-FR"/>
        </w:rPr>
        <w:t>r</w:t>
      </w:r>
      <w:r w:rsidRPr="00DD495D">
        <w:rPr>
          <w:rStyle w:val="IntenseEmphasis"/>
          <w:lang w:val="fr-FR"/>
        </w:rPr>
        <w:t>ê</w:t>
      </w:r>
      <w:r w:rsidR="005C6268" w:rsidRPr="00DD495D">
        <w:rPr>
          <w:rStyle w:val="IntenseEmphasis"/>
          <w:lang w:val="fr-FR"/>
        </w:rPr>
        <w:t>t</w:t>
      </w:r>
      <w:r w:rsidRPr="00DD495D">
        <w:rPr>
          <w:rStyle w:val="IntenseEmphasis"/>
          <w:lang w:val="fr-FR"/>
        </w:rPr>
        <w:t>s</w:t>
      </w:r>
      <w:r w:rsidR="005C6268" w:rsidRPr="00DD495D">
        <w:rPr>
          <w:rFonts w:ascii="Arial" w:hAnsi="Arial" w:cs="Arial"/>
          <w:b/>
          <w:sz w:val="19"/>
          <w:lang w:val="fr-FR"/>
        </w:rPr>
        <w:t xml:space="preserve">, </w:t>
      </w:r>
      <w:r w:rsidRPr="00DD495D">
        <w:rPr>
          <w:lang w:val="fr-FR"/>
        </w:rPr>
        <w:t>comme</w:t>
      </w:r>
      <w:r w:rsidR="005160A1" w:rsidRPr="00DD495D">
        <w:rPr>
          <w:lang w:val="fr-FR"/>
        </w:rPr>
        <w:t xml:space="preserve"> toute relation personnelle étroite avec un</w:t>
      </w:r>
      <w:r w:rsidR="005C6268" w:rsidRPr="00DD495D">
        <w:rPr>
          <w:rFonts w:ascii="Arial" w:hAnsi="Arial" w:cs="Arial"/>
          <w:sz w:val="19"/>
          <w:lang w:val="fr-FR"/>
        </w:rPr>
        <w:t xml:space="preserve"> membr</w:t>
      </w:r>
      <w:r w:rsidR="005160A1" w:rsidRPr="00DD495D">
        <w:rPr>
          <w:lang w:val="fr-FR"/>
        </w:rPr>
        <w:t xml:space="preserve">e d’un organe </w:t>
      </w:r>
      <w:proofErr w:type="spellStart"/>
      <w:r w:rsidR="0028315C">
        <w:t>légal</w:t>
      </w:r>
      <w:proofErr w:type="spellEnd"/>
      <w:r w:rsidR="0028315C">
        <w:t xml:space="preserve"> </w:t>
      </w:r>
      <w:proofErr w:type="spellStart"/>
      <w:r w:rsidR="0028315C">
        <w:t>d’administration</w:t>
      </w:r>
      <w:proofErr w:type="spellEnd"/>
      <w:r w:rsidR="005C6268" w:rsidRPr="00DD495D">
        <w:rPr>
          <w:rFonts w:ascii="Arial" w:hAnsi="Arial" w:cs="Arial"/>
          <w:sz w:val="19"/>
          <w:lang w:val="fr-FR"/>
        </w:rPr>
        <w:t xml:space="preserve">, </w:t>
      </w:r>
      <w:r w:rsidR="005160A1" w:rsidRPr="00DD495D">
        <w:rPr>
          <w:lang w:val="fr-FR"/>
        </w:rPr>
        <w:t xml:space="preserve">toute opération commerciale privée importante avec l’entité </w:t>
      </w:r>
      <w:r w:rsidR="004F25B3" w:rsidRPr="00DD495D">
        <w:rPr>
          <w:lang w:val="fr-FR"/>
        </w:rPr>
        <w:t xml:space="preserve">soumise à la </w:t>
      </w:r>
      <w:r w:rsidR="003B5790" w:rsidRPr="00DD495D">
        <w:rPr>
          <w:lang w:val="fr-FR"/>
        </w:rPr>
        <w:t>surveill</w:t>
      </w:r>
      <w:r w:rsidR="004F25B3" w:rsidRPr="00DD495D">
        <w:rPr>
          <w:lang w:val="fr-FR"/>
        </w:rPr>
        <w:t>anc</w:t>
      </w:r>
      <w:r w:rsidR="003B5790" w:rsidRPr="00DD495D">
        <w:rPr>
          <w:lang w:val="fr-FR"/>
        </w:rPr>
        <w:t>e</w:t>
      </w:r>
      <w:r w:rsidR="004F25B3" w:rsidRPr="00DD495D">
        <w:rPr>
          <w:lang w:val="fr-FR"/>
        </w:rPr>
        <w:t xml:space="preserve"> prudentielle</w:t>
      </w:r>
      <w:r w:rsidR="005C6268" w:rsidRPr="00DD495D">
        <w:rPr>
          <w:rFonts w:ascii="Arial" w:hAnsi="Arial" w:cs="Arial"/>
          <w:sz w:val="19"/>
          <w:lang w:val="fr-FR"/>
        </w:rPr>
        <w:t xml:space="preserve">, </w:t>
      </w:r>
      <w:r w:rsidR="003B5790" w:rsidRPr="00DD495D">
        <w:rPr>
          <w:lang w:val="fr-FR"/>
        </w:rPr>
        <w:t>les situations d’influence politique significative</w:t>
      </w:r>
      <w:r w:rsidR="005C6268" w:rsidRPr="00DD495D">
        <w:rPr>
          <w:rFonts w:ascii="Arial" w:hAnsi="Arial" w:cs="Arial"/>
          <w:sz w:val="19"/>
          <w:lang w:val="fr-FR"/>
        </w:rPr>
        <w:t>, etc.</w:t>
      </w:r>
      <w:r w:rsidR="003B5790" w:rsidRPr="00DD495D">
        <w:rPr>
          <w:lang w:val="fr-FR"/>
        </w:rPr>
        <w:t> </w:t>
      </w:r>
      <w:r w:rsidR="005C6268" w:rsidRPr="00DD495D">
        <w:rPr>
          <w:rFonts w:ascii="Arial" w:hAnsi="Arial" w:cs="Arial"/>
          <w:sz w:val="19"/>
          <w:lang w:val="fr-FR"/>
        </w:rPr>
        <w:t>;</w:t>
      </w:r>
    </w:p>
    <w:p w14:paraId="45F1CCA0" w14:textId="25CE4AB5" w:rsidR="005C6268" w:rsidRPr="00DD495D" w:rsidRDefault="00A85832" w:rsidP="005C6268">
      <w:pPr>
        <w:pStyle w:val="ListParagraph"/>
        <w:numPr>
          <w:ilvl w:val="0"/>
          <w:numId w:val="20"/>
        </w:numPr>
        <w:spacing w:after="0"/>
        <w:contextualSpacing/>
        <w:jc w:val="both"/>
        <w:rPr>
          <w:rFonts w:ascii="Arial" w:hAnsi="Arial" w:cs="Arial"/>
          <w:b/>
          <w:sz w:val="19"/>
          <w:lang w:val="fr-FR"/>
        </w:rPr>
      </w:pPr>
      <w:r w:rsidRPr="00DD495D">
        <w:rPr>
          <w:lang w:val="fr-FR"/>
        </w:rPr>
        <w:t xml:space="preserve">le </w:t>
      </w:r>
      <w:r w:rsidRPr="00DD495D">
        <w:rPr>
          <w:rStyle w:val="IntenseEmphasis"/>
          <w:lang w:val="fr-FR"/>
        </w:rPr>
        <w:t>temps consacré</w:t>
      </w:r>
      <w:r w:rsidR="005C6268" w:rsidRPr="00DD495D">
        <w:rPr>
          <w:rFonts w:ascii="Arial" w:hAnsi="Arial" w:cs="Arial"/>
          <w:b/>
          <w:sz w:val="19"/>
          <w:lang w:val="fr-FR"/>
        </w:rPr>
        <w:t>,</w:t>
      </w:r>
      <w:r w:rsidRPr="00DD495D">
        <w:rPr>
          <w:lang w:val="fr-FR"/>
        </w:rPr>
        <w:t xml:space="preserve"> </w:t>
      </w:r>
      <w:r w:rsidR="00EE7968" w:rsidRPr="00DD495D">
        <w:rPr>
          <w:lang w:val="fr-FR"/>
        </w:rPr>
        <w:t>comme d’autres engagements ou circonstances</w:t>
      </w:r>
      <w:r w:rsidR="005C6268" w:rsidRPr="00DD495D">
        <w:rPr>
          <w:rFonts w:ascii="Arial" w:hAnsi="Arial" w:cs="Arial"/>
          <w:sz w:val="19"/>
          <w:lang w:val="fr-FR"/>
        </w:rPr>
        <w:t xml:space="preserve"> profession</w:t>
      </w:r>
      <w:r w:rsidR="00EE7968" w:rsidRPr="00DD495D">
        <w:rPr>
          <w:lang w:val="fr-FR"/>
        </w:rPr>
        <w:t>ne</w:t>
      </w:r>
      <w:r w:rsidR="005C6268" w:rsidRPr="00DD495D">
        <w:rPr>
          <w:rFonts w:ascii="Arial" w:hAnsi="Arial" w:cs="Arial"/>
          <w:sz w:val="19"/>
          <w:lang w:val="fr-FR"/>
        </w:rPr>
        <w:t>l</w:t>
      </w:r>
      <w:r w:rsidR="00EE7968" w:rsidRPr="00DD495D">
        <w:rPr>
          <w:lang w:val="fr-FR"/>
        </w:rPr>
        <w:t>les ou privées</w:t>
      </w:r>
      <w:r w:rsidR="005C6268" w:rsidRPr="00DD495D">
        <w:rPr>
          <w:rFonts w:ascii="Arial" w:hAnsi="Arial" w:cs="Arial"/>
          <w:sz w:val="19"/>
          <w:lang w:val="fr-FR"/>
        </w:rPr>
        <w:t xml:space="preserve"> (</w:t>
      </w:r>
      <w:r w:rsidR="00EE7968" w:rsidRPr="00DD495D">
        <w:rPr>
          <w:lang w:val="fr-FR"/>
        </w:rPr>
        <w:t>par exemple, l’implication dans une affaire judiciaire</w:t>
      </w:r>
      <w:r w:rsidR="005C6268" w:rsidRPr="00DD495D">
        <w:rPr>
          <w:rFonts w:ascii="Arial" w:hAnsi="Arial" w:cs="Arial"/>
          <w:sz w:val="19"/>
          <w:lang w:val="fr-FR"/>
        </w:rPr>
        <w:t>)</w:t>
      </w:r>
      <w:r w:rsidR="007D1802" w:rsidRPr="00DD495D">
        <w:rPr>
          <w:lang w:val="fr-FR"/>
        </w:rPr>
        <w:t> </w:t>
      </w:r>
      <w:r w:rsidR="005C6268" w:rsidRPr="00DD495D">
        <w:rPr>
          <w:rFonts w:ascii="Arial" w:hAnsi="Arial" w:cs="Arial"/>
          <w:sz w:val="19"/>
          <w:lang w:val="fr-FR"/>
        </w:rPr>
        <w:t>;</w:t>
      </w:r>
    </w:p>
    <w:p w14:paraId="6843E925" w14:textId="49B86E03" w:rsidR="005C6268" w:rsidRPr="00DD495D" w:rsidRDefault="00C02790" w:rsidP="005C6268">
      <w:pPr>
        <w:pStyle w:val="ListParagraph"/>
        <w:numPr>
          <w:ilvl w:val="0"/>
          <w:numId w:val="20"/>
        </w:numPr>
        <w:spacing w:after="0"/>
        <w:contextualSpacing/>
        <w:jc w:val="both"/>
        <w:rPr>
          <w:sz w:val="19"/>
          <w:lang w:val="fr-FR"/>
        </w:rPr>
      </w:pPr>
      <w:proofErr w:type="gramStart"/>
      <w:r w:rsidRPr="00DD495D">
        <w:rPr>
          <w:lang w:val="fr-FR"/>
        </w:rPr>
        <w:t>l’</w:t>
      </w:r>
      <w:r w:rsidRPr="00DD495D">
        <w:rPr>
          <w:rStyle w:val="IntenseEmphasis"/>
          <w:lang w:val="fr-FR"/>
        </w:rPr>
        <w:t>expertise</w:t>
      </w:r>
      <w:proofErr w:type="gramEnd"/>
      <w:r w:rsidRPr="00DD495D">
        <w:rPr>
          <w:rStyle w:val="IntenseEmphasis"/>
          <w:lang w:val="fr-FR"/>
        </w:rPr>
        <w:t xml:space="preserve"> collective </w:t>
      </w:r>
      <w:r w:rsidR="00CA2553" w:rsidRPr="00146119">
        <w:rPr>
          <w:rStyle w:val="IntenseEmphasis"/>
          <w:lang w:val="fr-BE"/>
        </w:rPr>
        <w:t xml:space="preserve">de l’organe </w:t>
      </w:r>
      <w:proofErr w:type="spellStart"/>
      <w:r w:rsidR="0028315C">
        <w:rPr>
          <w:rStyle w:val="IntenseEmphasis"/>
        </w:rPr>
        <w:t>légal</w:t>
      </w:r>
      <w:proofErr w:type="spellEnd"/>
      <w:r w:rsidR="0028315C">
        <w:rPr>
          <w:rStyle w:val="IntenseEmphasis"/>
        </w:rPr>
        <w:t xml:space="preserve"> </w:t>
      </w:r>
      <w:proofErr w:type="spellStart"/>
      <w:r w:rsidR="0028315C">
        <w:rPr>
          <w:rStyle w:val="IntenseEmphasis"/>
        </w:rPr>
        <w:t>d’administration</w:t>
      </w:r>
      <w:proofErr w:type="spellEnd"/>
      <w:r w:rsidR="005C6268" w:rsidRPr="00DD495D">
        <w:rPr>
          <w:rFonts w:ascii="Arial" w:hAnsi="Arial" w:cs="Arial"/>
          <w:b/>
          <w:sz w:val="19"/>
          <w:lang w:val="fr-FR"/>
        </w:rPr>
        <w:t xml:space="preserve">, </w:t>
      </w:r>
      <w:r w:rsidR="004C7E1B" w:rsidRPr="00DD495D">
        <w:rPr>
          <w:lang w:val="fr-FR"/>
        </w:rPr>
        <w:t>comme la valeur ajoutée d’un</w:t>
      </w:r>
      <w:r w:rsidR="005C6268" w:rsidRPr="00DD495D">
        <w:rPr>
          <w:rFonts w:ascii="Arial" w:hAnsi="Arial" w:cs="Arial"/>
          <w:sz w:val="19"/>
          <w:lang w:val="fr-FR"/>
        </w:rPr>
        <w:t xml:space="preserve"> candidat</w:t>
      </w:r>
      <w:r w:rsidR="00173AEF" w:rsidRPr="00DD495D">
        <w:rPr>
          <w:lang w:val="fr-FR"/>
        </w:rPr>
        <w:t xml:space="preserve"> par rapport à la composition de la direction</w:t>
      </w:r>
      <w:r w:rsidR="00AA54CA" w:rsidRPr="00DD495D">
        <w:rPr>
          <w:lang w:val="fr-FR"/>
        </w:rPr>
        <w:t> ;</w:t>
      </w:r>
    </w:p>
    <w:p w14:paraId="1054142D" w14:textId="124AB84A" w:rsidR="00DC6814" w:rsidRPr="00DD495D" w:rsidRDefault="00AA54CA" w:rsidP="00DC6814">
      <w:pPr>
        <w:pStyle w:val="ListNumber2"/>
        <w:rPr>
          <w:lang w:val="fr-FR"/>
        </w:rPr>
      </w:pPr>
      <w:r w:rsidRPr="00DD495D">
        <w:rPr>
          <w:lang w:val="fr-FR"/>
        </w:rPr>
        <w:t>les données à caractère personnel</w:t>
      </w:r>
      <w:r w:rsidR="00967DF3" w:rsidRPr="00DD495D">
        <w:rPr>
          <w:lang w:val="fr-FR"/>
        </w:rPr>
        <w:t xml:space="preserve"> dont l’autorité compétente a eu connaissance par d’autres moyens</w:t>
      </w:r>
      <w:r w:rsidR="00DC6814" w:rsidRPr="00DD495D">
        <w:rPr>
          <w:lang w:val="fr-FR"/>
        </w:rPr>
        <w:t xml:space="preserve"> (</w:t>
      </w:r>
      <w:r w:rsidR="00967DF3" w:rsidRPr="00DD495D">
        <w:rPr>
          <w:lang w:val="fr-FR"/>
        </w:rPr>
        <w:t>par exemple</w:t>
      </w:r>
      <w:r w:rsidR="00B35EFB" w:rsidRPr="00DD495D">
        <w:rPr>
          <w:lang w:val="fr-FR"/>
        </w:rPr>
        <w:t>,</w:t>
      </w:r>
      <w:r w:rsidR="00967DF3" w:rsidRPr="00DD495D">
        <w:rPr>
          <w:lang w:val="fr-FR"/>
        </w:rPr>
        <w:t xml:space="preserve"> par les médias</w:t>
      </w:r>
      <w:r w:rsidR="00DC6814" w:rsidRPr="00DD495D">
        <w:rPr>
          <w:lang w:val="fr-FR"/>
        </w:rPr>
        <w:t>)</w:t>
      </w:r>
      <w:r w:rsidR="00967DF3" w:rsidRPr="00DD495D">
        <w:rPr>
          <w:lang w:val="fr-FR"/>
        </w:rPr>
        <w:t> ;</w:t>
      </w:r>
    </w:p>
    <w:p w14:paraId="0496ACC3" w14:textId="7A74238B" w:rsidR="00DC6814" w:rsidRPr="00DD495D" w:rsidRDefault="008D7234" w:rsidP="00DC6814">
      <w:pPr>
        <w:pStyle w:val="ListNumber2"/>
        <w:rPr>
          <w:lang w:val="fr-FR"/>
        </w:rPr>
      </w:pPr>
      <w:r w:rsidRPr="00DD495D">
        <w:rPr>
          <w:lang w:val="fr-FR"/>
        </w:rPr>
        <w:t>les données à caractère p</w:t>
      </w:r>
      <w:r w:rsidR="00DC6814" w:rsidRPr="00DD495D">
        <w:rPr>
          <w:lang w:val="fr-FR"/>
        </w:rPr>
        <w:t>erson</w:t>
      </w:r>
      <w:r w:rsidRPr="00DD495D">
        <w:rPr>
          <w:lang w:val="fr-FR"/>
        </w:rPr>
        <w:t>ne</w:t>
      </w:r>
      <w:r w:rsidR="00DC6814" w:rsidRPr="00DD495D">
        <w:rPr>
          <w:lang w:val="fr-FR"/>
        </w:rPr>
        <w:t>l</w:t>
      </w:r>
      <w:r w:rsidRPr="00DD495D">
        <w:rPr>
          <w:lang w:val="fr-FR"/>
        </w:rPr>
        <w:t xml:space="preserve"> </w:t>
      </w:r>
      <w:r w:rsidR="00ED6269" w:rsidRPr="00DD495D">
        <w:rPr>
          <w:lang w:val="fr-FR"/>
        </w:rPr>
        <w:t>qui ne concernent pas</w:t>
      </w:r>
      <w:r w:rsidRPr="00DD495D">
        <w:rPr>
          <w:lang w:val="fr-FR"/>
        </w:rPr>
        <w:t xml:space="preserve"> le demandeur, mais des tiers ;</w:t>
      </w:r>
    </w:p>
    <w:p w14:paraId="236E60FA" w14:textId="4C06F788" w:rsidR="00DC6814" w:rsidRPr="00DD495D" w:rsidRDefault="006109A8" w:rsidP="00DC6814">
      <w:pPr>
        <w:pStyle w:val="ListNumber2"/>
        <w:rPr>
          <w:lang w:val="fr-FR"/>
        </w:rPr>
      </w:pPr>
      <w:r w:rsidRPr="00DD495D">
        <w:rPr>
          <w:lang w:val="fr-FR"/>
        </w:rPr>
        <w:t xml:space="preserve">tout </w:t>
      </w:r>
      <w:r w:rsidR="00DC6814" w:rsidRPr="00DD495D">
        <w:rPr>
          <w:lang w:val="fr-FR"/>
        </w:rPr>
        <w:t>comment</w:t>
      </w:r>
      <w:r w:rsidR="001075C0" w:rsidRPr="00DD495D">
        <w:rPr>
          <w:lang w:val="fr-FR"/>
        </w:rPr>
        <w:t>aire effectué par les membres du personnel de la BCE et/ou de l’A</w:t>
      </w:r>
      <w:r w:rsidR="00490148" w:rsidRPr="00DD495D">
        <w:rPr>
          <w:lang w:val="fr-FR"/>
        </w:rPr>
        <w:t>C</w:t>
      </w:r>
      <w:r w:rsidR="001075C0" w:rsidRPr="00DD495D">
        <w:rPr>
          <w:lang w:val="fr-FR"/>
        </w:rPr>
        <w:t>N portant sur l</w:t>
      </w:r>
      <w:r w:rsidR="00517D9A" w:rsidRPr="00DD495D">
        <w:rPr>
          <w:lang w:val="fr-FR"/>
        </w:rPr>
        <w:t>a prestation du</w:t>
      </w:r>
      <w:r w:rsidR="0089457F" w:rsidRPr="00DD495D">
        <w:rPr>
          <w:lang w:val="fr-FR"/>
        </w:rPr>
        <w:t xml:space="preserve"> demandeur dans le cadre de la proc</w:t>
      </w:r>
      <w:r w:rsidR="00517D9A" w:rsidRPr="00DD495D">
        <w:rPr>
          <w:lang w:val="fr-FR"/>
        </w:rPr>
        <w:t>é</w:t>
      </w:r>
      <w:r w:rsidR="0089457F" w:rsidRPr="00DD495D">
        <w:rPr>
          <w:lang w:val="fr-FR"/>
        </w:rPr>
        <w:t>dure</w:t>
      </w:r>
      <w:r w:rsidR="00517D9A" w:rsidRPr="00DD495D">
        <w:rPr>
          <w:lang w:val="fr-FR"/>
        </w:rPr>
        <w:t xml:space="preserve"> relative à l’honorabilité et à l’expertise</w:t>
      </w:r>
      <w:r w:rsidR="0089457F" w:rsidRPr="00DD495D">
        <w:rPr>
          <w:lang w:val="fr-FR"/>
        </w:rPr>
        <w:t xml:space="preserve"> </w:t>
      </w:r>
      <w:r w:rsidR="00DC6814" w:rsidRPr="00DD495D">
        <w:rPr>
          <w:lang w:val="fr-FR"/>
        </w:rPr>
        <w:t>(</w:t>
      </w:r>
      <w:r w:rsidR="00517D9A" w:rsidRPr="00DD495D">
        <w:rPr>
          <w:lang w:val="fr-FR"/>
        </w:rPr>
        <w:t>par exemple, des</w:t>
      </w:r>
      <w:r w:rsidR="00DC6814" w:rsidRPr="00DD495D">
        <w:rPr>
          <w:lang w:val="fr-FR"/>
        </w:rPr>
        <w:t xml:space="preserve"> comment</w:t>
      </w:r>
      <w:r w:rsidR="00517D9A" w:rsidRPr="00DD495D">
        <w:rPr>
          <w:lang w:val="fr-FR"/>
        </w:rPr>
        <w:t>aire</w:t>
      </w:r>
      <w:r w:rsidR="00DC6814" w:rsidRPr="00DD495D">
        <w:rPr>
          <w:lang w:val="fr-FR"/>
        </w:rPr>
        <w:t>s refl</w:t>
      </w:r>
      <w:r w:rsidR="00517D9A" w:rsidRPr="00DD495D">
        <w:rPr>
          <w:lang w:val="fr-FR"/>
        </w:rPr>
        <w:t>étant l’avis ou l’évaluation de l’</w:t>
      </w:r>
      <w:r w:rsidR="00DC6814" w:rsidRPr="00DD495D">
        <w:rPr>
          <w:lang w:val="fr-FR"/>
        </w:rPr>
        <w:t>examin</w:t>
      </w:r>
      <w:r w:rsidR="00517D9A" w:rsidRPr="00DD495D">
        <w:rPr>
          <w:lang w:val="fr-FR"/>
        </w:rPr>
        <w:t>ateu</w:t>
      </w:r>
      <w:r w:rsidR="00DC6814" w:rsidRPr="00DD495D">
        <w:rPr>
          <w:lang w:val="fr-FR"/>
        </w:rPr>
        <w:t xml:space="preserve">r </w:t>
      </w:r>
      <w:r w:rsidR="00517D9A" w:rsidRPr="00DD495D">
        <w:rPr>
          <w:lang w:val="fr-FR"/>
        </w:rPr>
        <w:t>sur la prestation</w:t>
      </w:r>
      <w:r w:rsidR="00DC6814" w:rsidRPr="00DD495D">
        <w:rPr>
          <w:lang w:val="fr-FR"/>
        </w:rPr>
        <w:t xml:space="preserve"> individu</w:t>
      </w:r>
      <w:r w:rsidR="00517D9A" w:rsidRPr="00DD495D">
        <w:rPr>
          <w:lang w:val="fr-FR"/>
        </w:rPr>
        <w:t>e</w:t>
      </w:r>
      <w:r w:rsidR="00DC6814" w:rsidRPr="00DD495D">
        <w:rPr>
          <w:lang w:val="fr-FR"/>
        </w:rPr>
        <w:t>l</w:t>
      </w:r>
      <w:r w:rsidR="00517D9A" w:rsidRPr="00DD495D">
        <w:rPr>
          <w:lang w:val="fr-FR"/>
        </w:rPr>
        <w:t>le du demandeur</w:t>
      </w:r>
      <w:r w:rsidR="00DC6814" w:rsidRPr="00DD495D">
        <w:rPr>
          <w:lang w:val="fr-FR"/>
        </w:rPr>
        <w:t xml:space="preserve">, </w:t>
      </w:r>
      <w:r w:rsidR="00517D9A" w:rsidRPr="00DD495D">
        <w:rPr>
          <w:lang w:val="fr-FR"/>
        </w:rPr>
        <w:t xml:space="preserve">en </w:t>
      </w:r>
      <w:r w:rsidR="00DC6814" w:rsidRPr="00DD495D">
        <w:rPr>
          <w:lang w:val="fr-FR"/>
        </w:rPr>
        <w:t>particul</w:t>
      </w:r>
      <w:r w:rsidR="00517D9A" w:rsidRPr="00DD495D">
        <w:rPr>
          <w:lang w:val="fr-FR"/>
        </w:rPr>
        <w:t>ier</w:t>
      </w:r>
      <w:r w:rsidR="00DC6814" w:rsidRPr="00DD495D">
        <w:rPr>
          <w:lang w:val="fr-FR"/>
        </w:rPr>
        <w:t xml:space="preserve"> </w:t>
      </w:r>
      <w:r w:rsidR="00490148" w:rsidRPr="00DD495D">
        <w:rPr>
          <w:lang w:val="fr-FR"/>
        </w:rPr>
        <w:t xml:space="preserve">en ce qui concerne leurs connaissances et leurs </w:t>
      </w:r>
      <w:r w:rsidR="00DC6814" w:rsidRPr="00DD495D">
        <w:rPr>
          <w:lang w:val="fr-FR"/>
        </w:rPr>
        <w:t>comp</w:t>
      </w:r>
      <w:r w:rsidR="00490148" w:rsidRPr="00DD495D">
        <w:rPr>
          <w:lang w:val="fr-FR"/>
        </w:rPr>
        <w:t>é</w:t>
      </w:r>
      <w:r w:rsidR="00DC6814" w:rsidRPr="00DD495D">
        <w:rPr>
          <w:lang w:val="fr-FR"/>
        </w:rPr>
        <w:t>tences</w:t>
      </w:r>
      <w:r w:rsidR="00490148" w:rsidRPr="00DD495D">
        <w:rPr>
          <w:lang w:val="fr-FR"/>
        </w:rPr>
        <w:t xml:space="preserve"> dans le domaine</w:t>
      </w:r>
      <w:r w:rsidR="00433518" w:rsidRPr="00DD495D">
        <w:rPr>
          <w:lang w:val="fr-FR"/>
        </w:rPr>
        <w:t xml:space="preserve"> concerné</w:t>
      </w:r>
      <w:r w:rsidR="00DC6814" w:rsidRPr="00DD495D">
        <w:rPr>
          <w:lang w:val="fr-FR"/>
        </w:rPr>
        <w:t>).</w:t>
      </w:r>
    </w:p>
    <w:p w14:paraId="5C8B09C5" w14:textId="7C2D06B9" w:rsidR="009D10FF" w:rsidRPr="00DD495D" w:rsidRDefault="009D10FF" w:rsidP="005C6268">
      <w:pPr>
        <w:pStyle w:val="Heading2"/>
        <w:rPr>
          <w:lang w:val="fr-FR"/>
        </w:rPr>
      </w:pPr>
      <w:r w:rsidRPr="00DD495D">
        <w:rPr>
          <w:lang w:val="fr-FR"/>
        </w:rPr>
        <w:t>Acc</w:t>
      </w:r>
      <w:r w:rsidR="00F86197" w:rsidRPr="00DD495D">
        <w:rPr>
          <w:lang w:val="fr-FR"/>
        </w:rPr>
        <w:t>è</w:t>
      </w:r>
      <w:r w:rsidRPr="00DD495D">
        <w:rPr>
          <w:lang w:val="fr-FR"/>
        </w:rPr>
        <w:t xml:space="preserve">s </w:t>
      </w:r>
      <w:r w:rsidR="00F86197" w:rsidRPr="00DD495D">
        <w:rPr>
          <w:lang w:val="fr-FR"/>
        </w:rPr>
        <w:t>aux données</w:t>
      </w:r>
      <w:r w:rsidRPr="00DD495D">
        <w:rPr>
          <w:lang w:val="fr-FR"/>
        </w:rPr>
        <w:t xml:space="preserve"> </w:t>
      </w:r>
      <w:r w:rsidR="00F86197" w:rsidRPr="00DD495D">
        <w:rPr>
          <w:lang w:val="fr-FR"/>
        </w:rPr>
        <w:t xml:space="preserve">à caractère </w:t>
      </w:r>
      <w:r w:rsidRPr="00DD495D">
        <w:rPr>
          <w:lang w:val="fr-FR"/>
        </w:rPr>
        <w:t>person</w:t>
      </w:r>
      <w:r w:rsidR="00F86197" w:rsidRPr="00DD495D">
        <w:rPr>
          <w:lang w:val="fr-FR"/>
        </w:rPr>
        <w:t>ne</w:t>
      </w:r>
      <w:r w:rsidRPr="00DD495D">
        <w:rPr>
          <w:lang w:val="fr-FR"/>
        </w:rPr>
        <w:t>l collect</w:t>
      </w:r>
      <w:r w:rsidR="00F86197" w:rsidRPr="00DD495D">
        <w:rPr>
          <w:lang w:val="fr-FR"/>
        </w:rPr>
        <w:t>é</w:t>
      </w:r>
      <w:r w:rsidRPr="00DD495D">
        <w:rPr>
          <w:lang w:val="fr-FR"/>
        </w:rPr>
        <w:t>e</w:t>
      </w:r>
      <w:r w:rsidR="00F86197" w:rsidRPr="00DD495D">
        <w:rPr>
          <w:lang w:val="fr-FR"/>
        </w:rPr>
        <w:t>s et traitées par la Banque c</w:t>
      </w:r>
      <w:r w:rsidRPr="00DD495D">
        <w:rPr>
          <w:lang w:val="fr-FR"/>
        </w:rPr>
        <w:t>entral</w:t>
      </w:r>
      <w:r w:rsidR="00F86197" w:rsidRPr="00DD495D">
        <w:rPr>
          <w:lang w:val="fr-FR"/>
        </w:rPr>
        <w:t>e européenne</w:t>
      </w:r>
    </w:p>
    <w:p w14:paraId="5D02B82F" w14:textId="3913FA74" w:rsidR="009D10FF" w:rsidRPr="00DD495D" w:rsidRDefault="00330A22" w:rsidP="00FD4826">
      <w:pPr>
        <w:rPr>
          <w:lang w:val="fr-FR"/>
        </w:rPr>
      </w:pPr>
      <w:r w:rsidRPr="00DD495D">
        <w:rPr>
          <w:lang w:val="fr-FR"/>
        </w:rPr>
        <w:t xml:space="preserve">Aux fins </w:t>
      </w:r>
      <w:r w:rsidR="003E60F6" w:rsidRPr="00DD495D">
        <w:rPr>
          <w:lang w:val="fr-FR"/>
        </w:rPr>
        <w:t>énoncées</w:t>
      </w:r>
      <w:r w:rsidRPr="00DD495D">
        <w:rPr>
          <w:lang w:val="fr-FR"/>
        </w:rPr>
        <w:t xml:space="preserve"> à la s</w:t>
      </w:r>
      <w:r w:rsidR="009D10FF" w:rsidRPr="00DD495D">
        <w:rPr>
          <w:lang w:val="fr-FR"/>
        </w:rPr>
        <w:t>ection</w:t>
      </w:r>
      <w:r w:rsidRPr="00DD495D">
        <w:rPr>
          <w:lang w:val="fr-FR"/>
        </w:rPr>
        <w:t> </w:t>
      </w:r>
      <w:r w:rsidR="009D10FF" w:rsidRPr="00DD495D">
        <w:rPr>
          <w:lang w:val="fr-FR"/>
        </w:rPr>
        <w:t xml:space="preserve">3, </w:t>
      </w:r>
      <w:r w:rsidRPr="00DD495D">
        <w:rPr>
          <w:lang w:val="fr-FR"/>
        </w:rPr>
        <w:t>l’</w:t>
      </w:r>
      <w:r w:rsidR="009D10FF" w:rsidRPr="00DD495D">
        <w:rPr>
          <w:lang w:val="fr-FR"/>
        </w:rPr>
        <w:t>acc</w:t>
      </w:r>
      <w:r w:rsidRPr="00DD495D">
        <w:rPr>
          <w:lang w:val="fr-FR"/>
        </w:rPr>
        <w:t>è</w:t>
      </w:r>
      <w:r w:rsidR="009D10FF" w:rsidRPr="00DD495D">
        <w:rPr>
          <w:lang w:val="fr-FR"/>
        </w:rPr>
        <w:t>s</w:t>
      </w:r>
      <w:r w:rsidRPr="00DD495D">
        <w:rPr>
          <w:lang w:val="fr-FR"/>
        </w:rPr>
        <w:t xml:space="preserve"> aux données à caractère personnel est accordé aux </w:t>
      </w:r>
      <w:r w:rsidR="009D10FF" w:rsidRPr="00DD495D">
        <w:rPr>
          <w:lang w:val="fr-FR"/>
        </w:rPr>
        <w:t>person</w:t>
      </w:r>
      <w:r w:rsidRPr="00DD495D">
        <w:rPr>
          <w:lang w:val="fr-FR"/>
        </w:rPr>
        <w:t>ne</w:t>
      </w:r>
      <w:r w:rsidR="009D10FF" w:rsidRPr="00DD495D">
        <w:rPr>
          <w:lang w:val="fr-FR"/>
        </w:rPr>
        <w:t>s</w:t>
      </w:r>
      <w:r w:rsidRPr="00DD495D">
        <w:rPr>
          <w:lang w:val="fr-FR"/>
        </w:rPr>
        <w:t xml:space="preserve"> suivantes </w:t>
      </w:r>
      <w:r w:rsidR="009D10FF" w:rsidRPr="00DD495D">
        <w:rPr>
          <w:lang w:val="fr-FR"/>
        </w:rPr>
        <w:t>:</w:t>
      </w:r>
    </w:p>
    <w:p w14:paraId="4C60D950" w14:textId="0E2EB8BA" w:rsidR="009D10FF" w:rsidRPr="00DD495D" w:rsidRDefault="001E370D" w:rsidP="00773490">
      <w:pPr>
        <w:pStyle w:val="ListBullet"/>
        <w:rPr>
          <w:lang w:val="fr-FR"/>
        </w:rPr>
      </w:pPr>
      <w:r w:rsidRPr="00DD495D">
        <w:rPr>
          <w:lang w:val="fr-FR"/>
        </w:rPr>
        <w:t>au personnel des ACN </w:t>
      </w:r>
      <w:r w:rsidR="009D10FF" w:rsidRPr="00DD495D">
        <w:rPr>
          <w:lang w:val="fr-FR"/>
        </w:rPr>
        <w:t>;</w:t>
      </w:r>
    </w:p>
    <w:p w14:paraId="3A7D9DAA" w14:textId="65898CBB" w:rsidR="009D10FF" w:rsidRPr="00DD495D" w:rsidRDefault="00843FCD" w:rsidP="00773490">
      <w:pPr>
        <w:pStyle w:val="ListBullet"/>
        <w:rPr>
          <w:lang w:val="fr-FR"/>
        </w:rPr>
      </w:pPr>
      <w:r w:rsidRPr="00DD495D">
        <w:rPr>
          <w:lang w:val="fr-FR"/>
        </w:rPr>
        <w:t xml:space="preserve">au personnel BCE des équipes </w:t>
      </w:r>
      <w:r w:rsidR="00405718" w:rsidRPr="00DD495D">
        <w:rPr>
          <w:lang w:val="fr-FR"/>
        </w:rPr>
        <w:t>de surveillance prudentielle conjointes</w:t>
      </w:r>
      <w:r w:rsidR="009D10FF" w:rsidRPr="00DD495D">
        <w:rPr>
          <w:lang w:val="fr-FR"/>
        </w:rPr>
        <w:t xml:space="preserve"> (</w:t>
      </w:r>
      <w:r w:rsidR="00405718" w:rsidRPr="00DD495D">
        <w:rPr>
          <w:lang w:val="fr-FR"/>
        </w:rPr>
        <w:t xml:space="preserve">direction générale </w:t>
      </w:r>
      <w:r w:rsidR="003333C8" w:rsidRPr="00DD495D">
        <w:rPr>
          <w:lang w:val="fr-FR"/>
        </w:rPr>
        <w:t xml:space="preserve">Surveillance </w:t>
      </w:r>
      <w:proofErr w:type="spellStart"/>
      <w:r w:rsidR="003333C8" w:rsidRPr="00DD495D">
        <w:rPr>
          <w:lang w:val="fr-FR"/>
        </w:rPr>
        <w:t>m</w:t>
      </w:r>
      <w:r w:rsidR="009D10FF" w:rsidRPr="00DD495D">
        <w:rPr>
          <w:lang w:val="fr-FR"/>
        </w:rPr>
        <w:t>icroprudenti</w:t>
      </w:r>
      <w:r w:rsidR="003333C8" w:rsidRPr="00DD495D">
        <w:rPr>
          <w:lang w:val="fr-FR"/>
        </w:rPr>
        <w:t>e</w:t>
      </w:r>
      <w:r w:rsidR="009D10FF" w:rsidRPr="00DD495D">
        <w:rPr>
          <w:lang w:val="fr-FR"/>
        </w:rPr>
        <w:t>l</w:t>
      </w:r>
      <w:r w:rsidR="003333C8" w:rsidRPr="00DD495D">
        <w:rPr>
          <w:lang w:val="fr-FR"/>
        </w:rPr>
        <w:t>le</w:t>
      </w:r>
      <w:proofErr w:type="spellEnd"/>
      <w:r w:rsidR="009D10FF" w:rsidRPr="00DD495D">
        <w:rPr>
          <w:lang w:val="fr-FR"/>
        </w:rPr>
        <w:t xml:space="preserve"> I o</w:t>
      </w:r>
      <w:r w:rsidR="003333C8" w:rsidRPr="00DD495D">
        <w:rPr>
          <w:lang w:val="fr-FR"/>
        </w:rPr>
        <w:t>u</w:t>
      </w:r>
      <w:r w:rsidR="009D10FF" w:rsidRPr="00DD495D">
        <w:rPr>
          <w:lang w:val="fr-FR"/>
        </w:rPr>
        <w:t xml:space="preserve"> II</w:t>
      </w:r>
      <w:r w:rsidR="003333C8" w:rsidRPr="00DD495D">
        <w:rPr>
          <w:lang w:val="fr-FR"/>
        </w:rPr>
        <w:t xml:space="preserve"> de la BCE</w:t>
      </w:r>
      <w:r w:rsidR="009D10FF" w:rsidRPr="00DD495D">
        <w:rPr>
          <w:lang w:val="fr-FR"/>
        </w:rPr>
        <w:t>)</w:t>
      </w:r>
      <w:r w:rsidR="003333C8" w:rsidRPr="00DD495D">
        <w:rPr>
          <w:lang w:val="fr-FR"/>
        </w:rPr>
        <w:t> </w:t>
      </w:r>
      <w:r w:rsidR="009D10FF" w:rsidRPr="00DD495D">
        <w:rPr>
          <w:lang w:val="fr-FR"/>
        </w:rPr>
        <w:t>;</w:t>
      </w:r>
    </w:p>
    <w:p w14:paraId="0016672A" w14:textId="271301BF" w:rsidR="009D10FF" w:rsidRPr="00DD495D" w:rsidRDefault="00842364" w:rsidP="00773490">
      <w:pPr>
        <w:pStyle w:val="ListBullet"/>
        <w:rPr>
          <w:lang w:val="fr-FR"/>
        </w:rPr>
      </w:pPr>
      <w:r w:rsidRPr="00137602">
        <w:rPr>
          <w:lang w:val="fr-FR"/>
        </w:rPr>
        <w:t xml:space="preserve">à des </w:t>
      </w:r>
      <w:r w:rsidR="005058BD" w:rsidRPr="00842364">
        <w:rPr>
          <w:lang w:val="fr-FR"/>
        </w:rPr>
        <w:t xml:space="preserve">membres du personnel </w:t>
      </w:r>
      <w:r w:rsidRPr="00137602">
        <w:rPr>
          <w:lang w:val="fr-FR"/>
        </w:rPr>
        <w:t xml:space="preserve">désignés </w:t>
      </w:r>
      <w:r w:rsidR="000738F4" w:rsidRPr="00DD495D">
        <w:rPr>
          <w:lang w:val="fr-FR"/>
        </w:rPr>
        <w:t>de la direction générale Surveillance</w:t>
      </w:r>
      <w:r w:rsidR="009D10FF" w:rsidRPr="00DD495D">
        <w:rPr>
          <w:lang w:val="fr-FR"/>
        </w:rPr>
        <w:t xml:space="preserve"> </w:t>
      </w:r>
      <w:proofErr w:type="spellStart"/>
      <w:r w:rsidR="000738F4" w:rsidRPr="00DD495D">
        <w:rPr>
          <w:lang w:val="fr-FR"/>
        </w:rPr>
        <w:t>m</w:t>
      </w:r>
      <w:r w:rsidR="009D10FF" w:rsidRPr="00DD495D">
        <w:rPr>
          <w:lang w:val="fr-FR"/>
        </w:rPr>
        <w:t>icroprudenti</w:t>
      </w:r>
      <w:r w:rsidR="000738F4" w:rsidRPr="00DD495D">
        <w:rPr>
          <w:lang w:val="fr-FR"/>
        </w:rPr>
        <w:t>e</w:t>
      </w:r>
      <w:r w:rsidR="009D10FF" w:rsidRPr="00DD495D">
        <w:rPr>
          <w:lang w:val="fr-FR"/>
        </w:rPr>
        <w:t>l</w:t>
      </w:r>
      <w:r w:rsidR="000738F4" w:rsidRPr="00DD495D">
        <w:rPr>
          <w:lang w:val="fr-FR"/>
        </w:rPr>
        <w:t>le</w:t>
      </w:r>
      <w:proofErr w:type="spellEnd"/>
      <w:r w:rsidR="009D10FF" w:rsidRPr="00DD495D">
        <w:rPr>
          <w:lang w:val="fr-FR"/>
        </w:rPr>
        <w:t xml:space="preserve"> III, </w:t>
      </w:r>
      <w:r w:rsidR="000738F4" w:rsidRPr="00DD495D">
        <w:rPr>
          <w:lang w:val="fr-FR"/>
        </w:rPr>
        <w:t xml:space="preserve">de la direction générale </w:t>
      </w:r>
      <w:r w:rsidR="00F66853" w:rsidRPr="00DD495D">
        <w:rPr>
          <w:lang w:val="fr-FR"/>
        </w:rPr>
        <w:t>Secrétariat du conseil de surveillance prudentielle</w:t>
      </w:r>
      <w:r w:rsidR="009D10FF" w:rsidRPr="00DD495D">
        <w:rPr>
          <w:lang w:val="fr-FR"/>
        </w:rPr>
        <w:t xml:space="preserve"> </w:t>
      </w:r>
      <w:r w:rsidR="00F66853" w:rsidRPr="00DD495D">
        <w:rPr>
          <w:lang w:val="fr-FR"/>
        </w:rPr>
        <w:t>et de la</w:t>
      </w:r>
      <w:r w:rsidR="009D10FF" w:rsidRPr="00DD495D">
        <w:rPr>
          <w:lang w:val="fr-FR"/>
        </w:rPr>
        <w:t xml:space="preserve"> </w:t>
      </w:r>
      <w:r w:rsidR="00122DA0" w:rsidRPr="00DD495D">
        <w:rPr>
          <w:lang w:val="fr-FR"/>
        </w:rPr>
        <w:t>d</w:t>
      </w:r>
      <w:r w:rsidR="009D10FF" w:rsidRPr="00DD495D">
        <w:rPr>
          <w:lang w:val="fr-FR"/>
        </w:rPr>
        <w:t>ivision</w:t>
      </w:r>
      <w:r w:rsidR="00122DA0" w:rsidRPr="00DD495D">
        <w:rPr>
          <w:lang w:val="fr-FR"/>
        </w:rPr>
        <w:t xml:space="preserve"> Agréments de la direction générale</w:t>
      </w:r>
      <w:r w:rsidR="009D10FF" w:rsidRPr="00DD495D">
        <w:rPr>
          <w:lang w:val="fr-FR"/>
        </w:rPr>
        <w:t xml:space="preserve"> </w:t>
      </w:r>
      <w:r w:rsidR="00122DA0" w:rsidRPr="00DD495D">
        <w:rPr>
          <w:lang w:val="fr-FR"/>
        </w:rPr>
        <w:t>Secrétariat du conseil de surveillance prudentielle de la BCE </w:t>
      </w:r>
      <w:r w:rsidR="009D10FF" w:rsidRPr="00DD495D">
        <w:rPr>
          <w:lang w:val="fr-FR"/>
        </w:rPr>
        <w:t>;</w:t>
      </w:r>
    </w:p>
    <w:p w14:paraId="76807904" w14:textId="4B218E8A" w:rsidR="009D10FF" w:rsidRPr="00DD495D" w:rsidRDefault="00122DA0" w:rsidP="00773490">
      <w:pPr>
        <w:pStyle w:val="ListBullet"/>
        <w:rPr>
          <w:lang w:val="fr-FR"/>
        </w:rPr>
      </w:pPr>
      <w:r w:rsidRPr="00DD495D">
        <w:rPr>
          <w:lang w:val="fr-FR"/>
        </w:rPr>
        <w:t xml:space="preserve">aux </w:t>
      </w:r>
      <w:r w:rsidR="009D10FF" w:rsidRPr="00DD495D">
        <w:rPr>
          <w:lang w:val="fr-FR"/>
        </w:rPr>
        <w:t>membr</w:t>
      </w:r>
      <w:r w:rsidRPr="00DD495D">
        <w:rPr>
          <w:lang w:val="fr-FR"/>
        </w:rPr>
        <w:t>e</w:t>
      </w:r>
      <w:r w:rsidR="009D10FF" w:rsidRPr="00DD495D">
        <w:rPr>
          <w:lang w:val="fr-FR"/>
        </w:rPr>
        <w:t>s</w:t>
      </w:r>
      <w:r w:rsidRPr="00DD495D">
        <w:rPr>
          <w:lang w:val="fr-FR"/>
        </w:rPr>
        <w:t xml:space="preserve"> du conseil de surveillance prudentielle et du Conseil des gouverneurs de la BCE </w:t>
      </w:r>
      <w:r w:rsidR="009D10FF" w:rsidRPr="00DD495D">
        <w:rPr>
          <w:lang w:val="fr-FR"/>
        </w:rPr>
        <w:t>;</w:t>
      </w:r>
    </w:p>
    <w:p w14:paraId="39AF8897" w14:textId="1F36CBF7" w:rsidR="009D10FF" w:rsidRPr="00DD495D" w:rsidRDefault="009618F5" w:rsidP="00773490">
      <w:pPr>
        <w:pStyle w:val="ListBullet"/>
        <w:rPr>
          <w:lang w:val="fr-FR"/>
        </w:rPr>
      </w:pPr>
      <w:r w:rsidRPr="00DD495D">
        <w:rPr>
          <w:lang w:val="fr-FR"/>
        </w:rPr>
        <w:t xml:space="preserve">à d’autres membres du personnel </w:t>
      </w:r>
      <w:r w:rsidR="00842364" w:rsidRPr="00137602">
        <w:rPr>
          <w:lang w:val="fr-FR"/>
        </w:rPr>
        <w:t>désignés</w:t>
      </w:r>
      <w:r w:rsidR="00842364" w:rsidRPr="00137602">
        <w:rPr>
          <w:lang w:val="fr-BE"/>
        </w:rPr>
        <w:t xml:space="preserve"> </w:t>
      </w:r>
      <w:r w:rsidRPr="00DD495D">
        <w:rPr>
          <w:lang w:val="fr-FR"/>
        </w:rPr>
        <w:t>de la BCE</w:t>
      </w:r>
      <w:r w:rsidR="009D10FF" w:rsidRPr="00DD495D">
        <w:rPr>
          <w:lang w:val="fr-FR"/>
        </w:rPr>
        <w:t xml:space="preserve"> </w:t>
      </w:r>
      <w:r w:rsidR="002452CE" w:rsidRPr="00DD495D">
        <w:rPr>
          <w:lang w:val="fr-FR"/>
        </w:rPr>
        <w:t>formulant des avis et des conseils dans le cadre des évaluations de l’expertise et de l’honorabilité</w:t>
      </w:r>
      <w:r w:rsidR="009D10FF" w:rsidRPr="00DD495D">
        <w:rPr>
          <w:lang w:val="fr-FR"/>
        </w:rPr>
        <w:t xml:space="preserve">, </w:t>
      </w:r>
      <w:r w:rsidR="002452CE" w:rsidRPr="00DD495D">
        <w:rPr>
          <w:lang w:val="fr-FR"/>
        </w:rPr>
        <w:t>comme le personnel de la direction générale</w:t>
      </w:r>
      <w:r w:rsidR="009D10FF" w:rsidRPr="00DD495D">
        <w:rPr>
          <w:lang w:val="fr-FR"/>
        </w:rPr>
        <w:t xml:space="preserve"> </w:t>
      </w:r>
      <w:r w:rsidR="009A1DB7" w:rsidRPr="00DD495D">
        <w:rPr>
          <w:lang w:val="fr-FR"/>
        </w:rPr>
        <w:t>Affaires juridiques </w:t>
      </w:r>
      <w:r w:rsidR="009D10FF" w:rsidRPr="00DD495D">
        <w:rPr>
          <w:lang w:val="fr-FR"/>
        </w:rPr>
        <w:t>;</w:t>
      </w:r>
    </w:p>
    <w:p w14:paraId="1E17CCF8" w14:textId="6F474996" w:rsidR="009D10FF" w:rsidRPr="00DD495D" w:rsidRDefault="00AD0077" w:rsidP="00773490">
      <w:pPr>
        <w:pStyle w:val="ListBullet"/>
        <w:rPr>
          <w:lang w:val="fr-FR"/>
        </w:rPr>
      </w:pPr>
      <w:r w:rsidRPr="00DD495D">
        <w:rPr>
          <w:lang w:val="fr-FR"/>
        </w:rPr>
        <w:t>à des</w:t>
      </w:r>
      <w:r w:rsidR="009D10FF" w:rsidRPr="00DD495D">
        <w:rPr>
          <w:lang w:val="fr-FR"/>
        </w:rPr>
        <w:t xml:space="preserve"> experts</w:t>
      </w:r>
      <w:r w:rsidRPr="00DD495D">
        <w:rPr>
          <w:lang w:val="fr-FR"/>
        </w:rPr>
        <w:t xml:space="preserve"> extern</w:t>
      </w:r>
      <w:r w:rsidR="0033781E" w:rsidRPr="00DD495D">
        <w:rPr>
          <w:lang w:val="fr-FR"/>
        </w:rPr>
        <w:t>e</w:t>
      </w:r>
      <w:r w:rsidRPr="00DD495D">
        <w:rPr>
          <w:lang w:val="fr-FR"/>
        </w:rPr>
        <w:t>s et</w:t>
      </w:r>
      <w:r w:rsidR="00E2446D" w:rsidRPr="00DD495D">
        <w:rPr>
          <w:lang w:val="fr-FR"/>
        </w:rPr>
        <w:t xml:space="preserve"> des</w:t>
      </w:r>
      <w:r w:rsidR="009D10FF" w:rsidRPr="00DD495D">
        <w:rPr>
          <w:lang w:val="fr-FR"/>
        </w:rPr>
        <w:t xml:space="preserve"> contract</w:t>
      </w:r>
      <w:r w:rsidR="00E2446D" w:rsidRPr="00DD495D">
        <w:rPr>
          <w:lang w:val="fr-FR"/>
        </w:rPr>
        <w:t>ant</w:t>
      </w:r>
      <w:r w:rsidR="009D10FF" w:rsidRPr="00DD495D">
        <w:rPr>
          <w:lang w:val="fr-FR"/>
        </w:rPr>
        <w:t xml:space="preserve">s </w:t>
      </w:r>
      <w:r w:rsidR="0033781E" w:rsidRPr="00DD495D">
        <w:rPr>
          <w:lang w:val="fr-FR"/>
        </w:rPr>
        <w:t>œuvrant</w:t>
      </w:r>
      <w:r w:rsidR="00E2446D" w:rsidRPr="00DD495D">
        <w:rPr>
          <w:lang w:val="fr-FR"/>
        </w:rPr>
        <w:t xml:space="preserve"> au nom de la BCE </w:t>
      </w:r>
      <w:r w:rsidR="00387442" w:rsidRPr="00DD495D">
        <w:rPr>
          <w:lang w:val="fr-FR"/>
        </w:rPr>
        <w:t>qui formulent des avis et des conseils dans le cadre des évaluations de l’expertise et de l’honorabilité</w:t>
      </w:r>
      <w:r w:rsidR="009D10FF" w:rsidRPr="00DD495D">
        <w:rPr>
          <w:lang w:val="fr-FR"/>
        </w:rPr>
        <w:t xml:space="preserve">, </w:t>
      </w:r>
      <w:r w:rsidR="00387442" w:rsidRPr="00DD495D">
        <w:rPr>
          <w:lang w:val="fr-FR"/>
        </w:rPr>
        <w:t>comme les</w:t>
      </w:r>
      <w:r w:rsidR="009D10FF" w:rsidRPr="00DD495D">
        <w:rPr>
          <w:lang w:val="fr-FR"/>
        </w:rPr>
        <w:t xml:space="preserve"> </w:t>
      </w:r>
      <w:r w:rsidR="00A40237" w:rsidRPr="00DD495D">
        <w:rPr>
          <w:lang w:val="fr-FR"/>
        </w:rPr>
        <w:t xml:space="preserve">conseillers juridiques </w:t>
      </w:r>
      <w:r w:rsidR="009D10FF" w:rsidRPr="00DD495D">
        <w:rPr>
          <w:lang w:val="fr-FR"/>
        </w:rPr>
        <w:t>extern</w:t>
      </w:r>
      <w:r w:rsidR="00A40237" w:rsidRPr="00DD495D">
        <w:rPr>
          <w:lang w:val="fr-FR"/>
        </w:rPr>
        <w:t>es </w:t>
      </w:r>
      <w:r w:rsidR="009D10FF" w:rsidRPr="00DD495D">
        <w:rPr>
          <w:lang w:val="fr-FR"/>
        </w:rPr>
        <w:t>;</w:t>
      </w:r>
    </w:p>
    <w:p w14:paraId="121EFDD8" w14:textId="26768803" w:rsidR="009D10FF" w:rsidRPr="00DD495D" w:rsidRDefault="00842364" w:rsidP="00773490">
      <w:pPr>
        <w:pStyle w:val="ListBullet"/>
        <w:rPr>
          <w:lang w:val="fr-FR"/>
        </w:rPr>
      </w:pPr>
      <w:proofErr w:type="gramStart"/>
      <w:r w:rsidRPr="00137602">
        <w:rPr>
          <w:lang w:val="fr-BE"/>
        </w:rPr>
        <w:t>à</w:t>
      </w:r>
      <w:proofErr w:type="gramEnd"/>
      <w:r w:rsidRPr="00137602">
        <w:rPr>
          <w:lang w:val="fr-BE"/>
        </w:rPr>
        <w:t xml:space="preserve"> </w:t>
      </w:r>
      <w:r w:rsidR="00C63D39" w:rsidRPr="00DD495D">
        <w:rPr>
          <w:lang w:val="fr-FR"/>
        </w:rPr>
        <w:t>un nombre</w:t>
      </w:r>
      <w:r w:rsidR="009D10FF" w:rsidRPr="00DD495D">
        <w:rPr>
          <w:lang w:val="fr-FR"/>
        </w:rPr>
        <w:t xml:space="preserve"> limit</w:t>
      </w:r>
      <w:r w:rsidR="00C63D39" w:rsidRPr="00DD495D">
        <w:rPr>
          <w:lang w:val="fr-FR"/>
        </w:rPr>
        <w:t>é de membres du personnel d’autres institutions, organes, agences, autorités de surveillance et autorités</w:t>
      </w:r>
      <w:r w:rsidR="009D10FF" w:rsidRPr="00DD495D">
        <w:rPr>
          <w:lang w:val="fr-FR"/>
        </w:rPr>
        <w:t xml:space="preserve"> nationales </w:t>
      </w:r>
      <w:r w:rsidRPr="00137602">
        <w:rPr>
          <w:lang w:val="fr-FR"/>
        </w:rPr>
        <w:t>de l’Union</w:t>
      </w:r>
      <w:r w:rsidRPr="00137602">
        <w:rPr>
          <w:lang w:val="fr-BE"/>
        </w:rPr>
        <w:t xml:space="preserve"> </w:t>
      </w:r>
      <w:r w:rsidR="009D10FF" w:rsidRPr="00DD495D">
        <w:rPr>
          <w:lang w:val="fr-FR"/>
        </w:rPr>
        <w:t>(</w:t>
      </w:r>
      <w:r w:rsidR="00C63D39" w:rsidRPr="00DD495D">
        <w:rPr>
          <w:lang w:val="fr-FR"/>
        </w:rPr>
        <w:t>par exemple, procureurs en matière pénale</w:t>
      </w:r>
      <w:r w:rsidR="009D10FF" w:rsidRPr="00DD495D">
        <w:rPr>
          <w:lang w:val="fr-FR"/>
        </w:rPr>
        <w:t xml:space="preserve">, </w:t>
      </w:r>
      <w:r w:rsidR="00C62458" w:rsidRPr="00DD495D">
        <w:rPr>
          <w:lang w:val="fr-FR"/>
        </w:rPr>
        <w:t>autorités chargées de la prévention du blanchiment de capitaux</w:t>
      </w:r>
      <w:r w:rsidR="009D10FF" w:rsidRPr="00DD495D">
        <w:rPr>
          <w:lang w:val="fr-FR"/>
        </w:rPr>
        <w:t>).</w:t>
      </w:r>
    </w:p>
    <w:p w14:paraId="49FD0057" w14:textId="3AA04984" w:rsidR="009D10FF" w:rsidRPr="00DD495D" w:rsidRDefault="009D10FF" w:rsidP="005C6268">
      <w:pPr>
        <w:pStyle w:val="Heading2"/>
        <w:rPr>
          <w:lang w:val="fr-FR"/>
        </w:rPr>
      </w:pPr>
      <w:r w:rsidRPr="00DD495D">
        <w:rPr>
          <w:lang w:val="fr-FR"/>
        </w:rPr>
        <w:t>Transfer</w:t>
      </w:r>
      <w:r w:rsidR="00F05706" w:rsidRPr="00DD495D">
        <w:rPr>
          <w:lang w:val="fr-FR"/>
        </w:rPr>
        <w:t>t</w:t>
      </w:r>
      <w:r w:rsidRPr="00DD495D">
        <w:rPr>
          <w:lang w:val="fr-FR"/>
        </w:rPr>
        <w:t xml:space="preserve">s </w:t>
      </w:r>
      <w:r w:rsidR="00F05706" w:rsidRPr="00DD495D">
        <w:rPr>
          <w:lang w:val="fr-FR"/>
        </w:rPr>
        <w:t>de données à caractère</w:t>
      </w:r>
      <w:r w:rsidRPr="00DD495D">
        <w:rPr>
          <w:lang w:val="fr-FR"/>
        </w:rPr>
        <w:t xml:space="preserve"> person</w:t>
      </w:r>
      <w:r w:rsidR="00F05706" w:rsidRPr="00DD495D">
        <w:rPr>
          <w:lang w:val="fr-FR"/>
        </w:rPr>
        <w:t>ne</w:t>
      </w:r>
      <w:r w:rsidRPr="00DD495D">
        <w:rPr>
          <w:lang w:val="fr-FR"/>
        </w:rPr>
        <w:t xml:space="preserve">l </w:t>
      </w:r>
      <w:r w:rsidR="00FA7C0F" w:rsidRPr="00DD495D">
        <w:rPr>
          <w:lang w:val="fr-FR"/>
        </w:rPr>
        <w:t>vers</w:t>
      </w:r>
      <w:r w:rsidR="00F05706" w:rsidRPr="00DD495D">
        <w:rPr>
          <w:lang w:val="fr-FR"/>
        </w:rPr>
        <w:t xml:space="preserve"> des pays tiers</w:t>
      </w:r>
    </w:p>
    <w:p w14:paraId="0A02DE47" w14:textId="143B7276" w:rsidR="009D10FF" w:rsidRPr="00DD495D" w:rsidRDefault="00F05706" w:rsidP="00FD4826">
      <w:pPr>
        <w:rPr>
          <w:lang w:val="fr-FR"/>
        </w:rPr>
      </w:pPr>
      <w:r w:rsidRPr="00DD495D">
        <w:rPr>
          <w:lang w:val="fr-FR"/>
        </w:rPr>
        <w:t>Dans le cadre de la</w:t>
      </w:r>
      <w:r w:rsidR="009D10FF" w:rsidRPr="00DD495D">
        <w:rPr>
          <w:lang w:val="fr-FR"/>
        </w:rPr>
        <w:t xml:space="preserve"> coop</w:t>
      </w:r>
      <w:r w:rsidR="00CF3AB2" w:rsidRPr="00DD495D">
        <w:rPr>
          <w:lang w:val="fr-FR"/>
        </w:rPr>
        <w:t>é</w:t>
      </w:r>
      <w:r w:rsidR="009D10FF" w:rsidRPr="00DD495D">
        <w:rPr>
          <w:lang w:val="fr-FR"/>
        </w:rPr>
        <w:t>ration</w:t>
      </w:r>
      <w:r w:rsidR="00CF3AB2" w:rsidRPr="00DD495D">
        <w:rPr>
          <w:lang w:val="fr-FR"/>
        </w:rPr>
        <w:t xml:space="preserve"> prudentielle avec des</w:t>
      </w:r>
      <w:r w:rsidR="009D10FF" w:rsidRPr="00DD495D">
        <w:rPr>
          <w:lang w:val="fr-FR"/>
        </w:rPr>
        <w:t xml:space="preserve"> autorit</w:t>
      </w:r>
      <w:r w:rsidR="00CF3AB2" w:rsidRPr="00DD495D">
        <w:rPr>
          <w:lang w:val="fr-FR"/>
        </w:rPr>
        <w:t>é</w:t>
      </w:r>
      <w:r w:rsidR="009D10FF" w:rsidRPr="00DD495D">
        <w:rPr>
          <w:lang w:val="fr-FR"/>
        </w:rPr>
        <w:t xml:space="preserve">s </w:t>
      </w:r>
      <w:r w:rsidR="00BE3B43" w:rsidRPr="00DD495D">
        <w:rPr>
          <w:lang w:val="fr-FR"/>
        </w:rPr>
        <w:t>en dehors de l’Espace économique européen </w:t>
      </w:r>
      <w:r w:rsidR="009D10FF" w:rsidRPr="00DD495D">
        <w:rPr>
          <w:lang w:val="fr-FR"/>
        </w:rPr>
        <w:t>(EE</w:t>
      </w:r>
      <w:r w:rsidR="00BE3B43" w:rsidRPr="00DD495D">
        <w:rPr>
          <w:lang w:val="fr-FR"/>
        </w:rPr>
        <w:t>E</w:t>
      </w:r>
      <w:r w:rsidR="009D10FF" w:rsidRPr="00DD495D">
        <w:rPr>
          <w:lang w:val="fr-FR"/>
        </w:rPr>
        <w:t xml:space="preserve">), </w:t>
      </w:r>
      <w:r w:rsidR="00BE3B43" w:rsidRPr="00DD495D">
        <w:rPr>
          <w:lang w:val="fr-FR"/>
        </w:rPr>
        <w:t>vos données à caractère</w:t>
      </w:r>
      <w:r w:rsidR="009D10FF" w:rsidRPr="00DD495D">
        <w:rPr>
          <w:lang w:val="fr-FR"/>
        </w:rPr>
        <w:t xml:space="preserve"> person</w:t>
      </w:r>
      <w:r w:rsidR="00BE3B43" w:rsidRPr="00DD495D">
        <w:rPr>
          <w:lang w:val="fr-FR"/>
        </w:rPr>
        <w:t>ne</w:t>
      </w:r>
      <w:r w:rsidR="009D10FF" w:rsidRPr="00DD495D">
        <w:rPr>
          <w:lang w:val="fr-FR"/>
        </w:rPr>
        <w:t>l</w:t>
      </w:r>
      <w:r w:rsidR="00BE3B43" w:rsidRPr="00DD495D">
        <w:rPr>
          <w:lang w:val="fr-FR"/>
        </w:rPr>
        <w:t xml:space="preserve"> peuvent être</w:t>
      </w:r>
      <w:r w:rsidR="009D10FF" w:rsidRPr="00DD495D">
        <w:rPr>
          <w:lang w:val="fr-FR"/>
        </w:rPr>
        <w:t xml:space="preserve"> transf</w:t>
      </w:r>
      <w:r w:rsidR="008D7CE4" w:rsidRPr="00DD495D">
        <w:rPr>
          <w:lang w:val="fr-FR"/>
        </w:rPr>
        <w:t>é</w:t>
      </w:r>
      <w:r w:rsidR="009D10FF" w:rsidRPr="00DD495D">
        <w:rPr>
          <w:lang w:val="fr-FR"/>
        </w:rPr>
        <w:t>r</w:t>
      </w:r>
      <w:r w:rsidR="008D7CE4" w:rsidRPr="00DD495D">
        <w:rPr>
          <w:lang w:val="fr-FR"/>
        </w:rPr>
        <w:t>é</w:t>
      </w:r>
      <w:r w:rsidR="009D10FF" w:rsidRPr="00DD495D">
        <w:rPr>
          <w:lang w:val="fr-FR"/>
        </w:rPr>
        <w:t>e</w:t>
      </w:r>
      <w:r w:rsidR="008D7CE4" w:rsidRPr="00DD495D">
        <w:rPr>
          <w:lang w:val="fr-FR"/>
        </w:rPr>
        <w:t xml:space="preserve">s en dehors de l’EEE </w:t>
      </w:r>
      <w:r w:rsidR="00842364" w:rsidRPr="00137602">
        <w:rPr>
          <w:lang w:val="fr-BE"/>
        </w:rPr>
        <w:t xml:space="preserve">à la </w:t>
      </w:r>
      <w:r w:rsidR="008D7CE4" w:rsidRPr="00DD495D">
        <w:rPr>
          <w:lang w:val="fr-FR"/>
        </w:rPr>
        <w:t>demande de l’autorité d’un pays tiers</w:t>
      </w:r>
      <w:r w:rsidR="009D10FF" w:rsidRPr="00DD495D">
        <w:rPr>
          <w:lang w:val="fr-FR"/>
        </w:rPr>
        <w:t xml:space="preserve">. </w:t>
      </w:r>
      <w:r w:rsidR="00DC29B2" w:rsidRPr="00DD495D">
        <w:rPr>
          <w:lang w:val="fr-FR"/>
        </w:rPr>
        <w:t>E</w:t>
      </w:r>
      <w:r w:rsidR="009D10FF" w:rsidRPr="00DD495D">
        <w:rPr>
          <w:lang w:val="fr-FR"/>
        </w:rPr>
        <w:t xml:space="preserve">n </w:t>
      </w:r>
      <w:r w:rsidR="00DC29B2" w:rsidRPr="00DD495D">
        <w:rPr>
          <w:lang w:val="fr-FR"/>
        </w:rPr>
        <w:t>l’</w:t>
      </w:r>
      <w:r w:rsidR="009D10FF" w:rsidRPr="00DD495D">
        <w:rPr>
          <w:lang w:val="fr-FR"/>
        </w:rPr>
        <w:t xml:space="preserve">absence </w:t>
      </w:r>
      <w:r w:rsidR="00DC29B2" w:rsidRPr="00DD495D">
        <w:rPr>
          <w:lang w:val="fr-FR"/>
        </w:rPr>
        <w:t>d’une</w:t>
      </w:r>
      <w:r w:rsidR="009D10FF" w:rsidRPr="00DD495D">
        <w:rPr>
          <w:lang w:val="fr-FR"/>
        </w:rPr>
        <w:t xml:space="preserve"> </w:t>
      </w:r>
      <w:r w:rsidR="005B11D9" w:rsidRPr="00DD495D">
        <w:rPr>
          <w:lang w:val="fr-FR"/>
        </w:rPr>
        <w:t>décision d’</w:t>
      </w:r>
      <w:r w:rsidR="009D10FF" w:rsidRPr="00DD495D">
        <w:rPr>
          <w:lang w:val="fr-FR"/>
        </w:rPr>
        <w:t>ad</w:t>
      </w:r>
      <w:r w:rsidR="005B11D9" w:rsidRPr="00DD495D">
        <w:rPr>
          <w:lang w:val="fr-FR"/>
        </w:rPr>
        <w:t>é</w:t>
      </w:r>
      <w:r w:rsidR="009D10FF" w:rsidRPr="00DD495D">
        <w:rPr>
          <w:lang w:val="fr-FR"/>
        </w:rPr>
        <w:t>qua</w:t>
      </w:r>
      <w:r w:rsidR="005B11D9" w:rsidRPr="00DD495D">
        <w:rPr>
          <w:lang w:val="fr-FR"/>
        </w:rPr>
        <w:t>tion</w:t>
      </w:r>
      <w:r w:rsidR="009D10FF" w:rsidRPr="00DD495D">
        <w:rPr>
          <w:lang w:val="fr-FR"/>
        </w:rPr>
        <w:t xml:space="preserve">, </w:t>
      </w:r>
      <w:r w:rsidR="005B11D9" w:rsidRPr="00DD495D">
        <w:rPr>
          <w:lang w:val="fr-FR"/>
        </w:rPr>
        <w:t xml:space="preserve">des données à caractère </w:t>
      </w:r>
      <w:r w:rsidR="009D10FF" w:rsidRPr="00DD495D">
        <w:rPr>
          <w:lang w:val="fr-FR"/>
        </w:rPr>
        <w:t>person</w:t>
      </w:r>
      <w:r w:rsidR="005B11D9" w:rsidRPr="00DD495D">
        <w:rPr>
          <w:lang w:val="fr-FR"/>
        </w:rPr>
        <w:t>ne</w:t>
      </w:r>
      <w:r w:rsidR="009D10FF" w:rsidRPr="00DD495D">
        <w:rPr>
          <w:lang w:val="fr-FR"/>
        </w:rPr>
        <w:t xml:space="preserve">l </w:t>
      </w:r>
      <w:r w:rsidR="005B11D9" w:rsidRPr="00DD495D">
        <w:rPr>
          <w:lang w:val="fr-FR"/>
        </w:rPr>
        <w:t>ne peuvent être</w:t>
      </w:r>
      <w:r w:rsidR="009D10FF" w:rsidRPr="00DD495D">
        <w:rPr>
          <w:lang w:val="fr-FR"/>
        </w:rPr>
        <w:t xml:space="preserve"> transf</w:t>
      </w:r>
      <w:r w:rsidR="005B11D9" w:rsidRPr="00DD495D">
        <w:rPr>
          <w:lang w:val="fr-FR"/>
        </w:rPr>
        <w:t>é</w:t>
      </w:r>
      <w:r w:rsidR="009D10FF" w:rsidRPr="00DD495D">
        <w:rPr>
          <w:lang w:val="fr-FR"/>
        </w:rPr>
        <w:t>r</w:t>
      </w:r>
      <w:r w:rsidR="005B11D9" w:rsidRPr="00DD495D">
        <w:rPr>
          <w:lang w:val="fr-FR"/>
        </w:rPr>
        <w:t>é</w:t>
      </w:r>
      <w:r w:rsidR="009D10FF" w:rsidRPr="00DD495D">
        <w:rPr>
          <w:lang w:val="fr-FR"/>
        </w:rPr>
        <w:t>e</w:t>
      </w:r>
      <w:r w:rsidR="005B11D9" w:rsidRPr="00DD495D">
        <w:rPr>
          <w:lang w:val="fr-FR"/>
        </w:rPr>
        <w:t>s en dehors de l’EEE</w:t>
      </w:r>
      <w:r w:rsidR="009D10FF" w:rsidRPr="00DD495D">
        <w:rPr>
          <w:lang w:val="fr-FR"/>
        </w:rPr>
        <w:t xml:space="preserve"> </w:t>
      </w:r>
      <w:r w:rsidR="005B11D9" w:rsidRPr="00DD495D">
        <w:rPr>
          <w:lang w:val="fr-FR"/>
        </w:rPr>
        <w:t>que si</w:t>
      </w:r>
      <w:r w:rsidR="009D10FF" w:rsidRPr="00DD495D">
        <w:rPr>
          <w:lang w:val="fr-FR"/>
        </w:rPr>
        <w:t xml:space="preserve"> </w:t>
      </w:r>
      <w:r w:rsidR="0016435D" w:rsidRPr="00DD495D">
        <w:rPr>
          <w:lang w:val="fr-FR"/>
        </w:rPr>
        <w:t xml:space="preserve">des garanties </w:t>
      </w:r>
      <w:r w:rsidR="009D10FF" w:rsidRPr="00DD495D">
        <w:rPr>
          <w:lang w:val="fr-FR"/>
        </w:rPr>
        <w:t>appropri</w:t>
      </w:r>
      <w:r w:rsidR="0016435D" w:rsidRPr="00DD495D">
        <w:rPr>
          <w:lang w:val="fr-FR"/>
        </w:rPr>
        <w:t>é</w:t>
      </w:r>
      <w:r w:rsidR="009D10FF" w:rsidRPr="00DD495D">
        <w:rPr>
          <w:lang w:val="fr-FR"/>
        </w:rPr>
        <w:t>e</w:t>
      </w:r>
      <w:r w:rsidR="0016435D" w:rsidRPr="00DD495D">
        <w:rPr>
          <w:lang w:val="fr-FR"/>
        </w:rPr>
        <w:t>s sont mises en place</w:t>
      </w:r>
      <w:r w:rsidR="009D10FF" w:rsidRPr="00DD495D">
        <w:rPr>
          <w:lang w:val="fr-FR"/>
        </w:rPr>
        <w:t xml:space="preserve">, </w:t>
      </w:r>
      <w:r w:rsidR="00676774" w:rsidRPr="00DD495D">
        <w:rPr>
          <w:lang w:val="fr-FR"/>
        </w:rPr>
        <w:t>telles qu’énoncées à l’a</w:t>
      </w:r>
      <w:r w:rsidR="009D10FF" w:rsidRPr="00DD495D">
        <w:rPr>
          <w:lang w:val="fr-FR"/>
        </w:rPr>
        <w:t>rticle</w:t>
      </w:r>
      <w:r w:rsidR="00676774" w:rsidRPr="00DD495D">
        <w:rPr>
          <w:lang w:val="fr-FR"/>
        </w:rPr>
        <w:t> </w:t>
      </w:r>
      <w:r w:rsidR="009D10FF" w:rsidRPr="00DD495D">
        <w:rPr>
          <w:lang w:val="fr-FR"/>
        </w:rPr>
        <w:t xml:space="preserve">48 </w:t>
      </w:r>
      <w:r w:rsidR="00676774" w:rsidRPr="00DD495D">
        <w:rPr>
          <w:lang w:val="fr-FR"/>
        </w:rPr>
        <w:t>du règlement </w:t>
      </w:r>
      <w:r w:rsidR="009D10FF" w:rsidRPr="00DD495D">
        <w:rPr>
          <w:lang w:val="fr-FR"/>
        </w:rPr>
        <w:t>(U</w:t>
      </w:r>
      <w:r w:rsidR="00676774" w:rsidRPr="00DD495D">
        <w:rPr>
          <w:lang w:val="fr-FR"/>
        </w:rPr>
        <w:t>E</w:t>
      </w:r>
      <w:r w:rsidR="009D10FF" w:rsidRPr="00DD495D">
        <w:rPr>
          <w:lang w:val="fr-FR"/>
        </w:rPr>
        <w:t xml:space="preserve">) 2018/1725. </w:t>
      </w:r>
      <w:r w:rsidR="00505377" w:rsidRPr="00DD495D">
        <w:rPr>
          <w:lang w:val="fr-FR"/>
        </w:rPr>
        <w:t>Dans des cas</w:t>
      </w:r>
      <w:r w:rsidR="009D10FF" w:rsidRPr="00DD495D">
        <w:rPr>
          <w:lang w:val="fr-FR"/>
        </w:rPr>
        <w:t xml:space="preserve"> exception</w:t>
      </w:r>
      <w:r w:rsidR="00505377" w:rsidRPr="00DD495D">
        <w:rPr>
          <w:lang w:val="fr-FR"/>
        </w:rPr>
        <w:t>ne</w:t>
      </w:r>
      <w:r w:rsidR="009D10FF" w:rsidRPr="00DD495D">
        <w:rPr>
          <w:lang w:val="fr-FR"/>
        </w:rPr>
        <w:t xml:space="preserve">ls, </w:t>
      </w:r>
      <w:r w:rsidR="00505377" w:rsidRPr="00DD495D">
        <w:rPr>
          <w:lang w:val="fr-FR"/>
        </w:rPr>
        <w:t xml:space="preserve">des transferts </w:t>
      </w:r>
      <w:r w:rsidR="009D10FF" w:rsidRPr="00DD495D">
        <w:rPr>
          <w:lang w:val="fr-FR"/>
        </w:rPr>
        <w:t>internationa</w:t>
      </w:r>
      <w:r w:rsidR="00505377" w:rsidRPr="00DD495D">
        <w:rPr>
          <w:lang w:val="fr-FR"/>
        </w:rPr>
        <w:t>ux de données à caractère</w:t>
      </w:r>
      <w:r w:rsidR="009D10FF" w:rsidRPr="00DD495D">
        <w:rPr>
          <w:lang w:val="fr-FR"/>
        </w:rPr>
        <w:t xml:space="preserve"> person</w:t>
      </w:r>
      <w:r w:rsidR="00505377" w:rsidRPr="00DD495D">
        <w:rPr>
          <w:lang w:val="fr-FR"/>
        </w:rPr>
        <w:t>ne</w:t>
      </w:r>
      <w:r w:rsidR="009D10FF" w:rsidRPr="00DD495D">
        <w:rPr>
          <w:lang w:val="fr-FR"/>
        </w:rPr>
        <w:t>l</w:t>
      </w:r>
      <w:r w:rsidR="00505377" w:rsidRPr="00DD495D">
        <w:rPr>
          <w:lang w:val="fr-FR"/>
        </w:rPr>
        <w:t xml:space="preserve"> peuvent également être instaurés sur la base de la</w:t>
      </w:r>
      <w:r w:rsidR="009D10FF" w:rsidRPr="00DD495D">
        <w:rPr>
          <w:lang w:val="fr-FR"/>
        </w:rPr>
        <w:t xml:space="preserve"> d</w:t>
      </w:r>
      <w:r w:rsidR="00505377" w:rsidRPr="00DD495D">
        <w:rPr>
          <w:lang w:val="fr-FR"/>
        </w:rPr>
        <w:t>é</w:t>
      </w:r>
      <w:r w:rsidR="009D10FF" w:rsidRPr="00DD495D">
        <w:rPr>
          <w:lang w:val="fr-FR"/>
        </w:rPr>
        <w:t>rogation</w:t>
      </w:r>
      <w:r w:rsidR="00505377" w:rsidRPr="00DD495D">
        <w:rPr>
          <w:lang w:val="fr-FR"/>
        </w:rPr>
        <w:t xml:space="preserve"> prévue par l’a</w:t>
      </w:r>
      <w:r w:rsidR="009D10FF" w:rsidRPr="00DD495D">
        <w:rPr>
          <w:lang w:val="fr-FR"/>
        </w:rPr>
        <w:t>rticle</w:t>
      </w:r>
      <w:r w:rsidR="00505377" w:rsidRPr="00DD495D">
        <w:rPr>
          <w:lang w:val="fr-FR"/>
        </w:rPr>
        <w:t> </w:t>
      </w:r>
      <w:r w:rsidR="009D10FF" w:rsidRPr="00DD495D">
        <w:rPr>
          <w:lang w:val="fr-FR"/>
        </w:rPr>
        <w:t xml:space="preserve">50 </w:t>
      </w:r>
      <w:r w:rsidR="00505377" w:rsidRPr="00DD495D">
        <w:rPr>
          <w:lang w:val="fr-FR"/>
        </w:rPr>
        <w:t>dudit règlement</w:t>
      </w:r>
      <w:r w:rsidR="009D10FF" w:rsidRPr="00DD495D">
        <w:rPr>
          <w:lang w:val="fr-FR"/>
        </w:rPr>
        <w:t>.</w:t>
      </w:r>
    </w:p>
    <w:p w14:paraId="2B160703" w14:textId="4B8080EA" w:rsidR="009D10FF" w:rsidRPr="00DD495D" w:rsidRDefault="004F7EBD" w:rsidP="005C6268">
      <w:pPr>
        <w:pStyle w:val="Heading2"/>
        <w:rPr>
          <w:lang w:val="fr-FR"/>
        </w:rPr>
      </w:pPr>
      <w:r w:rsidRPr="00DD495D">
        <w:rPr>
          <w:lang w:val="fr-FR"/>
        </w:rPr>
        <w:t>Délai de conservation</w:t>
      </w:r>
    </w:p>
    <w:p w14:paraId="0717C0EE" w14:textId="47A2E764" w:rsidR="009D10FF" w:rsidRPr="00DD495D" w:rsidRDefault="004F7EBD" w:rsidP="009D10FF">
      <w:pPr>
        <w:rPr>
          <w:lang w:val="fr-FR"/>
        </w:rPr>
      </w:pPr>
      <w:r w:rsidRPr="00DD495D">
        <w:rPr>
          <w:lang w:val="fr-FR"/>
        </w:rPr>
        <w:t>Les données à caractère p</w:t>
      </w:r>
      <w:r w:rsidR="009D10FF" w:rsidRPr="00DD495D">
        <w:rPr>
          <w:lang w:val="fr-FR"/>
        </w:rPr>
        <w:t>erson</w:t>
      </w:r>
      <w:r w:rsidRPr="00DD495D">
        <w:rPr>
          <w:lang w:val="fr-FR"/>
        </w:rPr>
        <w:t>ne</w:t>
      </w:r>
      <w:r w:rsidR="009D10FF" w:rsidRPr="00DD495D">
        <w:rPr>
          <w:lang w:val="fr-FR"/>
        </w:rPr>
        <w:t>l</w:t>
      </w:r>
      <w:r w:rsidRPr="00DD495D">
        <w:rPr>
          <w:lang w:val="fr-FR"/>
        </w:rPr>
        <w:t xml:space="preserve"> sont </w:t>
      </w:r>
      <w:r w:rsidR="00842364" w:rsidRPr="00137602">
        <w:rPr>
          <w:lang w:val="fr-FR"/>
        </w:rPr>
        <w:t>conservées selon les modalités suivantes</w:t>
      </w:r>
      <w:r w:rsidRPr="00DD495D">
        <w:rPr>
          <w:lang w:val="fr-FR"/>
        </w:rPr>
        <w:t> </w:t>
      </w:r>
      <w:r w:rsidR="009D10FF" w:rsidRPr="00DD495D">
        <w:rPr>
          <w:lang w:val="fr-FR"/>
        </w:rPr>
        <w:t>:</w:t>
      </w:r>
    </w:p>
    <w:p w14:paraId="35511ED6" w14:textId="7E56D880" w:rsidR="009D10FF" w:rsidRPr="00DD495D" w:rsidRDefault="00974F16" w:rsidP="009D10FF">
      <w:pPr>
        <w:pStyle w:val="ListBullet"/>
        <w:rPr>
          <w:lang w:val="fr-FR"/>
        </w:rPr>
      </w:pPr>
      <w:r w:rsidRPr="00DD495D">
        <w:rPr>
          <w:lang w:val="fr-FR"/>
        </w:rPr>
        <w:t>durant quinze ans</w:t>
      </w:r>
      <w:r w:rsidR="000364C4" w:rsidRPr="00DD495D">
        <w:rPr>
          <w:lang w:val="fr-FR"/>
        </w:rPr>
        <w:t xml:space="preserve"> à partir de la </w:t>
      </w:r>
      <w:r w:rsidR="009D10FF" w:rsidRPr="00DD495D">
        <w:rPr>
          <w:lang w:val="fr-FR"/>
        </w:rPr>
        <w:t xml:space="preserve">date </w:t>
      </w:r>
      <w:r w:rsidR="000364C4" w:rsidRPr="00DD495D">
        <w:rPr>
          <w:lang w:val="fr-FR"/>
        </w:rPr>
        <w:t>de la demande ou de</w:t>
      </w:r>
      <w:r w:rsidR="009D10FF" w:rsidRPr="00DD495D">
        <w:rPr>
          <w:lang w:val="fr-FR"/>
        </w:rPr>
        <w:t xml:space="preserve"> </w:t>
      </w:r>
      <w:r w:rsidR="000364C4" w:rsidRPr="00DD495D">
        <w:rPr>
          <w:lang w:val="fr-FR"/>
        </w:rPr>
        <w:t xml:space="preserve">la </w:t>
      </w:r>
      <w:r w:rsidR="009D10FF" w:rsidRPr="00DD495D">
        <w:rPr>
          <w:lang w:val="fr-FR"/>
        </w:rPr>
        <w:t xml:space="preserve">notification </w:t>
      </w:r>
      <w:r w:rsidR="000364C4" w:rsidRPr="00DD495D">
        <w:rPr>
          <w:lang w:val="fr-FR"/>
        </w:rPr>
        <w:t>si cette demande est retirée avant qu’une décision</w:t>
      </w:r>
      <w:r w:rsidR="009D10FF" w:rsidRPr="00DD495D">
        <w:rPr>
          <w:lang w:val="fr-FR"/>
        </w:rPr>
        <w:t xml:space="preserve"> </w:t>
      </w:r>
      <w:r w:rsidR="000364C4" w:rsidRPr="00DD495D">
        <w:rPr>
          <w:lang w:val="fr-FR"/>
        </w:rPr>
        <w:t>officielle soit prise </w:t>
      </w:r>
      <w:r w:rsidR="009D10FF" w:rsidRPr="00DD495D">
        <w:rPr>
          <w:lang w:val="fr-FR"/>
        </w:rPr>
        <w:t>;</w:t>
      </w:r>
    </w:p>
    <w:p w14:paraId="0418D050" w14:textId="3A1399D9" w:rsidR="009D10FF" w:rsidRPr="00DD495D" w:rsidRDefault="000364C4" w:rsidP="009D10FF">
      <w:pPr>
        <w:pStyle w:val="ListBullet"/>
        <w:rPr>
          <w:lang w:val="fr-FR"/>
        </w:rPr>
      </w:pPr>
      <w:r w:rsidRPr="00DD495D">
        <w:rPr>
          <w:lang w:val="fr-FR"/>
        </w:rPr>
        <w:t>durant quinze ans à partir de la</w:t>
      </w:r>
      <w:r w:rsidR="009D10FF" w:rsidRPr="00DD495D">
        <w:rPr>
          <w:lang w:val="fr-FR"/>
        </w:rPr>
        <w:t xml:space="preserve"> date </w:t>
      </w:r>
      <w:r w:rsidRPr="00DD495D">
        <w:rPr>
          <w:lang w:val="fr-FR"/>
        </w:rPr>
        <w:t>à laquelle une décision</w:t>
      </w:r>
      <w:r w:rsidR="009D10FF" w:rsidRPr="00DD495D">
        <w:rPr>
          <w:lang w:val="fr-FR"/>
        </w:rPr>
        <w:t xml:space="preserve"> n</w:t>
      </w:r>
      <w:r w:rsidRPr="00DD495D">
        <w:rPr>
          <w:lang w:val="fr-FR"/>
        </w:rPr>
        <w:t>é</w:t>
      </w:r>
      <w:r w:rsidR="009D10FF" w:rsidRPr="00DD495D">
        <w:rPr>
          <w:lang w:val="fr-FR"/>
        </w:rPr>
        <w:t xml:space="preserve">gative </w:t>
      </w:r>
      <w:r w:rsidRPr="00DD495D">
        <w:rPr>
          <w:lang w:val="fr-FR"/>
        </w:rPr>
        <w:t>est prise </w:t>
      </w:r>
      <w:r w:rsidR="009D10FF" w:rsidRPr="00DD495D">
        <w:rPr>
          <w:lang w:val="fr-FR"/>
        </w:rPr>
        <w:t>;</w:t>
      </w:r>
    </w:p>
    <w:p w14:paraId="46FC3500" w14:textId="7CAA5614" w:rsidR="009D10FF" w:rsidRPr="00DD495D" w:rsidRDefault="000364C4" w:rsidP="009D10FF">
      <w:pPr>
        <w:pStyle w:val="ListBullet"/>
        <w:rPr>
          <w:lang w:val="fr-FR"/>
        </w:rPr>
      </w:pPr>
      <w:proofErr w:type="gramStart"/>
      <w:r w:rsidRPr="00DD495D">
        <w:rPr>
          <w:lang w:val="fr-FR"/>
        </w:rPr>
        <w:t>durant</w:t>
      </w:r>
      <w:proofErr w:type="gramEnd"/>
      <w:r w:rsidRPr="00DD495D">
        <w:rPr>
          <w:lang w:val="fr-FR"/>
        </w:rPr>
        <w:t xml:space="preserve"> quinze ans à partir de la date </w:t>
      </w:r>
      <w:r w:rsidR="00C84732" w:rsidRPr="00DD495D">
        <w:rPr>
          <w:lang w:val="fr-FR"/>
        </w:rPr>
        <w:t xml:space="preserve">à laquelle prend fin le mandat des personnes concernées au sein des organes </w:t>
      </w:r>
      <w:proofErr w:type="spellStart"/>
      <w:r w:rsidR="0028315C">
        <w:t>d’administration</w:t>
      </w:r>
      <w:proofErr w:type="spellEnd"/>
      <w:r w:rsidR="00C84732" w:rsidRPr="00DD495D">
        <w:rPr>
          <w:lang w:val="fr-FR"/>
        </w:rPr>
        <w:t xml:space="preserve"> de l’entité soumise à la surveillance prudentielle</w:t>
      </w:r>
      <w:r w:rsidR="002C1C3A">
        <w:t xml:space="preserve"> </w:t>
      </w:r>
      <w:proofErr w:type="spellStart"/>
      <w:r w:rsidR="002C1C3A">
        <w:t>en</w:t>
      </w:r>
      <w:proofErr w:type="spellEnd"/>
      <w:r w:rsidR="002C1C3A">
        <w:t xml:space="preserve"> </w:t>
      </w:r>
      <w:proofErr w:type="spellStart"/>
      <w:r w:rsidR="002C1C3A">
        <w:t>cas</w:t>
      </w:r>
      <w:proofErr w:type="spellEnd"/>
      <w:r w:rsidR="002C1C3A">
        <w:t xml:space="preserve"> de decision positive de la BCE</w:t>
      </w:r>
      <w:r w:rsidR="00C84732" w:rsidRPr="00DD495D">
        <w:rPr>
          <w:lang w:val="fr-FR"/>
        </w:rPr>
        <w:t> </w:t>
      </w:r>
      <w:r w:rsidR="009D10FF" w:rsidRPr="00DD495D">
        <w:rPr>
          <w:lang w:val="fr-FR"/>
        </w:rPr>
        <w:t>;</w:t>
      </w:r>
    </w:p>
    <w:p w14:paraId="548A13B8" w14:textId="1ACDE5BB" w:rsidR="009D10FF" w:rsidRPr="00DD495D" w:rsidRDefault="00C84732" w:rsidP="009D10FF">
      <w:pPr>
        <w:pStyle w:val="ListBullet"/>
        <w:rPr>
          <w:lang w:val="fr-FR"/>
        </w:rPr>
      </w:pPr>
      <w:r w:rsidRPr="00DD495D">
        <w:rPr>
          <w:lang w:val="fr-FR"/>
        </w:rPr>
        <w:t>durant quinze ans à partir de la</w:t>
      </w:r>
      <w:r w:rsidR="009D10FF" w:rsidRPr="00DD495D">
        <w:rPr>
          <w:lang w:val="fr-FR"/>
        </w:rPr>
        <w:t xml:space="preserve"> date </w:t>
      </w:r>
      <w:r w:rsidRPr="00DD495D">
        <w:rPr>
          <w:lang w:val="fr-FR"/>
        </w:rPr>
        <w:t xml:space="preserve">de la </w:t>
      </w:r>
      <w:r w:rsidR="004D396F" w:rsidRPr="00DD495D">
        <w:rPr>
          <w:lang w:val="fr-FR"/>
        </w:rPr>
        <w:t>décision</w:t>
      </w:r>
      <w:r w:rsidRPr="00DD495D">
        <w:rPr>
          <w:lang w:val="fr-FR"/>
        </w:rPr>
        <w:t xml:space="preserve"> la plus récente de la BCE</w:t>
      </w:r>
      <w:r w:rsidR="004D396F" w:rsidRPr="00DD495D">
        <w:rPr>
          <w:lang w:val="fr-FR"/>
        </w:rPr>
        <w:t xml:space="preserve"> en cas de réévaluation fondée sur des faits nouveaux</w:t>
      </w:r>
      <w:r w:rsidR="009D10FF" w:rsidRPr="00DD495D">
        <w:rPr>
          <w:lang w:val="fr-FR"/>
        </w:rPr>
        <w:t>.</w:t>
      </w:r>
    </w:p>
    <w:p w14:paraId="50236810" w14:textId="226AE567" w:rsidR="009D10FF" w:rsidRPr="00DD495D" w:rsidRDefault="00E2679A" w:rsidP="00FD4826">
      <w:pPr>
        <w:rPr>
          <w:lang w:val="fr-FR"/>
        </w:rPr>
      </w:pPr>
      <w:r w:rsidRPr="00DD495D">
        <w:rPr>
          <w:lang w:val="fr-FR"/>
        </w:rPr>
        <w:t xml:space="preserve">Si des procédures administratives ou des poursuites </w:t>
      </w:r>
      <w:r w:rsidR="00842364" w:rsidRPr="00137602">
        <w:rPr>
          <w:lang w:val="fr-FR"/>
        </w:rPr>
        <w:t>judiciaires</w:t>
      </w:r>
      <w:r w:rsidR="00842364" w:rsidRPr="00137602">
        <w:rPr>
          <w:lang w:val="fr-BE"/>
        </w:rPr>
        <w:t xml:space="preserve"> </w:t>
      </w:r>
      <w:r w:rsidRPr="00DD495D">
        <w:rPr>
          <w:lang w:val="fr-FR"/>
        </w:rPr>
        <w:t>sont engagées, le délai de conservation est prolongé et prend fin un an après qu’elles ont débouché sur un arrêt ayant force de chose jugée</w:t>
      </w:r>
      <w:r w:rsidR="009D10FF" w:rsidRPr="00DD495D">
        <w:rPr>
          <w:lang w:val="fr-FR"/>
        </w:rPr>
        <w:t>.</w:t>
      </w:r>
    </w:p>
    <w:p w14:paraId="795C0F11" w14:textId="0EE79294" w:rsidR="005C6268" w:rsidRPr="00DD495D" w:rsidRDefault="00E2679A" w:rsidP="005C6268">
      <w:pPr>
        <w:pStyle w:val="Heading2"/>
        <w:rPr>
          <w:lang w:val="fr-FR"/>
        </w:rPr>
      </w:pPr>
      <w:r w:rsidRPr="00DD495D">
        <w:rPr>
          <w:lang w:val="fr-FR"/>
        </w:rPr>
        <w:t>D</w:t>
      </w:r>
      <w:r w:rsidR="00C9794E" w:rsidRPr="00DD495D">
        <w:rPr>
          <w:lang w:val="fr-FR"/>
        </w:rPr>
        <w:t>roits</w:t>
      </w:r>
      <w:r w:rsidRPr="00DD495D">
        <w:rPr>
          <w:lang w:val="fr-FR"/>
        </w:rPr>
        <w:t xml:space="preserve"> de la personne intéressée</w:t>
      </w:r>
    </w:p>
    <w:p w14:paraId="5BBAF689" w14:textId="451D8960" w:rsidR="009D10FF" w:rsidRPr="00DD495D" w:rsidRDefault="00E2679A" w:rsidP="00FD4826">
      <w:pPr>
        <w:rPr>
          <w:lang w:val="fr-FR"/>
        </w:rPr>
      </w:pPr>
      <w:r w:rsidRPr="00DD495D">
        <w:rPr>
          <w:lang w:val="fr-FR"/>
        </w:rPr>
        <w:t>Vous avez le droit d’accéder à vos données à caractère personnel et de faire rectifier toute donnée imprécise ou in</w:t>
      </w:r>
      <w:r w:rsidR="009D10FF" w:rsidRPr="00DD495D">
        <w:rPr>
          <w:lang w:val="fr-FR"/>
        </w:rPr>
        <w:t>compl</w:t>
      </w:r>
      <w:r w:rsidRPr="00DD495D">
        <w:rPr>
          <w:lang w:val="fr-FR"/>
        </w:rPr>
        <w:t>è</w:t>
      </w:r>
      <w:r w:rsidR="009D10FF" w:rsidRPr="00DD495D">
        <w:rPr>
          <w:lang w:val="fr-FR"/>
        </w:rPr>
        <w:t xml:space="preserve">te. </w:t>
      </w:r>
      <w:r w:rsidR="00610B22" w:rsidRPr="00DD495D">
        <w:rPr>
          <w:lang w:val="fr-FR"/>
        </w:rPr>
        <w:t>Vous avez également</w:t>
      </w:r>
      <w:r w:rsidR="009D10FF" w:rsidRPr="00DD495D">
        <w:rPr>
          <w:lang w:val="fr-FR"/>
        </w:rPr>
        <w:t xml:space="preserve"> </w:t>
      </w:r>
      <w:r w:rsidR="00610B22" w:rsidRPr="00DD495D">
        <w:rPr>
          <w:lang w:val="fr-FR"/>
        </w:rPr>
        <w:t xml:space="preserve">le droit </w:t>
      </w:r>
      <w:r w:rsidR="00434DE4" w:rsidRPr="00DD495D">
        <w:rPr>
          <w:lang w:val="fr-FR"/>
        </w:rPr>
        <w:t xml:space="preserve">(sous réserve de certaines limitations) </w:t>
      </w:r>
      <w:r w:rsidR="00610B22" w:rsidRPr="00DD495D">
        <w:rPr>
          <w:lang w:val="fr-FR"/>
        </w:rPr>
        <w:t>de supprimer vos données à caractère</w:t>
      </w:r>
      <w:r w:rsidR="009D10FF" w:rsidRPr="00DD495D">
        <w:rPr>
          <w:lang w:val="fr-FR"/>
        </w:rPr>
        <w:t xml:space="preserve"> person</w:t>
      </w:r>
      <w:r w:rsidR="00610B22" w:rsidRPr="00DD495D">
        <w:rPr>
          <w:lang w:val="fr-FR"/>
        </w:rPr>
        <w:t>ne</w:t>
      </w:r>
      <w:r w:rsidR="009D10FF" w:rsidRPr="00DD495D">
        <w:rPr>
          <w:lang w:val="fr-FR"/>
        </w:rPr>
        <w:t>l</w:t>
      </w:r>
      <w:r w:rsidR="00610B22" w:rsidRPr="00DD495D">
        <w:rPr>
          <w:lang w:val="fr-FR"/>
        </w:rPr>
        <w:t xml:space="preserve"> et de restreindre </w:t>
      </w:r>
      <w:r w:rsidR="00C135F4" w:rsidRPr="00DD495D">
        <w:rPr>
          <w:lang w:val="fr-FR"/>
        </w:rPr>
        <w:t xml:space="preserve">le traitement de vos données à caractère personnel </w:t>
      </w:r>
      <w:r w:rsidR="00610B22" w:rsidRPr="00DD495D">
        <w:rPr>
          <w:lang w:val="fr-FR"/>
        </w:rPr>
        <w:t xml:space="preserve">ou de vous </w:t>
      </w:r>
      <w:r w:rsidR="00C135F4" w:rsidRPr="00DD495D">
        <w:rPr>
          <w:lang w:val="fr-FR"/>
        </w:rPr>
        <w:t xml:space="preserve">y </w:t>
      </w:r>
      <w:r w:rsidR="00610B22" w:rsidRPr="00DD495D">
        <w:rPr>
          <w:lang w:val="fr-FR"/>
        </w:rPr>
        <w:t>opposer, conformément au règlement </w:t>
      </w:r>
      <w:r w:rsidR="009D10FF" w:rsidRPr="00DD495D">
        <w:rPr>
          <w:lang w:val="fr-FR"/>
        </w:rPr>
        <w:t>(U</w:t>
      </w:r>
      <w:r w:rsidR="00610B22" w:rsidRPr="00DD495D">
        <w:rPr>
          <w:lang w:val="fr-FR"/>
        </w:rPr>
        <w:t>E</w:t>
      </w:r>
      <w:r w:rsidR="009D10FF" w:rsidRPr="00DD495D">
        <w:rPr>
          <w:lang w:val="fr-FR"/>
        </w:rPr>
        <w:t>) 2018/1725.</w:t>
      </w:r>
    </w:p>
    <w:p w14:paraId="2E90CD3F" w14:textId="5D917454" w:rsidR="005C6268" w:rsidRPr="00DD495D" w:rsidRDefault="007D3C84" w:rsidP="005C6268">
      <w:pPr>
        <w:pStyle w:val="Heading2"/>
        <w:rPr>
          <w:lang w:val="fr-FR"/>
        </w:rPr>
      </w:pPr>
      <w:r w:rsidRPr="00DD495D">
        <w:rPr>
          <w:lang w:val="fr-FR"/>
        </w:rPr>
        <w:t xml:space="preserve">Informations de contact en </w:t>
      </w:r>
      <w:r w:rsidR="005C6268" w:rsidRPr="00DD495D">
        <w:rPr>
          <w:lang w:val="fr-FR"/>
        </w:rPr>
        <w:t>cas</w:t>
      </w:r>
      <w:r w:rsidRPr="00DD495D">
        <w:rPr>
          <w:lang w:val="fr-FR"/>
        </w:rPr>
        <w:t xml:space="preserve"> de </w:t>
      </w:r>
      <w:r w:rsidR="00192360" w:rsidRPr="00DD495D">
        <w:rPr>
          <w:lang w:val="fr-FR"/>
        </w:rPr>
        <w:t>questions</w:t>
      </w:r>
      <w:r w:rsidRPr="00DD495D">
        <w:rPr>
          <w:lang w:val="fr-FR"/>
        </w:rPr>
        <w:t xml:space="preserve"> et de </w:t>
      </w:r>
      <w:r w:rsidR="00192360" w:rsidRPr="00DD495D">
        <w:rPr>
          <w:lang w:val="fr-FR"/>
        </w:rPr>
        <w:t>demandes</w:t>
      </w:r>
    </w:p>
    <w:p w14:paraId="041EBDCF" w14:textId="19BF3E23" w:rsidR="009D10FF" w:rsidRPr="00DD495D" w:rsidRDefault="002A4210" w:rsidP="00BE18E0">
      <w:pPr>
        <w:rPr>
          <w:lang w:val="fr-FR"/>
        </w:rPr>
      </w:pPr>
      <w:r w:rsidRPr="00DD495D">
        <w:rPr>
          <w:lang w:val="fr-FR"/>
        </w:rPr>
        <w:t>Vous pouvez</w:t>
      </w:r>
      <w:r w:rsidR="009D10FF" w:rsidRPr="00DD495D">
        <w:rPr>
          <w:lang w:val="fr-FR"/>
        </w:rPr>
        <w:t xml:space="preserve"> exerc</w:t>
      </w:r>
      <w:r w:rsidRPr="00DD495D">
        <w:rPr>
          <w:lang w:val="fr-FR"/>
        </w:rPr>
        <w:t>er vos droits en envoyant un courriel à la division</w:t>
      </w:r>
      <w:r w:rsidR="002C1C3A">
        <w:t xml:space="preserve"> Authorisations de</w:t>
      </w:r>
      <w:r w:rsidRPr="00DD495D">
        <w:rPr>
          <w:lang w:val="fr-FR"/>
        </w:rPr>
        <w:t xml:space="preserve"> </w:t>
      </w:r>
      <w:r w:rsidR="009A0468" w:rsidRPr="00DD495D">
        <w:rPr>
          <w:lang w:val="fr-FR"/>
        </w:rPr>
        <w:t>l</w:t>
      </w:r>
      <w:r w:rsidRPr="00DD495D">
        <w:rPr>
          <w:lang w:val="fr-FR"/>
        </w:rPr>
        <w:t>a BCE à l’adresse</w:t>
      </w:r>
      <w:r w:rsidR="009D10FF" w:rsidRPr="00DD495D">
        <w:rPr>
          <w:lang w:val="fr-FR"/>
        </w:rPr>
        <w:t xml:space="preserve"> </w:t>
      </w:r>
      <w:hyperlink r:id="rId12" w:history="1">
        <w:r w:rsidR="009D10FF" w:rsidRPr="00DD495D">
          <w:rPr>
            <w:rStyle w:val="Hyperlink"/>
            <w:lang w:val="fr-FR"/>
          </w:rPr>
          <w:t>Authorisation@ecb.europa.eu</w:t>
        </w:r>
      </w:hyperlink>
      <w:r w:rsidR="009D10FF" w:rsidRPr="00DD495D">
        <w:rPr>
          <w:lang w:val="fr-FR"/>
        </w:rPr>
        <w:t>.</w:t>
      </w:r>
    </w:p>
    <w:p w14:paraId="2A647276" w14:textId="018D34C1" w:rsidR="009D10FF" w:rsidRPr="00DD495D" w:rsidRDefault="000A0882" w:rsidP="00BE18E0">
      <w:pPr>
        <w:rPr>
          <w:lang w:val="fr-FR"/>
        </w:rPr>
      </w:pPr>
      <w:r w:rsidRPr="00DD495D">
        <w:rPr>
          <w:lang w:val="fr-FR"/>
        </w:rPr>
        <w:t>Pour toute question relative aux données à caractère</w:t>
      </w:r>
      <w:r w:rsidR="009D10FF" w:rsidRPr="00DD495D">
        <w:rPr>
          <w:lang w:val="fr-FR"/>
        </w:rPr>
        <w:t xml:space="preserve"> person</w:t>
      </w:r>
      <w:r w:rsidRPr="00DD495D">
        <w:rPr>
          <w:lang w:val="fr-FR"/>
        </w:rPr>
        <w:t>ne</w:t>
      </w:r>
      <w:r w:rsidR="009D10FF" w:rsidRPr="00DD495D">
        <w:rPr>
          <w:lang w:val="fr-FR"/>
        </w:rPr>
        <w:t xml:space="preserve">l, </w:t>
      </w:r>
      <w:r w:rsidRPr="00DD495D">
        <w:rPr>
          <w:lang w:val="fr-FR"/>
        </w:rPr>
        <w:t>vous pouvez prendre</w:t>
      </w:r>
      <w:r w:rsidR="009D10FF" w:rsidRPr="00DD495D">
        <w:rPr>
          <w:lang w:val="fr-FR"/>
        </w:rPr>
        <w:t xml:space="preserve"> contact</w:t>
      </w:r>
      <w:r w:rsidRPr="00DD495D">
        <w:rPr>
          <w:lang w:val="fr-FR"/>
        </w:rPr>
        <w:t xml:space="preserve"> avec le délégué à la protection des données de la BCE en envoyant un courriel à l’adresse</w:t>
      </w:r>
      <w:r w:rsidR="009D10FF" w:rsidRPr="00DD495D">
        <w:rPr>
          <w:lang w:val="fr-FR"/>
        </w:rPr>
        <w:t xml:space="preserve"> </w:t>
      </w:r>
      <w:hyperlink r:id="rId13" w:history="1">
        <w:r w:rsidR="009D10FF" w:rsidRPr="00DD495D">
          <w:rPr>
            <w:rStyle w:val="Hyperlink"/>
            <w:lang w:val="fr-FR"/>
          </w:rPr>
          <w:t>dpo@ecb.europa.eu</w:t>
        </w:r>
      </w:hyperlink>
      <w:r w:rsidR="009D10FF" w:rsidRPr="00DD495D">
        <w:rPr>
          <w:lang w:val="fr-FR"/>
        </w:rPr>
        <w:t>.</w:t>
      </w:r>
    </w:p>
    <w:p w14:paraId="6A87DE8C" w14:textId="1D527944" w:rsidR="009D10FF" w:rsidRPr="00DD495D" w:rsidRDefault="00537B38" w:rsidP="005C6268">
      <w:pPr>
        <w:pStyle w:val="Heading2"/>
        <w:rPr>
          <w:lang w:val="fr-FR"/>
        </w:rPr>
      </w:pPr>
      <w:r w:rsidRPr="00DD495D">
        <w:rPr>
          <w:lang w:val="fr-FR"/>
        </w:rPr>
        <w:t>Plainte auprès du</w:t>
      </w:r>
      <w:r w:rsidR="005437A0" w:rsidRPr="00DD495D">
        <w:rPr>
          <w:lang w:val="fr-FR"/>
        </w:rPr>
        <w:t xml:space="preserve"> </w:t>
      </w:r>
      <w:r w:rsidR="008D483A" w:rsidRPr="00DD495D">
        <w:rPr>
          <w:lang w:val="fr-FR"/>
        </w:rPr>
        <w:t xml:space="preserve">Contrôleur </w:t>
      </w:r>
      <w:r w:rsidR="005437A0" w:rsidRPr="00DD495D">
        <w:rPr>
          <w:lang w:val="fr-FR"/>
        </w:rPr>
        <w:t>européen de la protection des données</w:t>
      </w:r>
    </w:p>
    <w:p w14:paraId="79719E36" w14:textId="4916CF19" w:rsidR="009936DE" w:rsidRPr="00DD495D" w:rsidRDefault="005437A0" w:rsidP="009936DE">
      <w:pPr>
        <w:rPr>
          <w:lang w:val="fr-FR"/>
        </w:rPr>
      </w:pPr>
      <w:r w:rsidRPr="00DD495D">
        <w:rPr>
          <w:lang w:val="fr-FR"/>
        </w:rPr>
        <w:t>Si vous estimez que vos droits découlant du règlement </w:t>
      </w:r>
      <w:r w:rsidR="009936DE" w:rsidRPr="00DD495D">
        <w:rPr>
          <w:lang w:val="fr-FR"/>
        </w:rPr>
        <w:t>(U</w:t>
      </w:r>
      <w:r w:rsidRPr="00DD495D">
        <w:rPr>
          <w:lang w:val="fr-FR"/>
        </w:rPr>
        <w:t>E</w:t>
      </w:r>
      <w:r w:rsidR="009936DE" w:rsidRPr="00DD495D">
        <w:rPr>
          <w:lang w:val="fr-FR"/>
        </w:rPr>
        <w:t xml:space="preserve">) 2018/1725 </w:t>
      </w:r>
      <w:r w:rsidRPr="00DD495D">
        <w:rPr>
          <w:lang w:val="fr-FR"/>
        </w:rPr>
        <w:t xml:space="preserve">ont été violés </w:t>
      </w:r>
      <w:r w:rsidR="00CA485B" w:rsidRPr="00DD495D">
        <w:rPr>
          <w:lang w:val="fr-FR"/>
        </w:rPr>
        <w:t xml:space="preserve">dans le cadre du traitement de vos données à caractère </w:t>
      </w:r>
      <w:r w:rsidR="009936DE" w:rsidRPr="00DD495D">
        <w:rPr>
          <w:lang w:val="fr-FR"/>
        </w:rPr>
        <w:t>person</w:t>
      </w:r>
      <w:r w:rsidR="00CA485B" w:rsidRPr="00DD495D">
        <w:rPr>
          <w:lang w:val="fr-FR"/>
        </w:rPr>
        <w:t>ne</w:t>
      </w:r>
      <w:r w:rsidR="009936DE" w:rsidRPr="00DD495D">
        <w:rPr>
          <w:lang w:val="fr-FR"/>
        </w:rPr>
        <w:t xml:space="preserve">l, </w:t>
      </w:r>
      <w:r w:rsidR="00CA485B" w:rsidRPr="00DD495D">
        <w:rPr>
          <w:lang w:val="fr-FR"/>
        </w:rPr>
        <w:t>vous avez le droit d’</w:t>
      </w:r>
      <w:r w:rsidR="009534F3" w:rsidRPr="00DD495D">
        <w:rPr>
          <w:lang w:val="fr-FR"/>
        </w:rPr>
        <w:t>introduire</w:t>
      </w:r>
      <w:r w:rsidR="00CA485B" w:rsidRPr="00DD495D">
        <w:rPr>
          <w:lang w:val="fr-FR"/>
        </w:rPr>
        <w:t xml:space="preserve"> </w:t>
      </w:r>
      <w:r w:rsidR="009534F3" w:rsidRPr="00DD495D">
        <w:rPr>
          <w:lang w:val="fr-FR"/>
        </w:rPr>
        <w:t xml:space="preserve">à tout moment </w:t>
      </w:r>
      <w:r w:rsidR="00CA485B" w:rsidRPr="00DD495D">
        <w:rPr>
          <w:lang w:val="fr-FR"/>
        </w:rPr>
        <w:t>une plainte au</w:t>
      </w:r>
      <w:r w:rsidR="009534F3" w:rsidRPr="00DD495D">
        <w:rPr>
          <w:lang w:val="fr-FR"/>
        </w:rPr>
        <w:t>près du</w:t>
      </w:r>
      <w:r w:rsidR="009936DE" w:rsidRPr="00DD495D">
        <w:rPr>
          <w:lang w:val="fr-FR"/>
        </w:rPr>
        <w:t xml:space="preserve"> </w:t>
      </w:r>
      <w:hyperlink r:id="rId14" w:history="1">
        <w:r w:rsidR="009534F3" w:rsidRPr="00DD495D">
          <w:rPr>
            <w:rStyle w:val="Hyperlink"/>
            <w:lang w:val="fr-FR"/>
          </w:rPr>
          <w:t>Contrôleur européen de la protection des données</w:t>
        </w:r>
      </w:hyperlink>
      <w:r w:rsidR="009936DE" w:rsidRPr="00DD495D">
        <w:rPr>
          <w:lang w:val="fr-FR"/>
        </w:rPr>
        <w:t>.</w:t>
      </w:r>
    </w:p>
    <w:p w14:paraId="16CF7967" w14:textId="403D6A6B" w:rsidR="005C6268" w:rsidRPr="00DD495D" w:rsidRDefault="006B04C3" w:rsidP="005C6268">
      <w:pPr>
        <w:pStyle w:val="Heading2"/>
        <w:rPr>
          <w:lang w:val="fr-FR"/>
        </w:rPr>
      </w:pPr>
      <w:r w:rsidRPr="00DD495D">
        <w:rPr>
          <w:lang w:val="fr-FR"/>
        </w:rPr>
        <w:t>Modifications apportées à la présente déclaration de confidentialité</w:t>
      </w:r>
    </w:p>
    <w:p w14:paraId="30711A98" w14:textId="47347C73" w:rsidR="005C6268" w:rsidRPr="00DD495D" w:rsidRDefault="006B04C3" w:rsidP="00FD4826">
      <w:pPr>
        <w:rPr>
          <w:lang w:val="fr-FR"/>
        </w:rPr>
      </w:pPr>
      <w:r w:rsidRPr="00DD495D">
        <w:rPr>
          <w:lang w:val="fr-FR"/>
        </w:rPr>
        <w:t>La présente déclaration de confidentialité peut être modifiée pour prendre en compte toute nouvelle évolution juridique</w:t>
      </w:r>
      <w:r w:rsidR="005C6268" w:rsidRPr="00DD495D">
        <w:rPr>
          <w:lang w:val="fr-FR"/>
        </w:rPr>
        <w:t>.</w:t>
      </w:r>
    </w:p>
    <w:p w14:paraId="7E15F934" w14:textId="3C323025" w:rsidR="005C6268" w:rsidRPr="00DD495D" w:rsidRDefault="00873035" w:rsidP="00FD4826">
      <w:pPr>
        <w:rPr>
          <w:lang w:val="fr-FR"/>
        </w:rPr>
      </w:pPr>
      <w:r w:rsidRPr="00DD495D">
        <w:rPr>
          <w:lang w:val="fr-FR"/>
        </w:rPr>
        <w:t>Date de ré</w:t>
      </w:r>
      <w:r w:rsidR="005C6268" w:rsidRPr="00DD495D">
        <w:rPr>
          <w:lang w:val="fr-FR"/>
        </w:rPr>
        <w:t>vision</w:t>
      </w:r>
      <w:r w:rsidRPr="00DD495D">
        <w:rPr>
          <w:lang w:val="fr-FR"/>
        </w:rPr>
        <w:t> </w:t>
      </w:r>
      <w:r w:rsidR="005C6268" w:rsidRPr="00DD495D">
        <w:rPr>
          <w:lang w:val="fr-FR"/>
        </w:rPr>
        <w:t>:</w:t>
      </w:r>
      <w:r w:rsidR="000D66C0" w:rsidRPr="00DD495D">
        <w:rPr>
          <w:lang w:val="fr-FR"/>
        </w:rPr>
        <w:t xml:space="preserve"> 15.05.2019</w:t>
      </w:r>
    </w:p>
    <w:sectPr w:rsidR="005C6268" w:rsidRPr="00DD495D" w:rsidSect="00FE4364">
      <w:footerReference w:type="default" r:id="rId15"/>
      <w:type w:val="continuous"/>
      <w:pgSz w:w="11907" w:h="16840" w:code="9"/>
      <w:pgMar w:top="1985" w:right="1134" w:bottom="1418" w:left="3629" w:header="567" w:footer="425" w:gutter="0"/>
      <w:pgNumType w:start="22"/>
      <w:cols w:space="720"/>
      <w:formProt w:val="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4E05A" w14:textId="77777777" w:rsidR="00816330" w:rsidRDefault="00816330" w:rsidP="0098092E">
      <w:r>
        <w:separator/>
      </w:r>
    </w:p>
  </w:endnote>
  <w:endnote w:type="continuationSeparator" w:id="0">
    <w:p w14:paraId="5836A937" w14:textId="77777777" w:rsidR="00816330" w:rsidRDefault="00816330" w:rsidP="0098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ndnya">
    <w:altName w:val="Cambria"/>
    <w:panose1 w:val="00000400000000000000"/>
    <w:charset w:val="01"/>
    <w:family w:val="roman"/>
    <w:notTrueType/>
    <w:pitch w:val="variable"/>
  </w:font>
  <w:font w:name="Arial Bold">
    <w:altName w:val="Arial"/>
    <w:panose1 w:val="020B0704020202020204"/>
    <w:charset w:val="00"/>
    <w:family w:val="auto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EF7C6" w14:textId="7C5B26A3" w:rsidR="00481937" w:rsidRPr="00171EA8" w:rsidRDefault="0033781E">
    <w:pPr>
      <w:pStyle w:val="Footer"/>
      <w:rPr>
        <w:lang w:val="fr-FR"/>
      </w:rPr>
    </w:pPr>
    <w:r w:rsidRPr="00171EA8">
      <w:rPr>
        <w:lang w:val="fr-FR"/>
      </w:rPr>
      <w:fldChar w:fldCharType="begin"/>
    </w:r>
    <w:r w:rsidRPr="00171EA8">
      <w:rPr>
        <w:lang w:val="fr-FR"/>
      </w:rPr>
      <w:instrText xml:space="preserve"> DOCPROPERTY  Title  \* MERGEFORMAT </w:instrText>
    </w:r>
    <w:r w:rsidRPr="00171EA8">
      <w:rPr>
        <w:lang w:val="fr-FR"/>
      </w:rPr>
      <w:fldChar w:fldCharType="separate"/>
    </w:r>
    <w:r w:rsidR="004753F4">
      <w:rPr>
        <w:lang w:val="fr-FR"/>
      </w:rPr>
      <w:t xml:space="preserve">Fit and </w:t>
    </w:r>
    <w:proofErr w:type="spellStart"/>
    <w:r w:rsidR="004753F4">
      <w:rPr>
        <w:lang w:val="fr-FR"/>
      </w:rPr>
      <w:t>proper</w:t>
    </w:r>
    <w:proofErr w:type="spellEnd"/>
    <w:r w:rsidR="004753F4">
      <w:rPr>
        <w:lang w:val="fr-FR"/>
      </w:rPr>
      <w:t xml:space="preserve"> questionnaire</w:t>
    </w:r>
    <w:r w:rsidRPr="00171EA8">
      <w:rPr>
        <w:lang w:val="fr-FR"/>
      </w:rPr>
      <w:fldChar w:fldCharType="end"/>
    </w:r>
  </w:p>
  <w:p w14:paraId="48744CC2" w14:textId="77777777" w:rsidR="00481937" w:rsidRPr="00171EA8" w:rsidRDefault="00481937" w:rsidP="00481937">
    <w:pPr>
      <w:pStyle w:val="PageNumbers"/>
      <w:framePr w:wrap="around"/>
      <w:rPr>
        <w:lang w:val="fr-FR"/>
      </w:rPr>
    </w:pPr>
    <w:r w:rsidRPr="00171EA8">
      <w:rPr>
        <w:lang w:val="fr-FR"/>
      </w:rPr>
      <w:fldChar w:fldCharType="begin"/>
    </w:r>
    <w:r w:rsidRPr="00171EA8">
      <w:rPr>
        <w:lang w:val="fr-FR"/>
      </w:rPr>
      <w:instrText xml:space="preserve"> PAGE   \* MERGEFORMAT </w:instrText>
    </w:r>
    <w:r w:rsidRPr="00171EA8">
      <w:rPr>
        <w:lang w:val="fr-FR"/>
      </w:rPr>
      <w:fldChar w:fldCharType="separate"/>
    </w:r>
    <w:r w:rsidR="00465DFA" w:rsidRPr="00171EA8">
      <w:rPr>
        <w:lang w:val="fr-FR"/>
      </w:rPr>
      <w:t>26</w:t>
    </w:r>
    <w:r w:rsidRPr="00171EA8">
      <w:rPr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F6BE0" w14:textId="77777777" w:rsidR="00816330" w:rsidRPr="00D04F53" w:rsidRDefault="00816330" w:rsidP="00D04F53">
      <w:pPr>
        <w:pStyle w:val="FootnoteText"/>
        <w:rPr>
          <w:color w:val="003299"/>
        </w:rPr>
      </w:pPr>
      <w:r w:rsidRPr="00D04F53">
        <w:rPr>
          <w:color w:val="003299"/>
        </w:rPr>
        <w:separator/>
      </w:r>
    </w:p>
  </w:footnote>
  <w:footnote w:type="continuationSeparator" w:id="0">
    <w:p w14:paraId="24BC213F" w14:textId="77777777" w:rsidR="00816330" w:rsidRPr="00D04F53" w:rsidRDefault="00816330" w:rsidP="00D04F53">
      <w:pPr>
        <w:pStyle w:val="FootnoteText"/>
        <w:rPr>
          <w:color w:val="003299"/>
        </w:rPr>
      </w:pPr>
      <w:r w:rsidRPr="00D04F53">
        <w:rPr>
          <w:color w:val="003299"/>
        </w:rPr>
        <w:continuationSeparator/>
      </w:r>
    </w:p>
  </w:footnote>
  <w:footnote w:type="continuationNotice" w:id="1">
    <w:p w14:paraId="198D5C0F" w14:textId="77777777" w:rsidR="00816330" w:rsidRDefault="00816330" w:rsidP="00D04F53">
      <w:pPr>
        <w:pStyle w:val="FootnoteText"/>
      </w:pPr>
    </w:p>
  </w:footnote>
  <w:footnote w:id="2">
    <w:p w14:paraId="411D87E4" w14:textId="515FB18C" w:rsidR="00DC6814" w:rsidRPr="00141825" w:rsidRDefault="00DC6814" w:rsidP="00DC6814">
      <w:pPr>
        <w:pStyle w:val="FootnoteText"/>
        <w:spacing w:after="0" w:line="240" w:lineRule="auto"/>
        <w:jc w:val="both"/>
        <w:rPr>
          <w:rFonts w:cs="Arial"/>
          <w:szCs w:val="15"/>
          <w:lang w:val="fr-FR"/>
        </w:rPr>
      </w:pPr>
      <w:r w:rsidRPr="00141825">
        <w:rPr>
          <w:rStyle w:val="FootnoteReference"/>
          <w:rFonts w:cs="Arial"/>
          <w:sz w:val="18"/>
          <w:lang w:val="fr-FR"/>
        </w:rPr>
        <w:footnoteRef/>
      </w:r>
      <w:r w:rsidRPr="00141825">
        <w:rPr>
          <w:rFonts w:cs="Arial"/>
          <w:sz w:val="18"/>
          <w:lang w:val="fr-FR"/>
        </w:rPr>
        <w:t xml:space="preserve"> </w:t>
      </w:r>
      <w:r w:rsidRPr="00141825">
        <w:rPr>
          <w:rFonts w:cs="Arial"/>
          <w:sz w:val="18"/>
          <w:lang w:val="fr-FR"/>
        </w:rPr>
        <w:tab/>
      </w:r>
      <w:r w:rsidR="00E43320" w:rsidRPr="00141825">
        <w:rPr>
          <w:lang w:val="fr-FR"/>
        </w:rPr>
        <w:t>Règlement </w:t>
      </w:r>
      <w:r w:rsidRPr="00141825">
        <w:rPr>
          <w:rFonts w:cs="Arial"/>
          <w:szCs w:val="15"/>
          <w:lang w:val="fr-FR"/>
        </w:rPr>
        <w:t>(</w:t>
      </w:r>
      <w:r w:rsidR="00E43320" w:rsidRPr="00141825">
        <w:rPr>
          <w:lang w:val="fr-FR"/>
        </w:rPr>
        <w:t>UE</w:t>
      </w:r>
      <w:r w:rsidRPr="00141825">
        <w:rPr>
          <w:rFonts w:cs="Arial"/>
          <w:szCs w:val="15"/>
          <w:lang w:val="fr-FR"/>
        </w:rPr>
        <w:t xml:space="preserve">) </w:t>
      </w:r>
      <w:r w:rsidR="00E43320" w:rsidRPr="00141825">
        <w:rPr>
          <w:lang w:val="fr-FR"/>
        </w:rPr>
        <w:t>n° </w:t>
      </w:r>
      <w:hyperlink r:id="rId1" w:history="1">
        <w:r w:rsidRPr="00141825">
          <w:rPr>
            <w:rStyle w:val="Hyperlink"/>
            <w:rFonts w:cs="Arial"/>
            <w:szCs w:val="15"/>
            <w:lang w:val="fr-FR"/>
          </w:rPr>
          <w:t>1024/2013</w:t>
        </w:r>
      </w:hyperlink>
      <w:r w:rsidRPr="00141825">
        <w:rPr>
          <w:rFonts w:cs="Arial"/>
          <w:szCs w:val="15"/>
          <w:lang w:val="fr-FR"/>
        </w:rPr>
        <w:t xml:space="preserve"> </w:t>
      </w:r>
      <w:r w:rsidR="00E43320" w:rsidRPr="00141825">
        <w:rPr>
          <w:lang w:val="fr-FR"/>
        </w:rPr>
        <w:t>du Conseil du</w:t>
      </w:r>
      <w:r w:rsidRPr="00141825">
        <w:rPr>
          <w:rFonts w:cs="Arial"/>
          <w:szCs w:val="15"/>
          <w:lang w:val="fr-FR"/>
        </w:rPr>
        <w:t xml:space="preserve"> 15</w:t>
      </w:r>
      <w:r w:rsidR="00E43320" w:rsidRPr="00141825">
        <w:rPr>
          <w:lang w:val="fr-FR"/>
        </w:rPr>
        <w:t> o</w:t>
      </w:r>
      <w:r w:rsidRPr="00141825">
        <w:rPr>
          <w:rFonts w:cs="Arial"/>
          <w:szCs w:val="15"/>
          <w:lang w:val="fr-FR"/>
        </w:rPr>
        <w:t>ctobr</w:t>
      </w:r>
      <w:r w:rsidR="00E43320" w:rsidRPr="00141825">
        <w:rPr>
          <w:lang w:val="fr-FR"/>
        </w:rPr>
        <w:t>e </w:t>
      </w:r>
      <w:r w:rsidRPr="00141825">
        <w:rPr>
          <w:rFonts w:cs="Arial"/>
          <w:szCs w:val="15"/>
          <w:lang w:val="fr-FR"/>
        </w:rPr>
        <w:t xml:space="preserve">2013 </w:t>
      </w:r>
      <w:r w:rsidR="00E43320" w:rsidRPr="00141825">
        <w:rPr>
          <w:lang w:val="fr-FR"/>
        </w:rPr>
        <w:t>confiant à la Banque centrale européenne des missions spécifiques ayant trait aux politiques en matière de surveillance prudentielle des établissements de crédit</w:t>
      </w:r>
      <w:r w:rsidRPr="00141825">
        <w:rPr>
          <w:rFonts w:cs="Arial"/>
          <w:szCs w:val="15"/>
          <w:lang w:val="fr-FR"/>
        </w:rPr>
        <w:t xml:space="preserve"> (J</w:t>
      </w:r>
      <w:r w:rsidR="00E43320" w:rsidRPr="00141825">
        <w:rPr>
          <w:lang w:val="fr-FR"/>
        </w:rPr>
        <w:t>O</w:t>
      </w:r>
      <w:r w:rsidRPr="00141825">
        <w:rPr>
          <w:rFonts w:cs="Arial"/>
          <w:szCs w:val="15"/>
          <w:lang w:val="fr-FR"/>
        </w:rPr>
        <w:t> L 287</w:t>
      </w:r>
      <w:r w:rsidR="00E43320" w:rsidRPr="00141825">
        <w:rPr>
          <w:lang w:val="fr-FR"/>
        </w:rPr>
        <w:t xml:space="preserve"> du </w:t>
      </w:r>
      <w:r w:rsidRPr="00141825">
        <w:rPr>
          <w:rFonts w:cs="Arial"/>
          <w:szCs w:val="15"/>
          <w:lang w:val="fr-FR"/>
        </w:rPr>
        <w:t>29.10.2013, p.</w:t>
      </w:r>
      <w:r w:rsidR="00E43320" w:rsidRPr="00141825">
        <w:rPr>
          <w:lang w:val="fr-FR"/>
        </w:rPr>
        <w:t> </w:t>
      </w:r>
      <w:r w:rsidRPr="00141825">
        <w:rPr>
          <w:rFonts w:cs="Arial"/>
          <w:szCs w:val="15"/>
          <w:lang w:val="fr-FR"/>
        </w:rPr>
        <w:t>63).</w:t>
      </w:r>
    </w:p>
  </w:footnote>
  <w:footnote w:id="3">
    <w:p w14:paraId="24F30D92" w14:textId="5E41392C" w:rsidR="00DC6814" w:rsidRPr="00141825" w:rsidRDefault="00DC6814" w:rsidP="00DC6814">
      <w:pPr>
        <w:pStyle w:val="FootnoteText"/>
        <w:spacing w:after="0" w:line="240" w:lineRule="auto"/>
        <w:jc w:val="both"/>
        <w:rPr>
          <w:rFonts w:cs="Arial"/>
          <w:szCs w:val="15"/>
          <w:lang w:val="fr-FR"/>
        </w:rPr>
      </w:pPr>
      <w:r w:rsidRPr="00141825">
        <w:rPr>
          <w:rStyle w:val="FootnoteReference"/>
          <w:rFonts w:cs="Arial"/>
          <w:szCs w:val="15"/>
          <w:lang w:val="fr-FR"/>
        </w:rPr>
        <w:footnoteRef/>
      </w:r>
      <w:r w:rsidRPr="00141825">
        <w:rPr>
          <w:rFonts w:cs="Arial"/>
          <w:szCs w:val="15"/>
          <w:lang w:val="fr-FR"/>
        </w:rPr>
        <w:t xml:space="preserve"> </w:t>
      </w:r>
      <w:r w:rsidRPr="00141825">
        <w:rPr>
          <w:rFonts w:cs="Arial"/>
          <w:szCs w:val="15"/>
          <w:lang w:val="fr-FR"/>
        </w:rPr>
        <w:tab/>
      </w:r>
      <w:r w:rsidR="00211C47" w:rsidRPr="00141825">
        <w:rPr>
          <w:lang w:val="fr-FR"/>
        </w:rPr>
        <w:t>Règlement </w:t>
      </w:r>
      <w:r w:rsidRPr="00141825">
        <w:rPr>
          <w:rFonts w:cs="Arial"/>
          <w:color w:val="191919"/>
          <w:szCs w:val="15"/>
          <w:lang w:val="fr-FR"/>
        </w:rPr>
        <w:t>(U</w:t>
      </w:r>
      <w:r w:rsidR="00211C47" w:rsidRPr="00141825">
        <w:rPr>
          <w:lang w:val="fr-FR"/>
        </w:rPr>
        <w:t>E</w:t>
      </w:r>
      <w:r w:rsidRPr="00141825">
        <w:rPr>
          <w:rFonts w:cs="Arial"/>
          <w:color w:val="191919"/>
          <w:szCs w:val="15"/>
          <w:lang w:val="fr-FR"/>
        </w:rPr>
        <w:t xml:space="preserve">) </w:t>
      </w:r>
      <w:hyperlink r:id="rId2" w:history="1">
        <w:r w:rsidRPr="00141825">
          <w:rPr>
            <w:rStyle w:val="Hyperlink"/>
            <w:rFonts w:cs="Arial"/>
            <w:szCs w:val="15"/>
            <w:lang w:val="fr-FR"/>
          </w:rPr>
          <w:t>2018/1725</w:t>
        </w:r>
      </w:hyperlink>
      <w:r w:rsidRPr="00141825">
        <w:rPr>
          <w:rFonts w:cs="Arial"/>
          <w:color w:val="191919"/>
          <w:szCs w:val="15"/>
          <w:lang w:val="fr-FR"/>
        </w:rPr>
        <w:t xml:space="preserve"> </w:t>
      </w:r>
      <w:r w:rsidR="00211C47" w:rsidRPr="00141825">
        <w:rPr>
          <w:lang w:val="fr-FR"/>
        </w:rPr>
        <w:t>du</w:t>
      </w:r>
      <w:r w:rsidRPr="00141825">
        <w:rPr>
          <w:rFonts w:cs="Arial"/>
          <w:color w:val="191919"/>
          <w:szCs w:val="15"/>
          <w:lang w:val="fr-FR"/>
        </w:rPr>
        <w:t xml:space="preserve"> Parl</w:t>
      </w:r>
      <w:r w:rsidR="00211C47" w:rsidRPr="00141825">
        <w:rPr>
          <w:lang w:val="fr-FR"/>
        </w:rPr>
        <w:t>e</w:t>
      </w:r>
      <w:r w:rsidRPr="00141825">
        <w:rPr>
          <w:rFonts w:cs="Arial"/>
          <w:color w:val="191919"/>
          <w:szCs w:val="15"/>
          <w:lang w:val="fr-FR"/>
        </w:rPr>
        <w:t>ment</w:t>
      </w:r>
      <w:r w:rsidR="00211C47" w:rsidRPr="00141825">
        <w:rPr>
          <w:lang w:val="fr-FR"/>
        </w:rPr>
        <w:t xml:space="preserve"> européen et du</w:t>
      </w:r>
      <w:r w:rsidRPr="00141825">
        <w:rPr>
          <w:rFonts w:cs="Arial"/>
          <w:color w:val="191919"/>
          <w:szCs w:val="15"/>
          <w:lang w:val="fr-FR"/>
        </w:rPr>
        <w:t xml:space="preserve"> Con</w:t>
      </w:r>
      <w:r w:rsidR="00211C47" w:rsidRPr="00141825">
        <w:rPr>
          <w:lang w:val="fr-FR"/>
        </w:rPr>
        <w:t>se</w:t>
      </w:r>
      <w:r w:rsidRPr="00141825">
        <w:rPr>
          <w:rFonts w:cs="Arial"/>
          <w:color w:val="191919"/>
          <w:szCs w:val="15"/>
          <w:lang w:val="fr-FR"/>
        </w:rPr>
        <w:t xml:space="preserve">il </w:t>
      </w:r>
      <w:r w:rsidR="00211C47" w:rsidRPr="00141825">
        <w:rPr>
          <w:lang w:val="fr-FR"/>
        </w:rPr>
        <w:t>du</w:t>
      </w:r>
      <w:r w:rsidRPr="00141825">
        <w:rPr>
          <w:rFonts w:cs="Arial"/>
          <w:color w:val="191919"/>
          <w:szCs w:val="15"/>
          <w:lang w:val="fr-FR"/>
        </w:rPr>
        <w:t xml:space="preserve"> 23</w:t>
      </w:r>
      <w:r w:rsidR="00211C47" w:rsidRPr="00141825">
        <w:rPr>
          <w:lang w:val="fr-FR"/>
        </w:rPr>
        <w:t> o</w:t>
      </w:r>
      <w:r w:rsidRPr="00141825">
        <w:rPr>
          <w:rFonts w:cs="Arial"/>
          <w:color w:val="191919"/>
          <w:szCs w:val="15"/>
          <w:lang w:val="fr-FR"/>
        </w:rPr>
        <w:t>ctobr</w:t>
      </w:r>
      <w:r w:rsidR="00211C47" w:rsidRPr="00141825">
        <w:rPr>
          <w:lang w:val="fr-FR"/>
        </w:rPr>
        <w:t>e </w:t>
      </w:r>
      <w:r w:rsidRPr="00141825">
        <w:rPr>
          <w:rFonts w:cs="Arial"/>
          <w:color w:val="191919"/>
          <w:szCs w:val="15"/>
          <w:lang w:val="fr-FR"/>
        </w:rPr>
        <w:t xml:space="preserve">2018 </w:t>
      </w:r>
      <w:r w:rsidR="00211C47" w:rsidRPr="00141825">
        <w:rPr>
          <w:lang w:val="fr-FR"/>
        </w:rPr>
        <w:t>relatif à la protection des personnes physiques à l’égard du traitement des données à caractère personnel par les institutions, organes et organismes de l’Union et à la libre circulation de ces données, et abrogeant le règlement</w:t>
      </w:r>
      <w:r w:rsidR="00711502" w:rsidRPr="00141825">
        <w:rPr>
          <w:lang w:val="fr-FR"/>
        </w:rPr>
        <w:t> </w:t>
      </w:r>
      <w:r w:rsidR="00211C47" w:rsidRPr="00141825">
        <w:rPr>
          <w:lang w:val="fr-FR"/>
        </w:rPr>
        <w:t>(CE) n</w:t>
      </w:r>
      <w:r w:rsidR="00711502" w:rsidRPr="00141825">
        <w:rPr>
          <w:lang w:val="fr-FR"/>
        </w:rPr>
        <w:t>° </w:t>
      </w:r>
      <w:r w:rsidR="00211C47" w:rsidRPr="00141825">
        <w:rPr>
          <w:lang w:val="fr-FR"/>
        </w:rPr>
        <w:t>45/2001 et la décision n° 1247/2002/CE</w:t>
      </w:r>
      <w:r w:rsidRPr="00141825">
        <w:rPr>
          <w:rFonts w:cs="Arial"/>
          <w:color w:val="191919"/>
          <w:szCs w:val="15"/>
          <w:lang w:val="fr-FR"/>
        </w:rPr>
        <w:t xml:space="preserve"> (J</w:t>
      </w:r>
      <w:r w:rsidR="00211C47" w:rsidRPr="00141825">
        <w:rPr>
          <w:lang w:val="fr-FR"/>
        </w:rPr>
        <w:t>O </w:t>
      </w:r>
      <w:r w:rsidRPr="00141825">
        <w:rPr>
          <w:rFonts w:cs="Arial"/>
          <w:color w:val="191919"/>
          <w:szCs w:val="15"/>
          <w:lang w:val="fr-FR"/>
        </w:rPr>
        <w:t>L 295</w:t>
      </w:r>
      <w:r w:rsidR="00211C47" w:rsidRPr="00141825">
        <w:rPr>
          <w:lang w:val="fr-FR"/>
        </w:rPr>
        <w:t xml:space="preserve"> du</w:t>
      </w:r>
      <w:r w:rsidRPr="00141825">
        <w:rPr>
          <w:rFonts w:cs="Arial"/>
          <w:color w:val="191919"/>
          <w:szCs w:val="15"/>
          <w:lang w:val="fr-FR"/>
        </w:rPr>
        <w:t xml:space="preserve"> 21.11.2018, p.</w:t>
      </w:r>
      <w:r w:rsidR="00211C47" w:rsidRPr="00141825">
        <w:rPr>
          <w:lang w:val="fr-FR"/>
        </w:rPr>
        <w:t> </w:t>
      </w:r>
      <w:r w:rsidRPr="00141825">
        <w:rPr>
          <w:rFonts w:cs="Arial"/>
          <w:color w:val="191919"/>
          <w:szCs w:val="15"/>
          <w:lang w:val="fr-FR"/>
        </w:rPr>
        <w:t>39).</w:t>
      </w:r>
    </w:p>
  </w:footnote>
  <w:footnote w:id="4">
    <w:p w14:paraId="1B5C686B" w14:textId="21102FE2" w:rsidR="00DC6814" w:rsidRPr="00141825" w:rsidRDefault="00DC6814" w:rsidP="00DC6814">
      <w:pPr>
        <w:pStyle w:val="FootnoteText"/>
        <w:jc w:val="both"/>
        <w:rPr>
          <w:rFonts w:cs="Arial"/>
          <w:szCs w:val="15"/>
          <w:lang w:val="fr-FR"/>
        </w:rPr>
      </w:pPr>
      <w:r w:rsidRPr="00141825">
        <w:rPr>
          <w:rStyle w:val="FootnoteReference"/>
          <w:rFonts w:cs="Arial"/>
          <w:szCs w:val="15"/>
          <w:lang w:val="fr-FR"/>
        </w:rPr>
        <w:footnoteRef/>
      </w:r>
      <w:r w:rsidRPr="00141825">
        <w:rPr>
          <w:rFonts w:cs="Arial"/>
          <w:color w:val="191919"/>
          <w:szCs w:val="15"/>
          <w:lang w:val="fr-FR"/>
        </w:rPr>
        <w:t xml:space="preserve"> </w:t>
      </w:r>
      <w:r w:rsidRPr="00141825">
        <w:rPr>
          <w:rFonts w:cs="Arial"/>
          <w:color w:val="191919"/>
          <w:szCs w:val="15"/>
          <w:lang w:val="fr-FR"/>
        </w:rPr>
        <w:tab/>
      </w:r>
      <w:r w:rsidR="00055D11" w:rsidRPr="00141825">
        <w:rPr>
          <w:lang w:val="fr-FR"/>
        </w:rPr>
        <w:t xml:space="preserve">Au sens du </w:t>
      </w:r>
      <w:r w:rsidRPr="00141825">
        <w:rPr>
          <w:rFonts w:cs="Arial"/>
          <w:color w:val="191919"/>
          <w:szCs w:val="15"/>
          <w:lang w:val="fr-FR"/>
        </w:rPr>
        <w:t>point</w:t>
      </w:r>
      <w:r w:rsidR="00055D11" w:rsidRPr="00141825">
        <w:rPr>
          <w:lang w:val="fr-FR"/>
        </w:rPr>
        <w:t> </w:t>
      </w:r>
      <w:r w:rsidRPr="00141825">
        <w:rPr>
          <w:rFonts w:cs="Arial"/>
          <w:color w:val="191919"/>
          <w:szCs w:val="15"/>
          <w:lang w:val="fr-FR"/>
        </w:rPr>
        <w:t xml:space="preserve">8) </w:t>
      </w:r>
      <w:r w:rsidR="00055D11" w:rsidRPr="00141825">
        <w:rPr>
          <w:lang w:val="fr-FR"/>
        </w:rPr>
        <w:t>de l’a</w:t>
      </w:r>
      <w:r w:rsidRPr="00141825">
        <w:rPr>
          <w:rFonts w:cs="Arial"/>
          <w:color w:val="191919"/>
          <w:szCs w:val="15"/>
          <w:lang w:val="fr-FR"/>
        </w:rPr>
        <w:t>rticle</w:t>
      </w:r>
      <w:r w:rsidR="00055D11" w:rsidRPr="00141825">
        <w:rPr>
          <w:lang w:val="fr-FR"/>
        </w:rPr>
        <w:t> </w:t>
      </w:r>
      <w:r w:rsidRPr="00141825">
        <w:rPr>
          <w:rFonts w:cs="Arial"/>
          <w:color w:val="191919"/>
          <w:szCs w:val="15"/>
          <w:lang w:val="fr-FR"/>
        </w:rPr>
        <w:t xml:space="preserve">3 </w:t>
      </w:r>
      <w:r w:rsidR="00055D11" w:rsidRPr="00141825">
        <w:rPr>
          <w:lang w:val="fr-FR"/>
        </w:rPr>
        <w:t>du règlement </w:t>
      </w:r>
      <w:r w:rsidRPr="00141825">
        <w:rPr>
          <w:rFonts w:cs="Arial"/>
          <w:color w:val="191919"/>
          <w:szCs w:val="15"/>
          <w:lang w:val="fr-FR"/>
        </w:rPr>
        <w:t>(U</w:t>
      </w:r>
      <w:r w:rsidR="00055D11" w:rsidRPr="00141825">
        <w:rPr>
          <w:lang w:val="fr-FR"/>
        </w:rPr>
        <w:t>E</w:t>
      </w:r>
      <w:r w:rsidRPr="00141825">
        <w:rPr>
          <w:rFonts w:cs="Arial"/>
          <w:color w:val="191919"/>
          <w:szCs w:val="15"/>
          <w:lang w:val="fr-FR"/>
        </w:rPr>
        <w:t>) 2018/1725.</w:t>
      </w:r>
    </w:p>
  </w:footnote>
  <w:footnote w:id="5">
    <w:p w14:paraId="431E8432" w14:textId="21D3DB04" w:rsidR="00773490" w:rsidRPr="00141825" w:rsidRDefault="00773490" w:rsidP="007C4008">
      <w:pPr>
        <w:pStyle w:val="FootnoteText"/>
        <w:rPr>
          <w:rFonts w:cs="Arial"/>
          <w:szCs w:val="15"/>
          <w:lang w:val="fr-FR"/>
        </w:rPr>
      </w:pPr>
      <w:r w:rsidRPr="00141825">
        <w:rPr>
          <w:rStyle w:val="FootnoteReference"/>
          <w:rFonts w:cs="Arial"/>
          <w:sz w:val="18"/>
          <w:lang w:val="fr-FR"/>
        </w:rPr>
        <w:footnoteRef/>
      </w:r>
      <w:r w:rsidRPr="00141825">
        <w:rPr>
          <w:rFonts w:cs="Arial"/>
          <w:sz w:val="18"/>
          <w:lang w:val="fr-FR"/>
        </w:rPr>
        <w:t xml:space="preserve"> </w:t>
      </w:r>
      <w:r w:rsidRPr="00141825">
        <w:rPr>
          <w:rFonts w:cs="Arial"/>
          <w:sz w:val="18"/>
          <w:lang w:val="fr-FR"/>
        </w:rPr>
        <w:tab/>
      </w:r>
      <w:bookmarkStart w:id="1" w:name="_Hlk11765428"/>
      <w:r w:rsidRPr="00141825">
        <w:rPr>
          <w:rFonts w:cs="Arial"/>
          <w:szCs w:val="15"/>
          <w:lang w:val="fr-FR"/>
        </w:rPr>
        <w:t>R</w:t>
      </w:r>
      <w:r w:rsidR="000C0C0F" w:rsidRPr="00141825">
        <w:rPr>
          <w:lang w:val="fr-FR"/>
        </w:rPr>
        <w:t>èglement</w:t>
      </w:r>
      <w:r w:rsidR="0076180A" w:rsidRPr="00141825">
        <w:rPr>
          <w:lang w:val="fr-FR"/>
        </w:rPr>
        <w:t> </w:t>
      </w:r>
      <w:r w:rsidRPr="00141825">
        <w:rPr>
          <w:rFonts w:cs="Arial"/>
          <w:szCs w:val="15"/>
          <w:lang w:val="fr-FR"/>
        </w:rPr>
        <w:t>(U</w:t>
      </w:r>
      <w:r w:rsidR="000C0C0F" w:rsidRPr="00141825">
        <w:rPr>
          <w:lang w:val="fr-FR"/>
        </w:rPr>
        <w:t>E</w:t>
      </w:r>
      <w:r w:rsidRPr="00141825">
        <w:rPr>
          <w:rFonts w:cs="Arial"/>
          <w:szCs w:val="15"/>
          <w:lang w:val="fr-FR"/>
        </w:rPr>
        <w:t xml:space="preserve">) </w:t>
      </w:r>
      <w:r w:rsidR="000C0C0F" w:rsidRPr="00141825">
        <w:rPr>
          <w:lang w:val="fr-FR"/>
        </w:rPr>
        <w:t>n° </w:t>
      </w:r>
      <w:hyperlink r:id="rId3" w:history="1">
        <w:r w:rsidRPr="00141825">
          <w:rPr>
            <w:rStyle w:val="Hyperlink"/>
            <w:rFonts w:cs="Arial"/>
            <w:szCs w:val="15"/>
            <w:lang w:val="fr-FR"/>
          </w:rPr>
          <w:t>468/2014</w:t>
        </w:r>
      </w:hyperlink>
      <w:r w:rsidRPr="00141825">
        <w:rPr>
          <w:rFonts w:cs="Arial"/>
          <w:szCs w:val="15"/>
          <w:lang w:val="fr-FR"/>
        </w:rPr>
        <w:t xml:space="preserve"> </w:t>
      </w:r>
      <w:r w:rsidR="000C0C0F" w:rsidRPr="00141825">
        <w:rPr>
          <w:lang w:val="fr-FR"/>
        </w:rPr>
        <w:t>de la Banque c</w:t>
      </w:r>
      <w:r w:rsidRPr="00141825">
        <w:rPr>
          <w:rFonts w:cs="Arial"/>
          <w:szCs w:val="15"/>
          <w:lang w:val="fr-FR"/>
        </w:rPr>
        <w:t>entral</w:t>
      </w:r>
      <w:r w:rsidR="000C0C0F" w:rsidRPr="00141825">
        <w:rPr>
          <w:lang w:val="fr-FR"/>
        </w:rPr>
        <w:t>e européenne du</w:t>
      </w:r>
      <w:r w:rsidRPr="00141825">
        <w:rPr>
          <w:rFonts w:cs="Arial"/>
          <w:szCs w:val="15"/>
          <w:lang w:val="fr-FR"/>
        </w:rPr>
        <w:t xml:space="preserve"> 16</w:t>
      </w:r>
      <w:r w:rsidR="000C0C0F" w:rsidRPr="00141825">
        <w:rPr>
          <w:lang w:val="fr-FR"/>
        </w:rPr>
        <w:t> av</w:t>
      </w:r>
      <w:r w:rsidRPr="00141825">
        <w:rPr>
          <w:rFonts w:cs="Arial"/>
          <w:szCs w:val="15"/>
          <w:lang w:val="fr-FR"/>
        </w:rPr>
        <w:t>ril</w:t>
      </w:r>
      <w:r w:rsidR="000C0C0F" w:rsidRPr="00141825">
        <w:rPr>
          <w:lang w:val="fr-FR"/>
        </w:rPr>
        <w:t> </w:t>
      </w:r>
      <w:r w:rsidRPr="00141825">
        <w:rPr>
          <w:rFonts w:cs="Arial"/>
          <w:szCs w:val="15"/>
          <w:lang w:val="fr-FR"/>
        </w:rPr>
        <w:t xml:space="preserve">2014 </w:t>
      </w:r>
      <w:r w:rsidR="000C0C0F" w:rsidRPr="00141825">
        <w:rPr>
          <w:lang w:val="fr-FR"/>
        </w:rPr>
        <w:t xml:space="preserve">établissant le cadre de la coopération au sein du mécanisme de surveillance unique entre la Banque centrale européenne, les autorités compétentes nationales et les autorités désignées nationales (le « règlement-cadre </w:t>
      </w:r>
      <w:r w:rsidR="00EC5565" w:rsidRPr="00141825">
        <w:rPr>
          <w:lang w:val="fr-FR"/>
        </w:rPr>
        <w:t>relati</w:t>
      </w:r>
      <w:r w:rsidR="00141825" w:rsidRPr="00141825">
        <w:rPr>
          <w:lang w:val="fr-FR"/>
        </w:rPr>
        <w:t>f</w:t>
      </w:r>
      <w:r w:rsidR="00EC5565" w:rsidRPr="00141825">
        <w:rPr>
          <w:lang w:val="fr-FR"/>
        </w:rPr>
        <w:t xml:space="preserve"> au </w:t>
      </w:r>
      <w:r w:rsidR="000C0C0F" w:rsidRPr="00141825">
        <w:rPr>
          <w:lang w:val="fr-FR"/>
        </w:rPr>
        <w:t>MSU »)</w:t>
      </w:r>
      <w:r w:rsidRPr="00141825">
        <w:rPr>
          <w:rFonts w:cs="Arial"/>
          <w:szCs w:val="15"/>
          <w:lang w:val="fr-FR"/>
        </w:rPr>
        <w:t xml:space="preserve"> (</w:t>
      </w:r>
      <w:r w:rsidR="000C0C0F" w:rsidRPr="00141825">
        <w:rPr>
          <w:lang w:val="fr-FR"/>
        </w:rPr>
        <w:t>BCE</w:t>
      </w:r>
      <w:r w:rsidRPr="00141825">
        <w:rPr>
          <w:rFonts w:cs="Arial"/>
          <w:szCs w:val="15"/>
          <w:lang w:val="fr-FR"/>
        </w:rPr>
        <w:t>/2014/17) (J</w:t>
      </w:r>
      <w:r w:rsidR="000C0C0F" w:rsidRPr="00141825">
        <w:rPr>
          <w:lang w:val="fr-FR"/>
        </w:rPr>
        <w:t>O </w:t>
      </w:r>
      <w:r w:rsidRPr="00141825">
        <w:rPr>
          <w:rFonts w:cs="Arial"/>
          <w:szCs w:val="15"/>
          <w:lang w:val="fr-FR"/>
        </w:rPr>
        <w:t>L</w:t>
      </w:r>
      <w:r w:rsidR="000C0C0F" w:rsidRPr="00141825">
        <w:rPr>
          <w:lang w:val="fr-FR"/>
        </w:rPr>
        <w:t> </w:t>
      </w:r>
      <w:r w:rsidRPr="00141825">
        <w:rPr>
          <w:rFonts w:cs="Arial"/>
          <w:szCs w:val="15"/>
          <w:lang w:val="fr-FR"/>
        </w:rPr>
        <w:t>141</w:t>
      </w:r>
      <w:r w:rsidR="000C0C0F" w:rsidRPr="00141825">
        <w:rPr>
          <w:lang w:val="fr-FR"/>
        </w:rPr>
        <w:t xml:space="preserve"> du</w:t>
      </w:r>
      <w:r w:rsidRPr="00141825">
        <w:rPr>
          <w:rFonts w:cs="Arial"/>
          <w:szCs w:val="15"/>
          <w:lang w:val="fr-FR"/>
        </w:rPr>
        <w:t xml:space="preserve"> 14.</w:t>
      </w:r>
      <w:r w:rsidR="000C0C0F" w:rsidRPr="00141825">
        <w:rPr>
          <w:lang w:val="fr-FR"/>
        </w:rPr>
        <w:t>0</w:t>
      </w:r>
      <w:r w:rsidRPr="00141825">
        <w:rPr>
          <w:rFonts w:cs="Arial"/>
          <w:szCs w:val="15"/>
          <w:lang w:val="fr-FR"/>
        </w:rPr>
        <w:t>5.2014, p.</w:t>
      </w:r>
      <w:r w:rsidR="000C0C0F" w:rsidRPr="00141825">
        <w:rPr>
          <w:lang w:val="fr-FR"/>
        </w:rPr>
        <w:t> </w:t>
      </w:r>
      <w:r w:rsidRPr="00141825">
        <w:rPr>
          <w:rFonts w:cs="Arial"/>
          <w:szCs w:val="15"/>
          <w:lang w:val="fr-FR"/>
        </w:rPr>
        <w:t>1).</w:t>
      </w:r>
      <w:bookmarkEnd w:id="1"/>
    </w:p>
  </w:footnote>
  <w:footnote w:id="6">
    <w:p w14:paraId="04C25C44" w14:textId="0838CF3A" w:rsidR="00DC6814" w:rsidRPr="00141825" w:rsidRDefault="00DC6814" w:rsidP="00DC6814">
      <w:pPr>
        <w:pStyle w:val="FootnoteText"/>
        <w:spacing w:after="0" w:line="240" w:lineRule="auto"/>
        <w:jc w:val="both"/>
        <w:rPr>
          <w:rFonts w:cs="Arial"/>
          <w:szCs w:val="15"/>
          <w:lang w:val="fr-FR"/>
        </w:rPr>
      </w:pPr>
      <w:r w:rsidRPr="00141825">
        <w:rPr>
          <w:rStyle w:val="FootnoteReference"/>
          <w:rFonts w:cs="Arial"/>
          <w:szCs w:val="15"/>
          <w:lang w:val="fr-FR"/>
        </w:rPr>
        <w:footnoteRef/>
      </w:r>
      <w:r w:rsidRPr="00141825">
        <w:rPr>
          <w:rFonts w:cs="Arial"/>
          <w:szCs w:val="15"/>
          <w:lang w:val="fr-FR"/>
        </w:rPr>
        <w:t xml:space="preserve"> </w:t>
      </w:r>
      <w:r w:rsidRPr="00141825">
        <w:rPr>
          <w:rFonts w:cs="Arial"/>
          <w:szCs w:val="15"/>
          <w:lang w:val="fr-FR"/>
        </w:rPr>
        <w:tab/>
        <w:t>Directive</w:t>
      </w:r>
      <w:r w:rsidR="00AA5235" w:rsidRPr="00141825">
        <w:rPr>
          <w:lang w:val="fr-FR"/>
        </w:rPr>
        <w:t> </w:t>
      </w:r>
      <w:hyperlink r:id="rId4" w:history="1">
        <w:r w:rsidR="00AA5235" w:rsidRPr="00141825">
          <w:rPr>
            <w:rStyle w:val="Hyperlink"/>
            <w:rFonts w:cs="Arial"/>
            <w:szCs w:val="15"/>
            <w:lang w:val="fr-FR"/>
          </w:rPr>
          <w:t>2013/36/UE</w:t>
        </w:r>
      </w:hyperlink>
      <w:r w:rsidRPr="00141825">
        <w:rPr>
          <w:rFonts w:cs="Arial"/>
          <w:szCs w:val="15"/>
          <w:lang w:val="fr-FR"/>
        </w:rPr>
        <w:t xml:space="preserve"> </w:t>
      </w:r>
      <w:r w:rsidR="00AA5235" w:rsidRPr="00141825">
        <w:rPr>
          <w:lang w:val="fr-FR"/>
        </w:rPr>
        <w:t>du</w:t>
      </w:r>
      <w:r w:rsidRPr="00141825">
        <w:rPr>
          <w:rFonts w:cs="Arial"/>
          <w:szCs w:val="15"/>
          <w:lang w:val="fr-FR"/>
        </w:rPr>
        <w:t xml:space="preserve"> Parl</w:t>
      </w:r>
      <w:r w:rsidR="00AA5235" w:rsidRPr="00141825">
        <w:rPr>
          <w:lang w:val="fr-FR"/>
        </w:rPr>
        <w:t>e</w:t>
      </w:r>
      <w:r w:rsidRPr="00141825">
        <w:rPr>
          <w:rFonts w:cs="Arial"/>
          <w:szCs w:val="15"/>
          <w:lang w:val="fr-FR"/>
        </w:rPr>
        <w:t>ment</w:t>
      </w:r>
      <w:r w:rsidR="00AA5235" w:rsidRPr="00141825">
        <w:rPr>
          <w:lang w:val="fr-FR"/>
        </w:rPr>
        <w:t xml:space="preserve"> européen et du</w:t>
      </w:r>
      <w:r w:rsidRPr="00141825">
        <w:rPr>
          <w:rFonts w:cs="Arial"/>
          <w:szCs w:val="15"/>
          <w:lang w:val="fr-FR"/>
        </w:rPr>
        <w:t xml:space="preserve"> Con</w:t>
      </w:r>
      <w:r w:rsidR="00AA5235" w:rsidRPr="00141825">
        <w:rPr>
          <w:lang w:val="fr-FR"/>
        </w:rPr>
        <w:t>se</w:t>
      </w:r>
      <w:r w:rsidRPr="00141825">
        <w:rPr>
          <w:rFonts w:cs="Arial"/>
          <w:szCs w:val="15"/>
          <w:lang w:val="fr-FR"/>
        </w:rPr>
        <w:t xml:space="preserve">il </w:t>
      </w:r>
      <w:r w:rsidR="00AA5235" w:rsidRPr="00141825">
        <w:rPr>
          <w:lang w:val="fr-FR"/>
        </w:rPr>
        <w:t>du</w:t>
      </w:r>
      <w:r w:rsidRPr="00141825">
        <w:rPr>
          <w:rFonts w:cs="Arial"/>
          <w:szCs w:val="15"/>
          <w:lang w:val="fr-FR"/>
        </w:rPr>
        <w:t xml:space="preserve"> 26</w:t>
      </w:r>
      <w:r w:rsidR="00AA5235" w:rsidRPr="00141825">
        <w:rPr>
          <w:lang w:val="fr-FR"/>
        </w:rPr>
        <w:t> juin </w:t>
      </w:r>
      <w:r w:rsidRPr="00141825">
        <w:rPr>
          <w:rFonts w:cs="Arial"/>
          <w:szCs w:val="15"/>
          <w:lang w:val="fr-FR"/>
        </w:rPr>
        <w:t xml:space="preserve">2013 </w:t>
      </w:r>
      <w:r w:rsidR="00AA5235" w:rsidRPr="00141825">
        <w:rPr>
          <w:lang w:val="fr-FR"/>
        </w:rPr>
        <w:t>concernant l’accès à l’activité des établissements de crédit et la surveillance prudentielle des établissements de crédit et des entreprises d’investissement, modifiant la directive 2002/87/CE et abrogeant les directives 2006/48/CE et 2006/49/CE</w:t>
      </w:r>
      <w:r w:rsidRPr="00141825">
        <w:rPr>
          <w:rFonts w:cs="Arial"/>
          <w:szCs w:val="15"/>
          <w:lang w:val="fr-FR"/>
        </w:rPr>
        <w:t xml:space="preserve"> (J</w:t>
      </w:r>
      <w:r w:rsidR="00AA5235" w:rsidRPr="00141825">
        <w:rPr>
          <w:lang w:val="fr-FR"/>
        </w:rPr>
        <w:t>O </w:t>
      </w:r>
      <w:r w:rsidRPr="00141825">
        <w:rPr>
          <w:rFonts w:cs="Arial"/>
          <w:szCs w:val="15"/>
          <w:lang w:val="fr-FR"/>
        </w:rPr>
        <w:t>L</w:t>
      </w:r>
      <w:r w:rsidR="00AA5235" w:rsidRPr="00141825">
        <w:rPr>
          <w:lang w:val="fr-FR"/>
        </w:rPr>
        <w:t> </w:t>
      </w:r>
      <w:r w:rsidRPr="00141825">
        <w:rPr>
          <w:rFonts w:cs="Arial"/>
          <w:szCs w:val="15"/>
          <w:lang w:val="fr-FR"/>
        </w:rPr>
        <w:t>176</w:t>
      </w:r>
      <w:r w:rsidR="00AA5235" w:rsidRPr="00141825">
        <w:rPr>
          <w:lang w:val="fr-FR"/>
        </w:rPr>
        <w:t xml:space="preserve"> du</w:t>
      </w:r>
      <w:r w:rsidRPr="00141825">
        <w:rPr>
          <w:rFonts w:cs="Arial"/>
          <w:szCs w:val="15"/>
          <w:lang w:val="fr-FR"/>
        </w:rPr>
        <w:t xml:space="preserve"> 27.</w:t>
      </w:r>
      <w:r w:rsidR="00AA5235" w:rsidRPr="00141825">
        <w:rPr>
          <w:lang w:val="fr-FR"/>
        </w:rPr>
        <w:t>0</w:t>
      </w:r>
      <w:r w:rsidRPr="00141825">
        <w:rPr>
          <w:rFonts w:cs="Arial"/>
          <w:szCs w:val="15"/>
          <w:lang w:val="fr-FR"/>
        </w:rPr>
        <w:t>6.2013, p.</w:t>
      </w:r>
      <w:r w:rsidR="00AA5235" w:rsidRPr="00141825">
        <w:rPr>
          <w:lang w:val="fr-FR"/>
        </w:rPr>
        <w:t> </w:t>
      </w:r>
      <w:r w:rsidRPr="00141825">
        <w:rPr>
          <w:rFonts w:cs="Arial"/>
          <w:szCs w:val="15"/>
          <w:lang w:val="fr-FR"/>
        </w:rPr>
        <w:t>338).</w:t>
      </w:r>
    </w:p>
  </w:footnote>
  <w:footnote w:id="7">
    <w:p w14:paraId="2F5A57F9" w14:textId="61E4C1B5" w:rsidR="00DC6814" w:rsidRPr="00141825" w:rsidRDefault="00DC6814" w:rsidP="00DC6814">
      <w:pPr>
        <w:pStyle w:val="FootnoteText"/>
        <w:spacing w:after="0" w:line="240" w:lineRule="auto"/>
        <w:rPr>
          <w:rFonts w:cs="Arial"/>
          <w:szCs w:val="15"/>
          <w:lang w:val="fr-FR"/>
        </w:rPr>
      </w:pPr>
      <w:r w:rsidRPr="00141825">
        <w:rPr>
          <w:rStyle w:val="FootnoteReference"/>
          <w:rFonts w:cs="Arial"/>
          <w:szCs w:val="15"/>
          <w:lang w:val="fr-FR"/>
        </w:rPr>
        <w:footnoteRef/>
      </w:r>
      <w:r w:rsidRPr="00141825">
        <w:rPr>
          <w:rFonts w:cs="Arial"/>
          <w:szCs w:val="15"/>
          <w:lang w:val="fr-FR"/>
        </w:rPr>
        <w:t xml:space="preserve"> </w:t>
      </w:r>
      <w:r w:rsidRPr="00141825">
        <w:rPr>
          <w:rFonts w:cs="Arial"/>
          <w:szCs w:val="15"/>
          <w:lang w:val="fr-FR"/>
        </w:rPr>
        <w:tab/>
        <w:t>Article</w:t>
      </w:r>
      <w:r w:rsidR="00C225A9" w:rsidRPr="00141825">
        <w:rPr>
          <w:lang w:val="fr-FR"/>
        </w:rPr>
        <w:t> </w:t>
      </w:r>
      <w:r w:rsidRPr="00141825">
        <w:rPr>
          <w:rFonts w:cs="Arial"/>
          <w:szCs w:val="15"/>
          <w:lang w:val="fr-FR"/>
        </w:rPr>
        <w:t>4</w:t>
      </w:r>
      <w:r w:rsidR="00C225A9" w:rsidRPr="00141825">
        <w:rPr>
          <w:lang w:val="fr-FR"/>
        </w:rPr>
        <w:t>, paragraphe </w:t>
      </w:r>
      <w:r w:rsidRPr="00141825">
        <w:rPr>
          <w:rFonts w:cs="Arial"/>
          <w:szCs w:val="15"/>
          <w:lang w:val="fr-FR"/>
        </w:rPr>
        <w:t>1</w:t>
      </w:r>
      <w:r w:rsidR="00C225A9" w:rsidRPr="00141825">
        <w:rPr>
          <w:lang w:val="fr-FR"/>
        </w:rPr>
        <w:t>, point </w:t>
      </w:r>
      <w:r w:rsidRPr="00141825">
        <w:rPr>
          <w:rFonts w:cs="Arial"/>
          <w:szCs w:val="15"/>
          <w:lang w:val="fr-FR"/>
        </w:rPr>
        <w:t>e)</w:t>
      </w:r>
      <w:r w:rsidR="00C225A9" w:rsidRPr="00141825">
        <w:rPr>
          <w:lang w:val="fr-FR"/>
        </w:rPr>
        <w:t>, du règlement MSU</w:t>
      </w:r>
      <w:r w:rsidRPr="00141825">
        <w:rPr>
          <w:rFonts w:cs="Arial"/>
          <w:szCs w:val="15"/>
          <w:lang w:val="fr-FR"/>
        </w:rPr>
        <w:t>.</w:t>
      </w:r>
    </w:p>
  </w:footnote>
  <w:footnote w:id="8">
    <w:p w14:paraId="37EDB8EF" w14:textId="3B472055" w:rsidR="00DC6814" w:rsidRPr="00141825" w:rsidRDefault="00DC6814" w:rsidP="00DC6814">
      <w:pPr>
        <w:pStyle w:val="FootnoteText"/>
        <w:spacing w:after="0" w:line="240" w:lineRule="auto"/>
        <w:rPr>
          <w:rFonts w:cs="Arial"/>
          <w:szCs w:val="15"/>
          <w:lang w:val="fr-FR"/>
        </w:rPr>
      </w:pPr>
      <w:r w:rsidRPr="00141825">
        <w:rPr>
          <w:rStyle w:val="FootnoteReference"/>
          <w:rFonts w:cs="Arial"/>
          <w:szCs w:val="15"/>
          <w:lang w:val="fr-FR"/>
        </w:rPr>
        <w:footnoteRef/>
      </w:r>
      <w:r w:rsidRPr="00141825">
        <w:rPr>
          <w:rFonts w:cs="Arial"/>
          <w:szCs w:val="15"/>
          <w:lang w:val="fr-FR"/>
        </w:rPr>
        <w:t xml:space="preserve"> </w:t>
      </w:r>
      <w:r w:rsidRPr="00141825">
        <w:rPr>
          <w:rFonts w:cs="Arial"/>
          <w:szCs w:val="15"/>
          <w:lang w:val="fr-FR"/>
        </w:rPr>
        <w:tab/>
        <w:t>Article</w:t>
      </w:r>
      <w:r w:rsidR="00C225A9" w:rsidRPr="00141825">
        <w:rPr>
          <w:lang w:val="fr-FR"/>
        </w:rPr>
        <w:t> </w:t>
      </w:r>
      <w:r w:rsidRPr="00141825">
        <w:rPr>
          <w:rFonts w:cs="Arial"/>
          <w:szCs w:val="15"/>
          <w:lang w:val="fr-FR"/>
        </w:rPr>
        <w:t>16</w:t>
      </w:r>
      <w:r w:rsidR="00C225A9" w:rsidRPr="00141825">
        <w:rPr>
          <w:lang w:val="fr-FR"/>
        </w:rPr>
        <w:t>, paragraphe </w:t>
      </w:r>
      <w:r w:rsidRPr="00141825">
        <w:rPr>
          <w:rFonts w:cs="Arial"/>
          <w:szCs w:val="15"/>
          <w:lang w:val="fr-FR"/>
        </w:rPr>
        <w:t>2</w:t>
      </w:r>
      <w:r w:rsidR="00C225A9" w:rsidRPr="00141825">
        <w:rPr>
          <w:lang w:val="fr-FR"/>
        </w:rPr>
        <w:t>, point </w:t>
      </w:r>
      <w:r w:rsidRPr="00141825">
        <w:rPr>
          <w:rFonts w:cs="Arial"/>
          <w:szCs w:val="15"/>
          <w:lang w:val="fr-FR"/>
        </w:rPr>
        <w:t>m)</w:t>
      </w:r>
      <w:r w:rsidR="00C225A9" w:rsidRPr="00141825">
        <w:rPr>
          <w:lang w:val="fr-FR"/>
        </w:rPr>
        <w:t>, du règlement MSU</w:t>
      </w:r>
      <w:r w:rsidRPr="00141825">
        <w:rPr>
          <w:rFonts w:cs="Arial"/>
          <w:szCs w:val="15"/>
          <w:lang w:val="fr-FR"/>
        </w:rPr>
        <w:t>.</w:t>
      </w:r>
    </w:p>
  </w:footnote>
  <w:footnote w:id="9">
    <w:p w14:paraId="35DC7B9F" w14:textId="64CF844E" w:rsidR="00DC6814" w:rsidRPr="00141825" w:rsidRDefault="00DC6814" w:rsidP="00DC6814">
      <w:pPr>
        <w:pStyle w:val="FootnoteText"/>
        <w:spacing w:line="240" w:lineRule="auto"/>
        <w:rPr>
          <w:rFonts w:cs="Arial"/>
          <w:szCs w:val="15"/>
          <w:lang w:val="fr-FR"/>
        </w:rPr>
      </w:pPr>
      <w:r w:rsidRPr="00141825">
        <w:rPr>
          <w:rStyle w:val="FootnoteReference"/>
          <w:rFonts w:cs="Arial"/>
          <w:szCs w:val="15"/>
          <w:lang w:val="fr-FR"/>
        </w:rPr>
        <w:footnoteRef/>
      </w:r>
      <w:r w:rsidRPr="00141825">
        <w:rPr>
          <w:rFonts w:cs="Arial"/>
          <w:szCs w:val="15"/>
          <w:lang w:val="fr-FR"/>
        </w:rPr>
        <w:t xml:space="preserve"> </w:t>
      </w:r>
      <w:r w:rsidRPr="00141825">
        <w:rPr>
          <w:rFonts w:cs="Arial"/>
          <w:szCs w:val="15"/>
          <w:lang w:val="fr-FR"/>
        </w:rPr>
        <w:tab/>
      </w:r>
      <w:r w:rsidR="00AF1BA8" w:rsidRPr="00141825">
        <w:rPr>
          <w:lang w:val="fr-FR"/>
        </w:rPr>
        <w:t>Cf. le</w:t>
      </w:r>
      <w:r w:rsidRPr="00141825">
        <w:rPr>
          <w:rFonts w:cs="Arial"/>
          <w:szCs w:val="15"/>
          <w:lang w:val="fr-FR"/>
        </w:rPr>
        <w:t xml:space="preserve"> </w:t>
      </w:r>
      <w:hyperlink r:id="rId5" w:history="1">
        <w:r w:rsidR="00AF1BA8" w:rsidRPr="00141825">
          <w:rPr>
            <w:rStyle w:val="Hyperlink"/>
            <w:rFonts w:cs="Arial"/>
            <w:bCs/>
            <w:color w:val="003299"/>
            <w:szCs w:val="15"/>
            <w:bdr w:val="none" w:sz="0" w:space="0" w:color="auto" w:frame="1"/>
            <w:shd w:val="clear" w:color="auto" w:fill="FFFFFF"/>
            <w:lang w:val="fr-FR"/>
          </w:rPr>
          <w:t>questionnaire sur l’honorabilité et la compétence</w:t>
        </w:r>
      </w:hyperlink>
      <w:r w:rsidRPr="00141825">
        <w:rPr>
          <w:rStyle w:val="Hyperlink"/>
          <w:rFonts w:cs="Arial"/>
          <w:bCs/>
          <w:color w:val="003299"/>
          <w:szCs w:val="15"/>
          <w:bdr w:val="none" w:sz="0" w:space="0" w:color="auto" w:frame="1"/>
          <w:shd w:val="clear" w:color="auto" w:fill="FFFFFF"/>
          <w:lang w:val="fr-FR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25A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AE87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23B8AB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1A2EA24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F210D23"/>
    <w:multiLevelType w:val="multilevel"/>
    <w:tmpl w:val="16262680"/>
    <w:styleLink w:val="ECBpublicationsheadings"/>
    <w:lvl w:ilvl="0">
      <w:start w:val="9"/>
      <w:numFmt w:val="decimal"/>
      <w:pStyle w:val="Heading1"/>
      <w:lvlText w:val="%1"/>
      <w:lvlJc w:val="left"/>
      <w:pPr>
        <w:tabs>
          <w:tab w:val="num" w:pos="0"/>
        </w:tabs>
        <w:ind w:left="1247" w:hanging="249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24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124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hanging="1247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08"/>
        </w:tabs>
        <w:ind w:left="260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08"/>
        </w:tabs>
        <w:ind w:left="2608" w:firstLine="0"/>
      </w:pPr>
      <w:rPr>
        <w:rFonts w:hint="default"/>
      </w:rPr>
    </w:lvl>
  </w:abstractNum>
  <w:abstractNum w:abstractNumId="5" w15:restartNumberingAfterBreak="0">
    <w:nsid w:val="0F3C1FD3"/>
    <w:multiLevelType w:val="hybridMultilevel"/>
    <w:tmpl w:val="489E4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B5E09"/>
    <w:multiLevelType w:val="hybridMultilevel"/>
    <w:tmpl w:val="B5F6374C"/>
    <w:lvl w:ilvl="0" w:tplc="2DA476AC">
      <w:start w:val="1"/>
      <w:numFmt w:val="lowerLetter"/>
      <w:lvlText w:val="(%1)"/>
      <w:lvlJc w:val="left"/>
      <w:pPr>
        <w:ind w:left="1287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59F1EF3"/>
    <w:multiLevelType w:val="hybridMultilevel"/>
    <w:tmpl w:val="51FE0CC8"/>
    <w:lvl w:ilvl="0" w:tplc="D4AECC9E">
      <w:start w:val="2019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lang w:val="fr-B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3D0AEC"/>
    <w:multiLevelType w:val="hybridMultilevel"/>
    <w:tmpl w:val="503215D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321DA"/>
    <w:multiLevelType w:val="hybridMultilevel"/>
    <w:tmpl w:val="AD868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17B75"/>
    <w:multiLevelType w:val="hybridMultilevel"/>
    <w:tmpl w:val="6CD0C9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A1820"/>
    <w:multiLevelType w:val="hybridMultilevel"/>
    <w:tmpl w:val="52026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16453"/>
    <w:multiLevelType w:val="multilevel"/>
    <w:tmpl w:val="CAFEFCA6"/>
    <w:styleLink w:val="ECBBoxListNumber"/>
    <w:lvl w:ilvl="0">
      <w:start w:val="1"/>
      <w:numFmt w:val="decimal"/>
      <w:pStyle w:val="Box-ListNumber1"/>
      <w:lvlText w:val="%1."/>
      <w:lvlJc w:val="left"/>
      <w:pPr>
        <w:tabs>
          <w:tab w:val="num" w:pos="-2070"/>
        </w:tabs>
        <w:ind w:left="-2070" w:hanging="425"/>
      </w:pPr>
      <w:rPr>
        <w:rFonts w:hint="default"/>
      </w:rPr>
    </w:lvl>
    <w:lvl w:ilvl="1">
      <w:start w:val="1"/>
      <w:numFmt w:val="lowerLetter"/>
      <w:pStyle w:val="Box-ListNumber2"/>
      <w:lvlText w:val="(%2)"/>
      <w:lvlJc w:val="left"/>
      <w:pPr>
        <w:tabs>
          <w:tab w:val="num" w:pos="-1645"/>
        </w:tabs>
        <w:ind w:left="-164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-1220"/>
        </w:tabs>
        <w:ind w:left="-122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-795"/>
        </w:tabs>
        <w:ind w:left="-79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-370"/>
        </w:tabs>
        <w:ind w:left="-370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5"/>
        </w:tabs>
        <w:ind w:left="5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480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5"/>
        </w:tabs>
        <w:ind w:left="90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330"/>
        </w:tabs>
        <w:ind w:left="1330" w:hanging="425"/>
      </w:pPr>
      <w:rPr>
        <w:rFonts w:hint="default"/>
      </w:rPr>
    </w:lvl>
  </w:abstractNum>
  <w:abstractNum w:abstractNumId="13" w15:restartNumberingAfterBreak="0">
    <w:nsid w:val="405A0025"/>
    <w:multiLevelType w:val="multilevel"/>
    <w:tmpl w:val="BCC429D6"/>
    <w:styleLink w:val="ECBnumberedlist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(%2)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(%3)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14" w15:restartNumberingAfterBreak="0">
    <w:nsid w:val="43A0014D"/>
    <w:multiLevelType w:val="multilevel"/>
    <w:tmpl w:val="C3563620"/>
    <w:styleLink w:val="ECBBoxBulletlist"/>
    <w:lvl w:ilvl="0">
      <w:start w:val="1"/>
      <w:numFmt w:val="bullet"/>
      <w:pStyle w:val="Box-ListBullet1"/>
      <w:lvlText w:val=""/>
      <w:lvlJc w:val="left"/>
      <w:pPr>
        <w:tabs>
          <w:tab w:val="num" w:pos="-2070"/>
        </w:tabs>
        <w:ind w:left="-2070" w:hanging="425"/>
      </w:pPr>
      <w:rPr>
        <w:rFonts w:ascii="Symbol" w:hAnsi="Symbol" w:hint="default"/>
      </w:rPr>
    </w:lvl>
    <w:lvl w:ilvl="1">
      <w:start w:val="1"/>
      <w:numFmt w:val="bullet"/>
      <w:pStyle w:val="Box-ListBullet2"/>
      <w:lvlText w:val=""/>
      <w:lvlJc w:val="left"/>
      <w:pPr>
        <w:tabs>
          <w:tab w:val="num" w:pos="-1645"/>
        </w:tabs>
        <w:ind w:left="-1645" w:hanging="425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-1220"/>
        </w:tabs>
        <w:ind w:left="-122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-795"/>
        </w:tabs>
        <w:ind w:left="-79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-370"/>
        </w:tabs>
        <w:ind w:left="-370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5"/>
        </w:tabs>
        <w:ind w:left="5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480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5"/>
        </w:tabs>
        <w:ind w:left="90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330"/>
        </w:tabs>
        <w:ind w:left="1330" w:hanging="425"/>
      </w:pPr>
      <w:rPr>
        <w:rFonts w:hint="default"/>
      </w:rPr>
    </w:lvl>
  </w:abstractNum>
  <w:abstractNum w:abstractNumId="15" w15:restartNumberingAfterBreak="0">
    <w:nsid w:val="571502F3"/>
    <w:multiLevelType w:val="multilevel"/>
    <w:tmpl w:val="7A044ACE"/>
    <w:styleLink w:val="ECBBulletlist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850"/>
        </w:tabs>
        <w:ind w:left="850" w:hanging="425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0"/>
        </w:tabs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5"/>
        </w:tabs>
        <w:ind w:left="21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50"/>
        </w:tabs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5"/>
        </w:tabs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0"/>
        </w:tabs>
        <w:ind w:left="3400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25"/>
        </w:tabs>
        <w:ind w:left="3825" w:hanging="425"/>
      </w:pPr>
      <w:rPr>
        <w:rFonts w:ascii="Wingdings" w:hAnsi="Wingdings" w:hint="default"/>
      </w:rPr>
    </w:lvl>
  </w:abstractNum>
  <w:abstractNum w:abstractNumId="16" w15:restartNumberingAfterBreak="0">
    <w:nsid w:val="6BF55B8F"/>
    <w:multiLevelType w:val="hybridMultilevel"/>
    <w:tmpl w:val="435EBA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BD3CB4"/>
    <w:multiLevelType w:val="hybridMultilevel"/>
    <w:tmpl w:val="203633DA"/>
    <w:lvl w:ilvl="0" w:tplc="DC60C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4"/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0"/>
          </w:tabs>
          <w:ind w:left="0" w:hanging="1247"/>
        </w:pPr>
        <w:rPr>
          <w:rFonts w:hint="default"/>
          <w:lang w:val="fr-BE"/>
        </w:rPr>
      </w:lvl>
    </w:lvlOverride>
  </w:num>
  <w:num w:numId="4">
    <w:abstractNumId w:val="14"/>
  </w:num>
  <w:num w:numId="5">
    <w:abstractNumId w:val="12"/>
  </w:num>
  <w:num w:numId="6">
    <w:abstractNumId w:val="15"/>
  </w:num>
  <w:num w:numId="7">
    <w:abstractNumId w:val="13"/>
  </w:num>
  <w:num w:numId="8">
    <w:abstractNumId w:val="4"/>
  </w:num>
  <w:num w:numId="9">
    <w:abstractNumId w:val="4"/>
  </w:num>
  <w:num w:numId="10">
    <w:abstractNumId w:val="15"/>
  </w:num>
  <w:num w:numId="11">
    <w:abstractNumId w:val="13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6"/>
  </w:num>
  <w:num w:numId="17">
    <w:abstractNumId w:val="17"/>
  </w:num>
  <w:num w:numId="18">
    <w:abstractNumId w:val="10"/>
  </w:num>
  <w:num w:numId="19">
    <w:abstractNumId w:val="16"/>
  </w:num>
  <w:num w:numId="20">
    <w:abstractNumId w:val="7"/>
  </w:num>
  <w:num w:numId="21">
    <w:abstractNumId w:val="9"/>
  </w:num>
  <w:num w:numId="22">
    <w:abstractNumId w:val="5"/>
  </w:num>
  <w:num w:numId="23">
    <w:abstractNumId w:val="11"/>
  </w:num>
  <w:num w:numId="24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Full" w:cryptAlgorithmClass="hash" w:cryptAlgorithmType="typeAny" w:cryptAlgorithmSid="4" w:cryptSpinCount="100000" w:hash="jxD//3XNKj6Uc57v6ryfPfwQsHc=" w:salt="Wr8eTP2Gti+YvrD66cI6YA=="/>
  <w:autoFormatOverride/>
  <w:styleLockTheme/>
  <w:styleLockQFSet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268"/>
    <w:rsid w:val="00006C71"/>
    <w:rsid w:val="00007A01"/>
    <w:rsid w:val="00010310"/>
    <w:rsid w:val="00010A4E"/>
    <w:rsid w:val="000255CE"/>
    <w:rsid w:val="00030510"/>
    <w:rsid w:val="0003121E"/>
    <w:rsid w:val="000337C2"/>
    <w:rsid w:val="000364C4"/>
    <w:rsid w:val="00037F4F"/>
    <w:rsid w:val="00041FB8"/>
    <w:rsid w:val="00046EEB"/>
    <w:rsid w:val="0005570A"/>
    <w:rsid w:val="00055D11"/>
    <w:rsid w:val="00055F69"/>
    <w:rsid w:val="00065988"/>
    <w:rsid w:val="000666DB"/>
    <w:rsid w:val="00070DEF"/>
    <w:rsid w:val="00071495"/>
    <w:rsid w:val="00072FFA"/>
    <w:rsid w:val="000738F4"/>
    <w:rsid w:val="00084983"/>
    <w:rsid w:val="00086FBE"/>
    <w:rsid w:val="0009368F"/>
    <w:rsid w:val="000937F5"/>
    <w:rsid w:val="00094D17"/>
    <w:rsid w:val="00096B07"/>
    <w:rsid w:val="000A0882"/>
    <w:rsid w:val="000A16E1"/>
    <w:rsid w:val="000A3357"/>
    <w:rsid w:val="000A5484"/>
    <w:rsid w:val="000A6802"/>
    <w:rsid w:val="000B122D"/>
    <w:rsid w:val="000B56F4"/>
    <w:rsid w:val="000B6932"/>
    <w:rsid w:val="000B6FE1"/>
    <w:rsid w:val="000C0C0F"/>
    <w:rsid w:val="000C5248"/>
    <w:rsid w:val="000C58D6"/>
    <w:rsid w:val="000C60DC"/>
    <w:rsid w:val="000D66C0"/>
    <w:rsid w:val="000F057F"/>
    <w:rsid w:val="000F4875"/>
    <w:rsid w:val="001075C0"/>
    <w:rsid w:val="0011029F"/>
    <w:rsid w:val="00110E6C"/>
    <w:rsid w:val="001115F2"/>
    <w:rsid w:val="0011432B"/>
    <w:rsid w:val="00114543"/>
    <w:rsid w:val="00121476"/>
    <w:rsid w:val="00122DA0"/>
    <w:rsid w:val="00127F2B"/>
    <w:rsid w:val="00133ACA"/>
    <w:rsid w:val="00134382"/>
    <w:rsid w:val="00137602"/>
    <w:rsid w:val="00141825"/>
    <w:rsid w:val="00142F3D"/>
    <w:rsid w:val="00143A07"/>
    <w:rsid w:val="00146119"/>
    <w:rsid w:val="00147046"/>
    <w:rsid w:val="001501B2"/>
    <w:rsid w:val="00160E65"/>
    <w:rsid w:val="0016435D"/>
    <w:rsid w:val="0016515D"/>
    <w:rsid w:val="0017047F"/>
    <w:rsid w:val="00171EA8"/>
    <w:rsid w:val="00172075"/>
    <w:rsid w:val="00173090"/>
    <w:rsid w:val="00173AEF"/>
    <w:rsid w:val="00176D8B"/>
    <w:rsid w:val="001847B2"/>
    <w:rsid w:val="00185851"/>
    <w:rsid w:val="001867AD"/>
    <w:rsid w:val="00187451"/>
    <w:rsid w:val="00192360"/>
    <w:rsid w:val="00193C61"/>
    <w:rsid w:val="00196875"/>
    <w:rsid w:val="001A29C8"/>
    <w:rsid w:val="001A6D88"/>
    <w:rsid w:val="001A766A"/>
    <w:rsid w:val="001B0E7E"/>
    <w:rsid w:val="001B18DD"/>
    <w:rsid w:val="001B2A12"/>
    <w:rsid w:val="001C47C6"/>
    <w:rsid w:val="001D452E"/>
    <w:rsid w:val="001E0EC8"/>
    <w:rsid w:val="001E2260"/>
    <w:rsid w:val="001E2900"/>
    <w:rsid w:val="001E370D"/>
    <w:rsid w:val="001F3615"/>
    <w:rsid w:val="001F68F5"/>
    <w:rsid w:val="001F77DD"/>
    <w:rsid w:val="00201470"/>
    <w:rsid w:val="00205279"/>
    <w:rsid w:val="002076CE"/>
    <w:rsid w:val="00211C06"/>
    <w:rsid w:val="00211C47"/>
    <w:rsid w:val="0022099C"/>
    <w:rsid w:val="00222BC4"/>
    <w:rsid w:val="0022684E"/>
    <w:rsid w:val="00231479"/>
    <w:rsid w:val="00236C5F"/>
    <w:rsid w:val="0023768D"/>
    <w:rsid w:val="00237E78"/>
    <w:rsid w:val="002403E3"/>
    <w:rsid w:val="002452CE"/>
    <w:rsid w:val="0025425E"/>
    <w:rsid w:val="00255D4E"/>
    <w:rsid w:val="00267F16"/>
    <w:rsid w:val="00274950"/>
    <w:rsid w:val="00276A8D"/>
    <w:rsid w:val="00280A22"/>
    <w:rsid w:val="0028315C"/>
    <w:rsid w:val="002845A5"/>
    <w:rsid w:val="00285380"/>
    <w:rsid w:val="00292B15"/>
    <w:rsid w:val="002A22AC"/>
    <w:rsid w:val="002A4210"/>
    <w:rsid w:val="002A6893"/>
    <w:rsid w:val="002B03BC"/>
    <w:rsid w:val="002B33AA"/>
    <w:rsid w:val="002B3CE2"/>
    <w:rsid w:val="002B414D"/>
    <w:rsid w:val="002B4801"/>
    <w:rsid w:val="002B5803"/>
    <w:rsid w:val="002B76C9"/>
    <w:rsid w:val="002C09D7"/>
    <w:rsid w:val="002C1156"/>
    <w:rsid w:val="002C1C3A"/>
    <w:rsid w:val="002C7C74"/>
    <w:rsid w:val="002D05DB"/>
    <w:rsid w:val="002D219B"/>
    <w:rsid w:val="002D2446"/>
    <w:rsid w:val="002D37C3"/>
    <w:rsid w:val="002E22DE"/>
    <w:rsid w:val="002E3113"/>
    <w:rsid w:val="002E629C"/>
    <w:rsid w:val="002F18BE"/>
    <w:rsid w:val="002F603E"/>
    <w:rsid w:val="003000A2"/>
    <w:rsid w:val="00304A6B"/>
    <w:rsid w:val="00304E17"/>
    <w:rsid w:val="00311BB5"/>
    <w:rsid w:val="00317FBF"/>
    <w:rsid w:val="00323FC9"/>
    <w:rsid w:val="00327189"/>
    <w:rsid w:val="00327D10"/>
    <w:rsid w:val="00330A22"/>
    <w:rsid w:val="003333C8"/>
    <w:rsid w:val="0033781E"/>
    <w:rsid w:val="00345346"/>
    <w:rsid w:val="00350555"/>
    <w:rsid w:val="003505F8"/>
    <w:rsid w:val="00350FB5"/>
    <w:rsid w:val="00354EAB"/>
    <w:rsid w:val="00356945"/>
    <w:rsid w:val="00357348"/>
    <w:rsid w:val="0036008C"/>
    <w:rsid w:val="00362CA2"/>
    <w:rsid w:val="00362DC4"/>
    <w:rsid w:val="00364440"/>
    <w:rsid w:val="00367657"/>
    <w:rsid w:val="003730DD"/>
    <w:rsid w:val="00377871"/>
    <w:rsid w:val="003806ED"/>
    <w:rsid w:val="0038268B"/>
    <w:rsid w:val="00387442"/>
    <w:rsid w:val="0039412B"/>
    <w:rsid w:val="003946B7"/>
    <w:rsid w:val="0039508F"/>
    <w:rsid w:val="003A2E77"/>
    <w:rsid w:val="003A6EFE"/>
    <w:rsid w:val="003A7C00"/>
    <w:rsid w:val="003A7DE8"/>
    <w:rsid w:val="003B2E4F"/>
    <w:rsid w:val="003B5790"/>
    <w:rsid w:val="003C0514"/>
    <w:rsid w:val="003C395B"/>
    <w:rsid w:val="003C6362"/>
    <w:rsid w:val="003D1F4C"/>
    <w:rsid w:val="003D5291"/>
    <w:rsid w:val="003E0E79"/>
    <w:rsid w:val="003E5476"/>
    <w:rsid w:val="003E60F6"/>
    <w:rsid w:val="003F2EF7"/>
    <w:rsid w:val="003F3654"/>
    <w:rsid w:val="003F5C2C"/>
    <w:rsid w:val="003F7A44"/>
    <w:rsid w:val="00400C68"/>
    <w:rsid w:val="004022D8"/>
    <w:rsid w:val="00404C20"/>
    <w:rsid w:val="00405718"/>
    <w:rsid w:val="004240FD"/>
    <w:rsid w:val="00425851"/>
    <w:rsid w:val="00433518"/>
    <w:rsid w:val="00433BD3"/>
    <w:rsid w:val="00434DE4"/>
    <w:rsid w:val="0044052F"/>
    <w:rsid w:val="0044478C"/>
    <w:rsid w:val="00452399"/>
    <w:rsid w:val="004577DA"/>
    <w:rsid w:val="0046108E"/>
    <w:rsid w:val="00465DFA"/>
    <w:rsid w:val="00470EA3"/>
    <w:rsid w:val="00471CEA"/>
    <w:rsid w:val="004744D6"/>
    <w:rsid w:val="00475381"/>
    <w:rsid w:val="004753F4"/>
    <w:rsid w:val="00475D39"/>
    <w:rsid w:val="0047738B"/>
    <w:rsid w:val="00481937"/>
    <w:rsid w:val="00486277"/>
    <w:rsid w:val="00490148"/>
    <w:rsid w:val="00493CCB"/>
    <w:rsid w:val="004960A5"/>
    <w:rsid w:val="004A16E5"/>
    <w:rsid w:val="004A2558"/>
    <w:rsid w:val="004A2EB6"/>
    <w:rsid w:val="004A44B0"/>
    <w:rsid w:val="004A5CD1"/>
    <w:rsid w:val="004A7B60"/>
    <w:rsid w:val="004A7FBB"/>
    <w:rsid w:val="004B023B"/>
    <w:rsid w:val="004B7F4B"/>
    <w:rsid w:val="004C3CA2"/>
    <w:rsid w:val="004C765B"/>
    <w:rsid w:val="004C7E1B"/>
    <w:rsid w:val="004D1A3A"/>
    <w:rsid w:val="004D1B2A"/>
    <w:rsid w:val="004D2896"/>
    <w:rsid w:val="004D396F"/>
    <w:rsid w:val="004D70B9"/>
    <w:rsid w:val="004D7FBD"/>
    <w:rsid w:val="004E1089"/>
    <w:rsid w:val="004E2A52"/>
    <w:rsid w:val="004E32FC"/>
    <w:rsid w:val="004E393B"/>
    <w:rsid w:val="004F25B3"/>
    <w:rsid w:val="004F6C2E"/>
    <w:rsid w:val="004F7EBD"/>
    <w:rsid w:val="00500FB1"/>
    <w:rsid w:val="00505377"/>
    <w:rsid w:val="005058BD"/>
    <w:rsid w:val="00512ED7"/>
    <w:rsid w:val="005160A1"/>
    <w:rsid w:val="00517D9A"/>
    <w:rsid w:val="0052001F"/>
    <w:rsid w:val="005229EE"/>
    <w:rsid w:val="00523E7E"/>
    <w:rsid w:val="00525AF1"/>
    <w:rsid w:val="0053033E"/>
    <w:rsid w:val="00531BF3"/>
    <w:rsid w:val="00535201"/>
    <w:rsid w:val="00535840"/>
    <w:rsid w:val="00537B38"/>
    <w:rsid w:val="00540163"/>
    <w:rsid w:val="005437A0"/>
    <w:rsid w:val="00547B1D"/>
    <w:rsid w:val="00551CD9"/>
    <w:rsid w:val="005525C0"/>
    <w:rsid w:val="00552B7F"/>
    <w:rsid w:val="005554FA"/>
    <w:rsid w:val="00560E0E"/>
    <w:rsid w:val="00561E33"/>
    <w:rsid w:val="00563510"/>
    <w:rsid w:val="0056427A"/>
    <w:rsid w:val="00585AEE"/>
    <w:rsid w:val="00586594"/>
    <w:rsid w:val="00586D85"/>
    <w:rsid w:val="00595255"/>
    <w:rsid w:val="005974CE"/>
    <w:rsid w:val="005A2D06"/>
    <w:rsid w:val="005A7A15"/>
    <w:rsid w:val="005B11D9"/>
    <w:rsid w:val="005B164F"/>
    <w:rsid w:val="005B5F6B"/>
    <w:rsid w:val="005B60C4"/>
    <w:rsid w:val="005B72B9"/>
    <w:rsid w:val="005C0A74"/>
    <w:rsid w:val="005C31A1"/>
    <w:rsid w:val="005C6268"/>
    <w:rsid w:val="005D3006"/>
    <w:rsid w:val="005E4384"/>
    <w:rsid w:val="005E4EC7"/>
    <w:rsid w:val="005E7647"/>
    <w:rsid w:val="005F1751"/>
    <w:rsid w:val="00604095"/>
    <w:rsid w:val="00605CE4"/>
    <w:rsid w:val="006070A6"/>
    <w:rsid w:val="006109A8"/>
    <w:rsid w:val="00610B22"/>
    <w:rsid w:val="0061149E"/>
    <w:rsid w:val="00617839"/>
    <w:rsid w:val="00620306"/>
    <w:rsid w:val="0062375E"/>
    <w:rsid w:val="00625065"/>
    <w:rsid w:val="00625E4A"/>
    <w:rsid w:val="006261CB"/>
    <w:rsid w:val="00627552"/>
    <w:rsid w:val="006309E6"/>
    <w:rsid w:val="00630B33"/>
    <w:rsid w:val="00631E26"/>
    <w:rsid w:val="00631E4D"/>
    <w:rsid w:val="00636D94"/>
    <w:rsid w:val="006374EC"/>
    <w:rsid w:val="006406FC"/>
    <w:rsid w:val="00654B07"/>
    <w:rsid w:val="00660D31"/>
    <w:rsid w:val="00662D42"/>
    <w:rsid w:val="0066782B"/>
    <w:rsid w:val="006717E1"/>
    <w:rsid w:val="00676774"/>
    <w:rsid w:val="00681341"/>
    <w:rsid w:val="00682937"/>
    <w:rsid w:val="00682E4A"/>
    <w:rsid w:val="00684C85"/>
    <w:rsid w:val="00691614"/>
    <w:rsid w:val="0069284B"/>
    <w:rsid w:val="00692873"/>
    <w:rsid w:val="00692E97"/>
    <w:rsid w:val="006968A3"/>
    <w:rsid w:val="006A02B1"/>
    <w:rsid w:val="006A58A2"/>
    <w:rsid w:val="006A7F89"/>
    <w:rsid w:val="006B04C3"/>
    <w:rsid w:val="006B059C"/>
    <w:rsid w:val="006B1955"/>
    <w:rsid w:val="006B34BC"/>
    <w:rsid w:val="006C4EB2"/>
    <w:rsid w:val="006D45BE"/>
    <w:rsid w:val="006D4E73"/>
    <w:rsid w:val="006E4069"/>
    <w:rsid w:val="006E5A6C"/>
    <w:rsid w:val="006F30F1"/>
    <w:rsid w:val="006F35A7"/>
    <w:rsid w:val="006F5FB7"/>
    <w:rsid w:val="00702926"/>
    <w:rsid w:val="007062D6"/>
    <w:rsid w:val="00710B6F"/>
    <w:rsid w:val="00711502"/>
    <w:rsid w:val="00711DDC"/>
    <w:rsid w:val="0071548B"/>
    <w:rsid w:val="007311AB"/>
    <w:rsid w:val="00732127"/>
    <w:rsid w:val="00732213"/>
    <w:rsid w:val="00733FCE"/>
    <w:rsid w:val="00740A85"/>
    <w:rsid w:val="00747E1D"/>
    <w:rsid w:val="00753037"/>
    <w:rsid w:val="00756A9E"/>
    <w:rsid w:val="0076180A"/>
    <w:rsid w:val="007627D1"/>
    <w:rsid w:val="00766E46"/>
    <w:rsid w:val="007678C7"/>
    <w:rsid w:val="00773490"/>
    <w:rsid w:val="00781E38"/>
    <w:rsid w:val="00784C7B"/>
    <w:rsid w:val="00786229"/>
    <w:rsid w:val="00786D96"/>
    <w:rsid w:val="007942F2"/>
    <w:rsid w:val="00795C7B"/>
    <w:rsid w:val="00797C83"/>
    <w:rsid w:val="007A0E00"/>
    <w:rsid w:val="007A3A34"/>
    <w:rsid w:val="007A58F8"/>
    <w:rsid w:val="007A5F67"/>
    <w:rsid w:val="007B77EA"/>
    <w:rsid w:val="007C1475"/>
    <w:rsid w:val="007C18DF"/>
    <w:rsid w:val="007C21BB"/>
    <w:rsid w:val="007C4008"/>
    <w:rsid w:val="007C6161"/>
    <w:rsid w:val="007C6466"/>
    <w:rsid w:val="007D0392"/>
    <w:rsid w:val="007D1802"/>
    <w:rsid w:val="007D3C84"/>
    <w:rsid w:val="007D3D6A"/>
    <w:rsid w:val="007E25C8"/>
    <w:rsid w:val="007E62F0"/>
    <w:rsid w:val="007F18EC"/>
    <w:rsid w:val="007F5B49"/>
    <w:rsid w:val="007F77E7"/>
    <w:rsid w:val="00802B1E"/>
    <w:rsid w:val="0080475E"/>
    <w:rsid w:val="00805016"/>
    <w:rsid w:val="00805B86"/>
    <w:rsid w:val="00805C5A"/>
    <w:rsid w:val="0081516F"/>
    <w:rsid w:val="00815C35"/>
    <w:rsid w:val="00816330"/>
    <w:rsid w:val="008177DB"/>
    <w:rsid w:val="00822397"/>
    <w:rsid w:val="0082459E"/>
    <w:rsid w:val="00824C82"/>
    <w:rsid w:val="008369E3"/>
    <w:rsid w:val="00840B18"/>
    <w:rsid w:val="0084218F"/>
    <w:rsid w:val="00842364"/>
    <w:rsid w:val="00843FCD"/>
    <w:rsid w:val="00845158"/>
    <w:rsid w:val="00845F20"/>
    <w:rsid w:val="00847BA6"/>
    <w:rsid w:val="008565BB"/>
    <w:rsid w:val="00857A16"/>
    <w:rsid w:val="00860D48"/>
    <w:rsid w:val="00861620"/>
    <w:rsid w:val="008624C1"/>
    <w:rsid w:val="0086265E"/>
    <w:rsid w:val="008658B0"/>
    <w:rsid w:val="008659CF"/>
    <w:rsid w:val="00866F1D"/>
    <w:rsid w:val="00870A94"/>
    <w:rsid w:val="00873035"/>
    <w:rsid w:val="00874F89"/>
    <w:rsid w:val="00881BCF"/>
    <w:rsid w:val="008823E4"/>
    <w:rsid w:val="00884A44"/>
    <w:rsid w:val="0089013C"/>
    <w:rsid w:val="0089457F"/>
    <w:rsid w:val="008A07CE"/>
    <w:rsid w:val="008A4C60"/>
    <w:rsid w:val="008A60F9"/>
    <w:rsid w:val="008A7843"/>
    <w:rsid w:val="008C02C6"/>
    <w:rsid w:val="008C45CB"/>
    <w:rsid w:val="008D19B7"/>
    <w:rsid w:val="008D241C"/>
    <w:rsid w:val="008D483A"/>
    <w:rsid w:val="008D4B06"/>
    <w:rsid w:val="008D7234"/>
    <w:rsid w:val="008D7CE4"/>
    <w:rsid w:val="008E0353"/>
    <w:rsid w:val="008E1903"/>
    <w:rsid w:val="008F1736"/>
    <w:rsid w:val="008F230A"/>
    <w:rsid w:val="008F3D50"/>
    <w:rsid w:val="009012D0"/>
    <w:rsid w:val="0090134A"/>
    <w:rsid w:val="00907832"/>
    <w:rsid w:val="009149E8"/>
    <w:rsid w:val="00914A61"/>
    <w:rsid w:val="00915158"/>
    <w:rsid w:val="00915712"/>
    <w:rsid w:val="00916487"/>
    <w:rsid w:val="009223B8"/>
    <w:rsid w:val="0093034B"/>
    <w:rsid w:val="0093304E"/>
    <w:rsid w:val="00936CF1"/>
    <w:rsid w:val="009411E5"/>
    <w:rsid w:val="00942221"/>
    <w:rsid w:val="009426ED"/>
    <w:rsid w:val="009534F3"/>
    <w:rsid w:val="00956863"/>
    <w:rsid w:val="00961756"/>
    <w:rsid w:val="009618F5"/>
    <w:rsid w:val="00962D1C"/>
    <w:rsid w:val="00967DF3"/>
    <w:rsid w:val="00974F16"/>
    <w:rsid w:val="00980795"/>
    <w:rsid w:val="0098092E"/>
    <w:rsid w:val="0098097A"/>
    <w:rsid w:val="009824C6"/>
    <w:rsid w:val="009860B7"/>
    <w:rsid w:val="0099202D"/>
    <w:rsid w:val="009936DE"/>
    <w:rsid w:val="0099558E"/>
    <w:rsid w:val="009A0468"/>
    <w:rsid w:val="009A1DB7"/>
    <w:rsid w:val="009A5777"/>
    <w:rsid w:val="009A5EEF"/>
    <w:rsid w:val="009B1894"/>
    <w:rsid w:val="009B370F"/>
    <w:rsid w:val="009B5B0A"/>
    <w:rsid w:val="009C3BCB"/>
    <w:rsid w:val="009C7480"/>
    <w:rsid w:val="009C74CD"/>
    <w:rsid w:val="009D10FF"/>
    <w:rsid w:val="009D2980"/>
    <w:rsid w:val="009D2FEB"/>
    <w:rsid w:val="009D6CE1"/>
    <w:rsid w:val="009E4599"/>
    <w:rsid w:val="009E513F"/>
    <w:rsid w:val="009E58F7"/>
    <w:rsid w:val="009E6304"/>
    <w:rsid w:val="009E666C"/>
    <w:rsid w:val="009E72EE"/>
    <w:rsid w:val="009F2CD5"/>
    <w:rsid w:val="009F3078"/>
    <w:rsid w:val="00A0549B"/>
    <w:rsid w:val="00A07740"/>
    <w:rsid w:val="00A126CE"/>
    <w:rsid w:val="00A12FB1"/>
    <w:rsid w:val="00A1683A"/>
    <w:rsid w:val="00A2070E"/>
    <w:rsid w:val="00A22B2A"/>
    <w:rsid w:val="00A22BC2"/>
    <w:rsid w:val="00A23DD5"/>
    <w:rsid w:val="00A241D4"/>
    <w:rsid w:val="00A31889"/>
    <w:rsid w:val="00A3516C"/>
    <w:rsid w:val="00A37B00"/>
    <w:rsid w:val="00A40237"/>
    <w:rsid w:val="00A44FA6"/>
    <w:rsid w:val="00A718F8"/>
    <w:rsid w:val="00A72F5D"/>
    <w:rsid w:val="00A81BD0"/>
    <w:rsid w:val="00A85832"/>
    <w:rsid w:val="00A85B7B"/>
    <w:rsid w:val="00A94C6D"/>
    <w:rsid w:val="00A972A5"/>
    <w:rsid w:val="00AA0A99"/>
    <w:rsid w:val="00AA5235"/>
    <w:rsid w:val="00AA54CA"/>
    <w:rsid w:val="00AA6BC7"/>
    <w:rsid w:val="00AB267B"/>
    <w:rsid w:val="00AB2BC0"/>
    <w:rsid w:val="00AB3802"/>
    <w:rsid w:val="00AB50D3"/>
    <w:rsid w:val="00AC4F75"/>
    <w:rsid w:val="00AD0077"/>
    <w:rsid w:val="00AD0F0B"/>
    <w:rsid w:val="00AD5CE5"/>
    <w:rsid w:val="00AE116D"/>
    <w:rsid w:val="00AE5E3E"/>
    <w:rsid w:val="00AF05AD"/>
    <w:rsid w:val="00AF13A7"/>
    <w:rsid w:val="00AF14DA"/>
    <w:rsid w:val="00AF1B4D"/>
    <w:rsid w:val="00AF1BA8"/>
    <w:rsid w:val="00AF3BAA"/>
    <w:rsid w:val="00AF6227"/>
    <w:rsid w:val="00AF7FAC"/>
    <w:rsid w:val="00B02643"/>
    <w:rsid w:val="00B026D0"/>
    <w:rsid w:val="00B053E4"/>
    <w:rsid w:val="00B067E0"/>
    <w:rsid w:val="00B10DC7"/>
    <w:rsid w:val="00B11FAB"/>
    <w:rsid w:val="00B1274D"/>
    <w:rsid w:val="00B1282D"/>
    <w:rsid w:val="00B158B6"/>
    <w:rsid w:val="00B16389"/>
    <w:rsid w:val="00B17DED"/>
    <w:rsid w:val="00B21508"/>
    <w:rsid w:val="00B23616"/>
    <w:rsid w:val="00B244DA"/>
    <w:rsid w:val="00B300F5"/>
    <w:rsid w:val="00B329E7"/>
    <w:rsid w:val="00B35EFB"/>
    <w:rsid w:val="00B36AD7"/>
    <w:rsid w:val="00B53716"/>
    <w:rsid w:val="00B54030"/>
    <w:rsid w:val="00B61E1A"/>
    <w:rsid w:val="00B61FE0"/>
    <w:rsid w:val="00B62C63"/>
    <w:rsid w:val="00B65A51"/>
    <w:rsid w:val="00B66C03"/>
    <w:rsid w:val="00B7623B"/>
    <w:rsid w:val="00B80162"/>
    <w:rsid w:val="00B80513"/>
    <w:rsid w:val="00B805B9"/>
    <w:rsid w:val="00B81686"/>
    <w:rsid w:val="00B86564"/>
    <w:rsid w:val="00B911D8"/>
    <w:rsid w:val="00B92D15"/>
    <w:rsid w:val="00B96DF5"/>
    <w:rsid w:val="00BA48DA"/>
    <w:rsid w:val="00BB0B39"/>
    <w:rsid w:val="00BB4DDE"/>
    <w:rsid w:val="00BB54DD"/>
    <w:rsid w:val="00BB5870"/>
    <w:rsid w:val="00BC25D8"/>
    <w:rsid w:val="00BC32C6"/>
    <w:rsid w:val="00BC5CDB"/>
    <w:rsid w:val="00BC66F0"/>
    <w:rsid w:val="00BD7AFA"/>
    <w:rsid w:val="00BE18E0"/>
    <w:rsid w:val="00BE198B"/>
    <w:rsid w:val="00BE3B43"/>
    <w:rsid w:val="00BF4EF3"/>
    <w:rsid w:val="00C02790"/>
    <w:rsid w:val="00C042C5"/>
    <w:rsid w:val="00C10234"/>
    <w:rsid w:val="00C1052F"/>
    <w:rsid w:val="00C135F4"/>
    <w:rsid w:val="00C13D03"/>
    <w:rsid w:val="00C15ACD"/>
    <w:rsid w:val="00C225A9"/>
    <w:rsid w:val="00C2353F"/>
    <w:rsid w:val="00C2726F"/>
    <w:rsid w:val="00C35361"/>
    <w:rsid w:val="00C45DAC"/>
    <w:rsid w:val="00C466FC"/>
    <w:rsid w:val="00C47693"/>
    <w:rsid w:val="00C50203"/>
    <w:rsid w:val="00C569A5"/>
    <w:rsid w:val="00C623B0"/>
    <w:rsid w:val="00C62458"/>
    <w:rsid w:val="00C63D39"/>
    <w:rsid w:val="00C714DA"/>
    <w:rsid w:val="00C72655"/>
    <w:rsid w:val="00C77591"/>
    <w:rsid w:val="00C82AAF"/>
    <w:rsid w:val="00C83B5F"/>
    <w:rsid w:val="00C84732"/>
    <w:rsid w:val="00C84967"/>
    <w:rsid w:val="00C84AB7"/>
    <w:rsid w:val="00C85466"/>
    <w:rsid w:val="00C85C74"/>
    <w:rsid w:val="00C90EE0"/>
    <w:rsid w:val="00C91508"/>
    <w:rsid w:val="00C93AB3"/>
    <w:rsid w:val="00C961CB"/>
    <w:rsid w:val="00C9780F"/>
    <w:rsid w:val="00C9794E"/>
    <w:rsid w:val="00CA2553"/>
    <w:rsid w:val="00CA485B"/>
    <w:rsid w:val="00CA4EA3"/>
    <w:rsid w:val="00CA4F28"/>
    <w:rsid w:val="00CA7F19"/>
    <w:rsid w:val="00CB1751"/>
    <w:rsid w:val="00CB2B63"/>
    <w:rsid w:val="00CB6CC9"/>
    <w:rsid w:val="00CC7FEC"/>
    <w:rsid w:val="00CD19BA"/>
    <w:rsid w:val="00CD3327"/>
    <w:rsid w:val="00CD7D0F"/>
    <w:rsid w:val="00CE072E"/>
    <w:rsid w:val="00CE494B"/>
    <w:rsid w:val="00CE4F09"/>
    <w:rsid w:val="00CE63AA"/>
    <w:rsid w:val="00CF3AB2"/>
    <w:rsid w:val="00CF62BB"/>
    <w:rsid w:val="00D04F53"/>
    <w:rsid w:val="00D134C9"/>
    <w:rsid w:val="00D143A7"/>
    <w:rsid w:val="00D2269E"/>
    <w:rsid w:val="00D2531F"/>
    <w:rsid w:val="00D30487"/>
    <w:rsid w:val="00D35EE6"/>
    <w:rsid w:val="00D44478"/>
    <w:rsid w:val="00D46C63"/>
    <w:rsid w:val="00D53B59"/>
    <w:rsid w:val="00D54C1C"/>
    <w:rsid w:val="00D54FA5"/>
    <w:rsid w:val="00D56A89"/>
    <w:rsid w:val="00D57460"/>
    <w:rsid w:val="00D6603F"/>
    <w:rsid w:val="00D72D18"/>
    <w:rsid w:val="00D82150"/>
    <w:rsid w:val="00D8218F"/>
    <w:rsid w:val="00D844F4"/>
    <w:rsid w:val="00D84E57"/>
    <w:rsid w:val="00D905EA"/>
    <w:rsid w:val="00D90EE7"/>
    <w:rsid w:val="00D9480B"/>
    <w:rsid w:val="00DA23A1"/>
    <w:rsid w:val="00DA416B"/>
    <w:rsid w:val="00DB0B4F"/>
    <w:rsid w:val="00DB0F6C"/>
    <w:rsid w:val="00DB37C2"/>
    <w:rsid w:val="00DB7B45"/>
    <w:rsid w:val="00DC063B"/>
    <w:rsid w:val="00DC29B2"/>
    <w:rsid w:val="00DC6814"/>
    <w:rsid w:val="00DD040F"/>
    <w:rsid w:val="00DD495D"/>
    <w:rsid w:val="00DD5341"/>
    <w:rsid w:val="00DD6990"/>
    <w:rsid w:val="00DE427E"/>
    <w:rsid w:val="00DE43E2"/>
    <w:rsid w:val="00E10CE3"/>
    <w:rsid w:val="00E14A1A"/>
    <w:rsid w:val="00E14F4A"/>
    <w:rsid w:val="00E1723B"/>
    <w:rsid w:val="00E2446D"/>
    <w:rsid w:val="00E2679A"/>
    <w:rsid w:val="00E32143"/>
    <w:rsid w:val="00E324B1"/>
    <w:rsid w:val="00E32CC1"/>
    <w:rsid w:val="00E3370C"/>
    <w:rsid w:val="00E3435A"/>
    <w:rsid w:val="00E3494F"/>
    <w:rsid w:val="00E352D4"/>
    <w:rsid w:val="00E35BA3"/>
    <w:rsid w:val="00E36B1F"/>
    <w:rsid w:val="00E425FF"/>
    <w:rsid w:val="00E43320"/>
    <w:rsid w:val="00E46E94"/>
    <w:rsid w:val="00E50EB9"/>
    <w:rsid w:val="00E539EA"/>
    <w:rsid w:val="00E54D6D"/>
    <w:rsid w:val="00E55B41"/>
    <w:rsid w:val="00E55D21"/>
    <w:rsid w:val="00E6106B"/>
    <w:rsid w:val="00E61AB3"/>
    <w:rsid w:val="00E64101"/>
    <w:rsid w:val="00E708EA"/>
    <w:rsid w:val="00E840C3"/>
    <w:rsid w:val="00E84F39"/>
    <w:rsid w:val="00E85F83"/>
    <w:rsid w:val="00E86DBD"/>
    <w:rsid w:val="00E877FF"/>
    <w:rsid w:val="00E91D2F"/>
    <w:rsid w:val="00EA1EC3"/>
    <w:rsid w:val="00EA29CF"/>
    <w:rsid w:val="00EA3E3D"/>
    <w:rsid w:val="00EA7336"/>
    <w:rsid w:val="00EB1993"/>
    <w:rsid w:val="00EB33D1"/>
    <w:rsid w:val="00EB6638"/>
    <w:rsid w:val="00EC1A60"/>
    <w:rsid w:val="00EC2D3B"/>
    <w:rsid w:val="00EC5565"/>
    <w:rsid w:val="00EC6489"/>
    <w:rsid w:val="00EC6873"/>
    <w:rsid w:val="00ED0097"/>
    <w:rsid w:val="00ED0BED"/>
    <w:rsid w:val="00ED0D76"/>
    <w:rsid w:val="00ED6269"/>
    <w:rsid w:val="00EE0495"/>
    <w:rsid w:val="00EE0CA4"/>
    <w:rsid w:val="00EE197A"/>
    <w:rsid w:val="00EE24BC"/>
    <w:rsid w:val="00EE3BCE"/>
    <w:rsid w:val="00EE49FC"/>
    <w:rsid w:val="00EE7968"/>
    <w:rsid w:val="00EF2742"/>
    <w:rsid w:val="00EF47DB"/>
    <w:rsid w:val="00EF7320"/>
    <w:rsid w:val="00F0106A"/>
    <w:rsid w:val="00F05706"/>
    <w:rsid w:val="00F07EDB"/>
    <w:rsid w:val="00F1694B"/>
    <w:rsid w:val="00F16B3E"/>
    <w:rsid w:val="00F23CE6"/>
    <w:rsid w:val="00F32745"/>
    <w:rsid w:val="00F365D3"/>
    <w:rsid w:val="00F40E33"/>
    <w:rsid w:val="00F44734"/>
    <w:rsid w:val="00F5266E"/>
    <w:rsid w:val="00F54392"/>
    <w:rsid w:val="00F6130E"/>
    <w:rsid w:val="00F644F1"/>
    <w:rsid w:val="00F6501A"/>
    <w:rsid w:val="00F66853"/>
    <w:rsid w:val="00F71147"/>
    <w:rsid w:val="00F739EE"/>
    <w:rsid w:val="00F75813"/>
    <w:rsid w:val="00F86197"/>
    <w:rsid w:val="00F872CC"/>
    <w:rsid w:val="00F87426"/>
    <w:rsid w:val="00F90798"/>
    <w:rsid w:val="00F97E1A"/>
    <w:rsid w:val="00FA387F"/>
    <w:rsid w:val="00FA4332"/>
    <w:rsid w:val="00FA7C0F"/>
    <w:rsid w:val="00FB5C6D"/>
    <w:rsid w:val="00FC0BCE"/>
    <w:rsid w:val="00FC7037"/>
    <w:rsid w:val="00FD1264"/>
    <w:rsid w:val="00FD226C"/>
    <w:rsid w:val="00FD3E3D"/>
    <w:rsid w:val="00FD4826"/>
    <w:rsid w:val="00FD4FEF"/>
    <w:rsid w:val="00FE0D1E"/>
    <w:rsid w:val="00FE0EAA"/>
    <w:rsid w:val="00FE3218"/>
    <w:rsid w:val="00FE3FC5"/>
    <w:rsid w:val="00FE4364"/>
    <w:rsid w:val="00FE715F"/>
    <w:rsid w:val="00FF0A37"/>
    <w:rsid w:val="00FF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925DD"/>
  <w15:docId w15:val="{2469B8F0-2831-4B2E-BE71-EEB0997D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19"/>
        <w:szCs w:val="19"/>
        <w:lang w:val="en-GB" w:eastAsia="en-GB" w:bidi="ar-SA"/>
      </w:rPr>
    </w:rPrDefault>
    <w:pPrDefault>
      <w:pPr>
        <w:spacing w:before="200" w:after="200" w:line="280" w:lineRule="atLeast"/>
      </w:pPr>
    </w:pPrDefault>
  </w:docDefaults>
  <w:latentStyles w:defLockedState="1" w:defUIPriority="99" w:defSemiHidden="0" w:defUnhideWhenUsed="0" w:defQFormat="0" w:count="375">
    <w:lsdException w:name="Normal" w:locked="0" w:uiPriority="1" w:qFormat="1"/>
    <w:lsdException w:name="heading 1" w:locked="0" w:uiPriority="1" w:qFormat="1"/>
    <w:lsdException w:name="heading 2" w:locked="0" w:uiPriority="1" w:qFormat="1"/>
    <w:lsdException w:name="heading 3" w:locked="0" w:uiPriority="1" w:unhideWhenUsed="1" w:qFormat="1"/>
    <w:lsdException w:name="heading 4" w:locked="0" w:uiPriority="1" w:unhideWhenUsed="1" w:qFormat="1"/>
    <w:lsdException w:name="heading 5" w:locked="0" w:uiPriority="1" w:unhideWhenUsed="1" w:qFormat="1"/>
    <w:lsdException w:name="heading 6" w:locked="0" w:uiPriority="1" w:unhideWhenUsed="1" w:qFormat="1"/>
    <w:lsdException w:name="heading 7" w:semiHidden="1" w:uiPriority="1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nhideWhenUsed="1" w:qFormat="1"/>
    <w:lsdException w:name="annotation text" w:locked="0" w:semiHidden="1" w:unhideWhenUsed="1"/>
    <w:lsdException w:name="header" w:locked="0" w:semiHidden="1" w:uiPriority="5" w:unhideWhenUsed="1" w:qFormat="1"/>
    <w:lsdException w:name="footer" w:locked="0" w:semiHidden="1" w:uiPriority="5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locked="0" w:uiPriority="2" w:qFormat="1"/>
    <w:lsdException w:name="List Number" w:locked="0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uiPriority="2" w:unhideWhenUsed="1" w:qFormat="1"/>
    <w:lsdException w:name="List Bullet 3" w:locked="0" w:uiPriority="2" w:unhideWhenUsed="1" w:qFormat="1"/>
    <w:lsdException w:name="List Bullet 4" w:semiHidden="1" w:unhideWhenUsed="1"/>
    <w:lsdException w:name="List Bullet 5" w:semiHidden="1" w:unhideWhenUsed="1"/>
    <w:lsdException w:name="List Number 2" w:locked="0" w:uiPriority="2" w:unhideWhenUsed="1" w:qFormat="1"/>
    <w:lsdException w:name="List Number 3" w:locked="0" w:uiPriority="2" w:unhideWhenUsed="1" w:qFormat="1"/>
    <w:lsdException w:name="List Number 4" w:semiHidden="1" w:unhideWhenUsed="1"/>
    <w:lsdException w:name="List Number 5" w:semiHidden="1" w:unhideWhenUsed="1"/>
    <w:lsdException w:name="Title" w:locked="0" w:uiPriority="5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0" w:uiPriority="5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 w:qFormat="1"/>
    <w:lsdException w:name="FollowedHyperlink" w:locked="0" w:semiHidden="1" w:uiPriority="6" w:unhideWhenUsed="1"/>
    <w:lsdException w:name="Strong" w:locked="0" w:uiPriority="0" w:qFormat="1"/>
    <w:lsdException w:name="Emphasis" w:locked="0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locked="0" w:uiPriority="0" w:qFormat="1"/>
    <w:lsdException w:name="Subtle Reference" w:qFormat="1"/>
    <w:lsdException w:name="Intense Reference" w:uiPriority="32"/>
    <w:lsdException w:name="Book Title" w:semiHidden="1"/>
    <w:lsdException w:name="Bibliography" w:semiHidden="1"/>
    <w:lsdException w:name="TOC Heading" w:locked="0" w:semiHidden="1" w:uiPriority="5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uiPriority w:val="1"/>
    <w:qFormat/>
    <w:rsid w:val="00FD4826"/>
    <w:rPr>
      <w:kern w:val="19"/>
    </w:rPr>
  </w:style>
  <w:style w:type="paragraph" w:styleId="Heading1">
    <w:name w:val="heading 1"/>
    <w:next w:val="Normal"/>
    <w:link w:val="Heading1Char"/>
    <w:uiPriority w:val="1"/>
    <w:qFormat/>
    <w:rsid w:val="00A37B00"/>
    <w:pPr>
      <w:keepNext/>
      <w:keepLines/>
      <w:numPr>
        <w:numId w:val="3"/>
      </w:numPr>
      <w:suppressAutoHyphens/>
      <w:spacing w:before="600" w:line="320" w:lineRule="atLeast"/>
      <w:contextualSpacing/>
      <w:outlineLvl w:val="0"/>
    </w:pPr>
    <w:rPr>
      <w:rFonts w:cs="Sendnya"/>
      <w:bCs/>
      <w:color w:val="003299"/>
      <w:kern w:val="24"/>
      <w:sz w:val="24"/>
      <w:szCs w:val="28"/>
    </w:rPr>
  </w:style>
  <w:style w:type="paragraph" w:styleId="Heading2">
    <w:name w:val="heading 2"/>
    <w:next w:val="Normal"/>
    <w:link w:val="Heading2Char"/>
    <w:uiPriority w:val="1"/>
    <w:qFormat/>
    <w:rsid w:val="00A37B00"/>
    <w:pPr>
      <w:keepNext/>
      <w:keepLines/>
      <w:numPr>
        <w:ilvl w:val="1"/>
        <w:numId w:val="3"/>
      </w:numPr>
      <w:suppressAutoHyphens/>
      <w:spacing w:before="600" w:line="320" w:lineRule="atLeast"/>
      <w:outlineLvl w:val="1"/>
    </w:pPr>
    <w:rPr>
      <w:rFonts w:cs="Sendnya"/>
      <w:bCs/>
      <w:color w:val="003299"/>
      <w:kern w:val="24"/>
      <w:sz w:val="24"/>
      <w:szCs w:val="28"/>
    </w:rPr>
  </w:style>
  <w:style w:type="paragraph" w:styleId="Heading3">
    <w:name w:val="heading 3"/>
    <w:next w:val="Normal"/>
    <w:link w:val="Heading3Char"/>
    <w:uiPriority w:val="1"/>
    <w:qFormat/>
    <w:rsid w:val="00A37B00"/>
    <w:pPr>
      <w:keepNext/>
      <w:numPr>
        <w:ilvl w:val="2"/>
        <w:numId w:val="3"/>
      </w:numPr>
      <w:suppressAutoHyphens/>
      <w:spacing w:before="600" w:line="320" w:lineRule="atLeast"/>
      <w:outlineLvl w:val="2"/>
    </w:pPr>
    <w:rPr>
      <w:rFonts w:cs="Sendnya"/>
      <w:bCs/>
      <w:color w:val="003299"/>
      <w:kern w:val="24"/>
      <w:sz w:val="24"/>
      <w:szCs w:val="24"/>
    </w:rPr>
  </w:style>
  <w:style w:type="paragraph" w:styleId="Heading4">
    <w:name w:val="heading 4"/>
    <w:next w:val="Normal"/>
    <w:link w:val="Heading4Char"/>
    <w:uiPriority w:val="1"/>
    <w:qFormat/>
    <w:rsid w:val="00A37B00"/>
    <w:pPr>
      <w:keepNext/>
      <w:keepLines/>
      <w:numPr>
        <w:ilvl w:val="3"/>
        <w:numId w:val="3"/>
      </w:numPr>
      <w:suppressAutoHyphens/>
      <w:spacing w:before="600" w:line="320" w:lineRule="atLeast"/>
      <w:outlineLvl w:val="3"/>
    </w:pPr>
    <w:rPr>
      <w:rFonts w:cs="Sendnya"/>
      <w:bCs/>
      <w:iCs/>
      <w:color w:val="003299"/>
      <w:kern w:val="24"/>
      <w:sz w:val="24"/>
      <w:szCs w:val="22"/>
    </w:rPr>
  </w:style>
  <w:style w:type="paragraph" w:styleId="Heading5">
    <w:name w:val="heading 5"/>
    <w:next w:val="Normal"/>
    <w:link w:val="Heading5Char"/>
    <w:uiPriority w:val="1"/>
    <w:qFormat/>
    <w:rsid w:val="00A37B00"/>
    <w:pPr>
      <w:keepNext/>
      <w:keepLines/>
      <w:numPr>
        <w:ilvl w:val="4"/>
        <w:numId w:val="3"/>
      </w:numPr>
      <w:suppressAutoHyphens/>
      <w:spacing w:before="600" w:line="320" w:lineRule="atLeast"/>
      <w:outlineLvl w:val="4"/>
    </w:pPr>
    <w:rPr>
      <w:rFonts w:cs="Sendnya"/>
      <w:color w:val="003299"/>
      <w:kern w:val="24"/>
      <w:sz w:val="24"/>
      <w:szCs w:val="22"/>
    </w:rPr>
  </w:style>
  <w:style w:type="paragraph" w:styleId="Heading6">
    <w:name w:val="heading 6"/>
    <w:next w:val="Normal"/>
    <w:link w:val="Heading6Char"/>
    <w:uiPriority w:val="1"/>
    <w:qFormat/>
    <w:rsid w:val="00A37B00"/>
    <w:pPr>
      <w:keepNext/>
      <w:keepLines/>
      <w:numPr>
        <w:ilvl w:val="5"/>
        <w:numId w:val="3"/>
      </w:numPr>
      <w:spacing w:before="600"/>
      <w:outlineLvl w:val="5"/>
    </w:pPr>
    <w:rPr>
      <w:rFonts w:ascii="Arial Bold" w:cs="Sendnya"/>
      <w:b/>
      <w:iCs/>
      <w:color w:val="5C5C5C"/>
      <w:kern w:val="20"/>
      <w:sz w:val="21"/>
      <w:szCs w:val="22"/>
    </w:rPr>
  </w:style>
  <w:style w:type="paragraph" w:styleId="Heading7">
    <w:name w:val="heading 7"/>
    <w:next w:val="Normal"/>
    <w:link w:val="Heading7Char"/>
    <w:uiPriority w:val="99"/>
    <w:semiHidden/>
    <w:locked/>
    <w:rsid w:val="00A37B00"/>
    <w:pPr>
      <w:keepNext/>
      <w:numPr>
        <w:ilvl w:val="6"/>
        <w:numId w:val="3"/>
      </w:numPr>
      <w:suppressAutoHyphens/>
      <w:spacing w:before="600"/>
      <w:outlineLvl w:val="6"/>
    </w:pPr>
    <w:rPr>
      <w:b/>
      <w:iCs/>
      <w:color w:val="5C5C5C"/>
      <w:kern w:val="20"/>
      <w:sz w:val="21"/>
    </w:rPr>
  </w:style>
  <w:style w:type="paragraph" w:styleId="Heading8">
    <w:name w:val="heading 8"/>
    <w:basedOn w:val="Normal"/>
    <w:next w:val="Normal"/>
    <w:link w:val="Heading8Char"/>
    <w:uiPriority w:val="99"/>
    <w:semiHidden/>
    <w:locked/>
    <w:rsid w:val="00C8546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locked/>
    <w:rsid w:val="00C8546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Subtitle"/>
    <w:link w:val="TitleChar"/>
    <w:uiPriority w:val="5"/>
    <w:semiHidden/>
    <w:rsid w:val="00DA23A1"/>
    <w:pPr>
      <w:spacing w:before="280" w:after="250" w:line="480" w:lineRule="exact"/>
    </w:pPr>
    <w:rPr>
      <w:rFonts w:cs="Sendnya"/>
      <w:b/>
      <w:bCs/>
      <w:color w:val="003299"/>
      <w:kern w:val="40"/>
      <w:sz w:val="40"/>
      <w:szCs w:val="32"/>
    </w:rPr>
  </w:style>
  <w:style w:type="numbering" w:customStyle="1" w:styleId="ECBBulletlist">
    <w:name w:val="ECB Bullet list"/>
    <w:rsid w:val="00BB5870"/>
    <w:pPr>
      <w:numPr>
        <w:numId w:val="1"/>
      </w:numPr>
    </w:pPr>
  </w:style>
  <w:style w:type="character" w:styleId="Emphasis">
    <w:name w:val="Emphasis"/>
    <w:qFormat/>
    <w:rsid w:val="00BB5870"/>
    <w:rPr>
      <w:i/>
      <w:iCs/>
    </w:rPr>
  </w:style>
  <w:style w:type="character" w:styleId="Strong">
    <w:name w:val="Strong"/>
    <w:qFormat/>
    <w:rsid w:val="00BB5870"/>
    <w:rPr>
      <w:b/>
      <w:bCs/>
      <w:color w:val="auto"/>
    </w:rPr>
  </w:style>
  <w:style w:type="paragraph" w:styleId="Footer">
    <w:name w:val="footer"/>
    <w:link w:val="FooterChar"/>
    <w:uiPriority w:val="5"/>
    <w:semiHidden/>
    <w:qFormat/>
    <w:rsid w:val="00BB5870"/>
    <w:pPr>
      <w:spacing w:before="0" w:after="0" w:line="192" w:lineRule="atLeast"/>
      <w:ind w:right="567"/>
      <w:contextualSpacing/>
    </w:pPr>
    <w:rPr>
      <w:rFonts w:cs="Sendnya"/>
      <w:snapToGrid w:val="0"/>
      <w:color w:val="003299"/>
      <w:kern w:val="16"/>
      <w:sz w:val="16"/>
      <w:szCs w:val="16"/>
    </w:rPr>
  </w:style>
  <w:style w:type="character" w:styleId="FootnoteReference">
    <w:name w:val="footnote reference"/>
    <w:uiPriority w:val="99"/>
    <w:qFormat/>
    <w:rsid w:val="00BB5870"/>
    <w:rPr>
      <w:color w:val="auto"/>
      <w:vertAlign w:val="superscript"/>
    </w:rPr>
  </w:style>
  <w:style w:type="paragraph" w:styleId="FootnoteText">
    <w:name w:val="footnote text"/>
    <w:link w:val="FootnoteTextChar"/>
    <w:uiPriority w:val="99"/>
    <w:qFormat/>
    <w:rsid w:val="00BB5870"/>
    <w:pPr>
      <w:keepLines/>
      <w:suppressAutoHyphens/>
      <w:spacing w:before="0" w:after="60" w:line="180" w:lineRule="atLeast"/>
      <w:ind w:left="284" w:hanging="284"/>
    </w:pPr>
    <w:rPr>
      <w:rFonts w:cs="Sendnya"/>
      <w:color w:val="000000"/>
      <w:kern w:val="15"/>
      <w:sz w:val="15"/>
      <w:szCs w:val="18"/>
    </w:rPr>
  </w:style>
  <w:style w:type="paragraph" w:styleId="TOCHeading">
    <w:name w:val="TOC Heading"/>
    <w:next w:val="TOC1"/>
    <w:uiPriority w:val="5"/>
    <w:semiHidden/>
    <w:rsid w:val="00C2353F"/>
    <w:pPr>
      <w:keepNext/>
      <w:keepLines/>
      <w:spacing w:before="0" w:after="400" w:line="520" w:lineRule="atLeast"/>
    </w:pPr>
    <w:rPr>
      <w:rFonts w:cs="Sendnya"/>
      <w:bCs/>
      <w:color w:val="003299"/>
      <w:kern w:val="40"/>
      <w:sz w:val="40"/>
      <w:szCs w:val="28"/>
      <w:lang w:eastAsia="ja-JP"/>
    </w:rPr>
  </w:style>
  <w:style w:type="paragraph" w:styleId="ListBullet">
    <w:name w:val="List Bullet"/>
    <w:uiPriority w:val="2"/>
    <w:qFormat/>
    <w:rsid w:val="00BB5870"/>
    <w:pPr>
      <w:numPr>
        <w:numId w:val="10"/>
      </w:numPr>
      <w:suppressAutoHyphens/>
    </w:pPr>
    <w:rPr>
      <w:rFonts w:cs="Sendnya"/>
      <w:color w:val="000000"/>
      <w:kern w:val="19"/>
      <w:szCs w:val="22"/>
    </w:rPr>
  </w:style>
  <w:style w:type="paragraph" w:styleId="ListBullet2">
    <w:name w:val="List Bullet 2"/>
    <w:uiPriority w:val="2"/>
    <w:qFormat/>
    <w:rsid w:val="00BB5870"/>
    <w:pPr>
      <w:numPr>
        <w:ilvl w:val="1"/>
        <w:numId w:val="10"/>
      </w:numPr>
      <w:suppressAutoHyphens/>
    </w:pPr>
    <w:rPr>
      <w:rFonts w:cs="Sendnya"/>
      <w:color w:val="000000"/>
      <w:kern w:val="19"/>
      <w:szCs w:val="22"/>
    </w:rPr>
  </w:style>
  <w:style w:type="paragraph" w:styleId="TOC1">
    <w:name w:val="toc 1"/>
    <w:next w:val="Normal"/>
    <w:uiPriority w:val="5"/>
    <w:semiHidden/>
    <w:rsid w:val="00BB5870"/>
    <w:pPr>
      <w:tabs>
        <w:tab w:val="right" w:pos="7144"/>
      </w:tabs>
      <w:ind w:right="567"/>
    </w:pPr>
    <w:rPr>
      <w:rFonts w:cs="Sendnya"/>
      <w:b/>
      <w:bCs/>
      <w:color w:val="003299"/>
      <w:kern w:val="19"/>
      <w:szCs w:val="22"/>
    </w:rPr>
  </w:style>
  <w:style w:type="paragraph" w:styleId="TOC2">
    <w:name w:val="toc 2"/>
    <w:next w:val="Normal"/>
    <w:uiPriority w:val="5"/>
    <w:semiHidden/>
    <w:qFormat/>
    <w:rsid w:val="00BB5870"/>
    <w:pPr>
      <w:tabs>
        <w:tab w:val="right" w:pos="7144"/>
      </w:tabs>
      <w:ind w:left="567" w:right="567" w:hanging="567"/>
    </w:pPr>
    <w:rPr>
      <w:rFonts w:cs="Sendnya"/>
      <w:bCs/>
      <w:noProof/>
      <w:color w:val="003299"/>
      <w:kern w:val="19"/>
      <w:szCs w:val="22"/>
    </w:rPr>
  </w:style>
  <w:style w:type="paragraph" w:styleId="TOC3">
    <w:name w:val="toc 3"/>
    <w:next w:val="Normal"/>
    <w:uiPriority w:val="5"/>
    <w:semiHidden/>
    <w:qFormat/>
    <w:rsid w:val="00BB5870"/>
    <w:pPr>
      <w:tabs>
        <w:tab w:val="right" w:pos="7144"/>
      </w:tabs>
      <w:ind w:left="1276" w:right="567" w:hanging="709"/>
    </w:pPr>
    <w:rPr>
      <w:iCs/>
      <w:color w:val="5C5C5C"/>
      <w:kern w:val="19"/>
    </w:rPr>
  </w:style>
  <w:style w:type="paragraph" w:styleId="ListBullet3">
    <w:name w:val="List Bullet 3"/>
    <w:uiPriority w:val="2"/>
    <w:qFormat/>
    <w:rsid w:val="00BB5870"/>
    <w:pPr>
      <w:numPr>
        <w:ilvl w:val="2"/>
        <w:numId w:val="10"/>
      </w:numPr>
      <w:suppressAutoHyphens/>
    </w:pPr>
    <w:rPr>
      <w:rFonts w:cs="Sendnya"/>
      <w:color w:val="000000"/>
      <w:kern w:val="19"/>
      <w:szCs w:val="22"/>
    </w:rPr>
  </w:style>
  <w:style w:type="character" w:styleId="Hyperlink">
    <w:name w:val="Hyperlink"/>
    <w:qFormat/>
    <w:rsid w:val="00BB5870"/>
    <w:rPr>
      <w:b w:val="0"/>
      <w:color w:val="00B1EA"/>
      <w:u w:val="none"/>
    </w:rPr>
  </w:style>
  <w:style w:type="numbering" w:customStyle="1" w:styleId="ECBpublicationsheadings">
    <w:name w:val="ECB publications headings"/>
    <w:rsid w:val="00A37B00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B7B4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locked/>
    <w:rsid w:val="0038268B"/>
    <w:rPr>
      <w:color w:val="808080"/>
    </w:rPr>
  </w:style>
  <w:style w:type="character" w:customStyle="1" w:styleId="TitleChar">
    <w:name w:val="Title Char"/>
    <w:link w:val="Title"/>
    <w:uiPriority w:val="5"/>
    <w:semiHidden/>
    <w:rsid w:val="00DA23A1"/>
    <w:rPr>
      <w:rFonts w:cs="Sendnya"/>
      <w:b/>
      <w:bCs/>
      <w:color w:val="003299"/>
      <w:kern w:val="40"/>
      <w:sz w:val="40"/>
      <w:szCs w:val="32"/>
    </w:rPr>
  </w:style>
  <w:style w:type="paragraph" w:customStyle="1" w:styleId="Sub-subtitle">
    <w:name w:val="Sub-subtitle"/>
    <w:uiPriority w:val="5"/>
    <w:semiHidden/>
    <w:rsid w:val="00DA23A1"/>
    <w:pPr>
      <w:spacing w:before="250" w:after="250" w:line="300" w:lineRule="exact"/>
    </w:pPr>
    <w:rPr>
      <w:color w:val="848484"/>
      <w:kern w:val="24"/>
      <w:sz w:val="24"/>
    </w:rPr>
  </w:style>
  <w:style w:type="paragraph" w:styleId="Subtitle">
    <w:name w:val="Subtitle"/>
    <w:link w:val="SubtitleChar"/>
    <w:uiPriority w:val="5"/>
    <w:semiHidden/>
    <w:rsid w:val="00DA23A1"/>
    <w:pPr>
      <w:numPr>
        <w:ilvl w:val="1"/>
      </w:numPr>
      <w:spacing w:before="250" w:after="250" w:line="400" w:lineRule="exact"/>
    </w:pPr>
    <w:rPr>
      <w:iCs/>
      <w:color w:val="003299"/>
      <w:kern w:val="32"/>
      <w:sz w:val="32"/>
      <w:szCs w:val="24"/>
    </w:rPr>
  </w:style>
  <w:style w:type="character" w:customStyle="1" w:styleId="SubtitleChar">
    <w:name w:val="Subtitle Char"/>
    <w:link w:val="Subtitle"/>
    <w:uiPriority w:val="5"/>
    <w:semiHidden/>
    <w:rsid w:val="00DA23A1"/>
    <w:rPr>
      <w:iCs/>
      <w:color w:val="003299"/>
      <w:kern w:val="32"/>
      <w:sz w:val="32"/>
      <w:szCs w:val="24"/>
    </w:rPr>
  </w:style>
  <w:style w:type="paragraph" w:customStyle="1" w:styleId="Imprinttextbottom">
    <w:name w:val="Imprint text_bottom"/>
    <w:uiPriority w:val="5"/>
    <w:semiHidden/>
    <w:rsid w:val="00914A61"/>
    <w:pPr>
      <w:keepLines/>
      <w:framePr w:w="9639" w:wrap="notBeside" w:hAnchor="page" w:x="1135" w:yAlign="bottom"/>
      <w:pBdr>
        <w:top w:val="single" w:sz="4" w:space="6" w:color="003299"/>
        <w:left w:val="single" w:sz="4" w:space="6" w:color="003299"/>
        <w:bottom w:val="single" w:sz="4" w:space="6" w:color="003299"/>
        <w:right w:val="single" w:sz="4" w:space="6" w:color="003299"/>
      </w:pBdr>
      <w:tabs>
        <w:tab w:val="left" w:pos="1134"/>
        <w:tab w:val="left" w:pos="3260"/>
        <w:tab w:val="left" w:pos="5387"/>
        <w:tab w:val="left" w:pos="7513"/>
      </w:tabs>
      <w:suppressAutoHyphens/>
      <w:autoSpaceDE w:val="0"/>
      <w:autoSpaceDN w:val="0"/>
      <w:adjustRightInd w:val="0"/>
      <w:spacing w:before="114" w:after="0" w:line="192" w:lineRule="atLeast"/>
      <w:textAlignment w:val="center"/>
    </w:pPr>
    <w:rPr>
      <w:rFonts w:cs="Calibri"/>
      <w:color w:val="003299"/>
      <w:kern w:val="16"/>
      <w:sz w:val="16"/>
      <w:szCs w:val="18"/>
    </w:rPr>
  </w:style>
  <w:style w:type="paragraph" w:styleId="Date">
    <w:name w:val="Date"/>
    <w:next w:val="Normal"/>
    <w:link w:val="DateChar"/>
    <w:uiPriority w:val="99"/>
    <w:semiHidden/>
    <w:qFormat/>
    <w:locked/>
    <w:rsid w:val="0044052F"/>
    <w:pPr>
      <w:framePr w:w="6322" w:h="510" w:hRule="exact" w:wrap="around" w:vAnchor="page" w:hAnchor="page" w:x="5586" w:y="10065"/>
      <w:spacing w:before="80" w:after="60"/>
      <w:ind w:left="227"/>
    </w:pPr>
    <w:rPr>
      <w:rFonts w:cs="Sendnya"/>
      <w:b/>
      <w:color w:val="FFFFFF"/>
      <w:sz w:val="28"/>
      <w:szCs w:val="22"/>
    </w:rPr>
  </w:style>
  <w:style w:type="character" w:customStyle="1" w:styleId="DateChar">
    <w:name w:val="Date Char"/>
    <w:link w:val="Date"/>
    <w:uiPriority w:val="99"/>
    <w:semiHidden/>
    <w:rsid w:val="0099558E"/>
    <w:rPr>
      <w:rFonts w:cs="Sendnya"/>
      <w:b/>
      <w:color w:val="FFFFFF"/>
      <w:sz w:val="28"/>
      <w:szCs w:val="22"/>
    </w:rPr>
  </w:style>
  <w:style w:type="character" w:customStyle="1" w:styleId="Heading4Char">
    <w:name w:val="Heading 4 Char"/>
    <w:link w:val="Heading4"/>
    <w:uiPriority w:val="1"/>
    <w:rsid w:val="00A37B00"/>
    <w:rPr>
      <w:rFonts w:cs="Sendnya"/>
      <w:bCs/>
      <w:iCs/>
      <w:color w:val="003299"/>
      <w:kern w:val="24"/>
      <w:sz w:val="24"/>
      <w:szCs w:val="22"/>
    </w:rPr>
  </w:style>
  <w:style w:type="character" w:customStyle="1" w:styleId="Heading5Char">
    <w:name w:val="Heading 5 Char"/>
    <w:link w:val="Heading5"/>
    <w:uiPriority w:val="1"/>
    <w:rsid w:val="00A37B00"/>
    <w:rPr>
      <w:rFonts w:cs="Sendnya"/>
      <w:color w:val="003299"/>
      <w:kern w:val="24"/>
      <w:sz w:val="24"/>
      <w:szCs w:val="22"/>
    </w:rPr>
  </w:style>
  <w:style w:type="character" w:customStyle="1" w:styleId="Heading6Char">
    <w:name w:val="Heading 6 Char"/>
    <w:link w:val="Heading6"/>
    <w:uiPriority w:val="1"/>
    <w:rsid w:val="00A37B00"/>
    <w:rPr>
      <w:rFonts w:ascii="Arial Bold" w:cs="Sendnya"/>
      <w:b/>
      <w:iCs/>
      <w:color w:val="5C5C5C"/>
      <w:kern w:val="20"/>
      <w:sz w:val="21"/>
      <w:szCs w:val="22"/>
    </w:rPr>
  </w:style>
  <w:style w:type="character" w:styleId="IntenseEmphasis">
    <w:name w:val="Intense Emphasis"/>
    <w:qFormat/>
    <w:rsid w:val="00BB5870"/>
    <w:rPr>
      <w:b/>
      <w:bCs/>
      <w:i w:val="0"/>
      <w:iCs/>
      <w:color w:val="003299"/>
    </w:rPr>
  </w:style>
  <w:style w:type="numbering" w:customStyle="1" w:styleId="ECBnumberedlist">
    <w:name w:val="ECB numbered list"/>
    <w:rsid w:val="00BB5870"/>
    <w:pPr>
      <w:numPr>
        <w:numId w:val="2"/>
      </w:numPr>
    </w:pPr>
  </w:style>
  <w:style w:type="paragraph" w:styleId="ListNumber">
    <w:name w:val="List Number"/>
    <w:uiPriority w:val="2"/>
    <w:qFormat/>
    <w:rsid w:val="00BB5870"/>
    <w:pPr>
      <w:numPr>
        <w:numId w:val="11"/>
      </w:numPr>
      <w:suppressAutoHyphens/>
    </w:pPr>
    <w:rPr>
      <w:rFonts w:cs="Sendnya"/>
      <w:color w:val="000000"/>
      <w:kern w:val="19"/>
      <w:szCs w:val="22"/>
    </w:rPr>
  </w:style>
  <w:style w:type="paragraph" w:styleId="ListNumber2">
    <w:name w:val="List Number 2"/>
    <w:uiPriority w:val="2"/>
    <w:qFormat/>
    <w:rsid w:val="00BB5870"/>
    <w:pPr>
      <w:numPr>
        <w:ilvl w:val="1"/>
        <w:numId w:val="11"/>
      </w:numPr>
      <w:suppressAutoHyphens/>
    </w:pPr>
    <w:rPr>
      <w:rFonts w:cs="Sendnya"/>
      <w:color w:val="000000"/>
      <w:kern w:val="19"/>
      <w:szCs w:val="22"/>
    </w:rPr>
  </w:style>
  <w:style w:type="paragraph" w:styleId="ListNumber3">
    <w:name w:val="List Number 3"/>
    <w:uiPriority w:val="2"/>
    <w:qFormat/>
    <w:rsid w:val="00BB5870"/>
    <w:pPr>
      <w:numPr>
        <w:ilvl w:val="2"/>
        <w:numId w:val="11"/>
      </w:numPr>
    </w:pPr>
    <w:rPr>
      <w:rFonts w:cs="Sendnya"/>
      <w:color w:val="000000"/>
      <w:kern w:val="19"/>
      <w:szCs w:val="22"/>
    </w:rPr>
  </w:style>
  <w:style w:type="paragraph" w:customStyle="1" w:styleId="Box-Text">
    <w:name w:val="Box - Text"/>
    <w:uiPriority w:val="3"/>
    <w:qFormat/>
    <w:rsid w:val="00BB5870"/>
    <w:pPr>
      <w:suppressAutoHyphens/>
      <w:spacing w:before="100"/>
      <w:ind w:left="-2495" w:right="1247"/>
    </w:pPr>
    <w:rPr>
      <w:rFonts w:cs="Sendnya"/>
      <w:color w:val="003299"/>
      <w:kern w:val="19"/>
      <w:szCs w:val="22"/>
    </w:rPr>
  </w:style>
  <w:style w:type="paragraph" w:customStyle="1" w:styleId="Box-Headline">
    <w:name w:val="Box - Headline"/>
    <w:next w:val="Box-Text"/>
    <w:uiPriority w:val="3"/>
    <w:rsid w:val="00525AF1"/>
    <w:pPr>
      <w:keepNext/>
      <w:suppressAutoHyphens/>
      <w:spacing w:before="300" w:after="100"/>
      <w:ind w:left="-2495" w:right="1247"/>
    </w:pPr>
    <w:rPr>
      <w:rFonts w:ascii="Arial Bold" w:cs="Sendnya"/>
      <w:b/>
      <w:color w:val="003299"/>
      <w:kern w:val="18"/>
      <w:sz w:val="18"/>
      <w:szCs w:val="22"/>
    </w:rPr>
  </w:style>
  <w:style w:type="table" w:styleId="TableGrid">
    <w:name w:val="Table Grid"/>
    <w:basedOn w:val="TableNormal"/>
    <w:uiPriority w:val="59"/>
    <w:locked/>
    <w:rsid w:val="009B5B0A"/>
    <w:pPr>
      <w:tabs>
        <w:tab w:val="left" w:pos="170"/>
      </w:tabs>
      <w:jc w:val="right"/>
    </w:pPr>
    <w:rPr>
      <w:sz w:val="12"/>
      <w:szCs w:val="20"/>
    </w:rPr>
    <w:tblPr>
      <w:tblInd w:w="57" w:type="dxa"/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0" w:beforeAutospacing="0" w:afterLines="0" w:after="0" w:afterAutospacing="0" w:line="160" w:lineRule="atLeast"/>
        <w:ind w:leftChars="0" w:left="0" w:rightChars="0" w:right="0"/>
        <w:jc w:val="center"/>
        <w:outlineLvl w:val="9"/>
      </w:pPr>
      <w:rPr>
        <w:rFonts w:ascii="Arial" w:hAnsi="Arial"/>
        <w:b/>
        <w:color w:val="003299"/>
        <w:sz w:val="12"/>
      </w:rPr>
      <w:tblPr/>
      <w:tcPr>
        <w:tcBorders>
          <w:top w:val="nil"/>
          <w:left w:val="nil"/>
          <w:bottom w:val="single" w:sz="4" w:space="0" w:color="003894"/>
          <w:right w:val="nil"/>
          <w:insideH w:val="nil"/>
          <w:insideV w:val="single" w:sz="4" w:space="0" w:color="003894"/>
          <w:tl2br w:val="nil"/>
          <w:tr2bl w:val="nil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160" w:lineRule="atLeast"/>
        <w:ind w:leftChars="0" w:left="0" w:rightChars="0" w:right="0"/>
        <w:jc w:val="right"/>
        <w:outlineLvl w:val="9"/>
      </w:pPr>
      <w:rPr>
        <w:rFonts w:ascii="Arial" w:hAnsi="Arial"/>
        <w:b/>
        <w:color w:val="003299"/>
        <w:sz w:val="12"/>
      </w:rPr>
      <w:tblPr/>
      <w:tcPr>
        <w:tcBorders>
          <w:top w:val="single" w:sz="4" w:space="0" w:color="0038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rFonts w:ascii="Arial" w:hAnsi="Arial"/>
        <w:b/>
        <w:color w:val="003299"/>
        <w:sz w:val="12"/>
      </w:rPr>
      <w:tblPr/>
      <w:tcPr>
        <w:tcBorders>
          <w:top w:val="nil"/>
          <w:left w:val="nil"/>
          <w:bottom w:val="nil"/>
          <w:right w:val="single" w:sz="4" w:space="0" w:color="003894"/>
          <w:insideH w:val="nil"/>
          <w:insideV w:val="nil"/>
          <w:tl2br w:val="nil"/>
          <w:tr2bl w:val="nil"/>
        </w:tcBorders>
      </w:tcPr>
    </w:tblStylePr>
  </w:style>
  <w:style w:type="paragraph" w:customStyle="1" w:styleId="Margintext">
    <w:name w:val="Margin text"/>
    <w:uiPriority w:val="2"/>
    <w:rsid w:val="00BB5870"/>
    <w:pPr>
      <w:framePr w:w="2240" w:hSpace="227" w:wrap="around" w:vAnchor="text" w:hAnchor="page" w:x="1135" w:y="58"/>
      <w:suppressAutoHyphens/>
      <w:spacing w:before="0" w:after="100" w:line="180" w:lineRule="atLeast"/>
    </w:pPr>
    <w:rPr>
      <w:rFonts w:cs="Sendnya"/>
      <w:color w:val="003299"/>
      <w:kern w:val="14"/>
      <w:sz w:val="14"/>
      <w:szCs w:val="22"/>
    </w:rPr>
  </w:style>
  <w:style w:type="paragraph" w:styleId="Header">
    <w:name w:val="header"/>
    <w:link w:val="HeaderChar"/>
    <w:uiPriority w:val="5"/>
    <w:semiHidden/>
    <w:qFormat/>
    <w:rsid w:val="00BC5CDB"/>
    <w:pPr>
      <w:spacing w:before="0" w:after="120" w:line="240" w:lineRule="auto"/>
    </w:pPr>
    <w:rPr>
      <w:color w:val="FF0000"/>
      <w:kern w:val="16"/>
      <w:sz w:val="16"/>
    </w:rPr>
  </w:style>
  <w:style w:type="character" w:customStyle="1" w:styleId="HeaderChar">
    <w:name w:val="Header Char"/>
    <w:link w:val="Header"/>
    <w:uiPriority w:val="5"/>
    <w:semiHidden/>
    <w:rsid w:val="00BC5CDB"/>
    <w:rPr>
      <w:color w:val="FF0000"/>
      <w:kern w:val="16"/>
      <w:sz w:val="16"/>
    </w:rPr>
  </w:style>
  <w:style w:type="character" w:customStyle="1" w:styleId="Heading1Char">
    <w:name w:val="Heading 1 Char"/>
    <w:link w:val="Heading1"/>
    <w:uiPriority w:val="1"/>
    <w:rsid w:val="00A37B00"/>
    <w:rPr>
      <w:rFonts w:cs="Sendnya"/>
      <w:bCs/>
      <w:color w:val="003299"/>
      <w:kern w:val="24"/>
      <w:sz w:val="24"/>
      <w:szCs w:val="28"/>
    </w:rPr>
  </w:style>
  <w:style w:type="character" w:customStyle="1" w:styleId="Heading2Char">
    <w:name w:val="Heading 2 Char"/>
    <w:link w:val="Heading2"/>
    <w:uiPriority w:val="1"/>
    <w:rsid w:val="00A37B00"/>
    <w:rPr>
      <w:rFonts w:cs="Sendnya"/>
      <w:bCs/>
      <w:color w:val="003299"/>
      <w:kern w:val="24"/>
      <w:sz w:val="24"/>
      <w:szCs w:val="28"/>
    </w:rPr>
  </w:style>
  <w:style w:type="character" w:customStyle="1" w:styleId="Heading3Char">
    <w:name w:val="Heading 3 Char"/>
    <w:link w:val="Heading3"/>
    <w:uiPriority w:val="1"/>
    <w:rsid w:val="00A37B00"/>
    <w:rPr>
      <w:rFonts w:cs="Sendnya"/>
      <w:bCs/>
      <w:color w:val="003299"/>
      <w:kern w:val="24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A37B00"/>
    <w:rPr>
      <w:b/>
      <w:iCs/>
      <w:color w:val="5C5C5C"/>
      <w:kern w:val="20"/>
      <w:sz w:val="21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99558E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99558E"/>
    <w:rPr>
      <w:i/>
      <w:iCs/>
      <w:caps/>
      <w:spacing w:val="10"/>
      <w:sz w:val="20"/>
      <w:szCs w:val="20"/>
    </w:rPr>
  </w:style>
  <w:style w:type="paragraph" w:styleId="Revision">
    <w:name w:val="Revision"/>
    <w:hidden/>
    <w:uiPriority w:val="99"/>
    <w:semiHidden/>
    <w:rsid w:val="00CA7F19"/>
    <w:rPr>
      <w:rFonts w:cs="Sendnya"/>
      <w:color w:val="000000"/>
      <w:szCs w:val="22"/>
    </w:rPr>
  </w:style>
  <w:style w:type="paragraph" w:styleId="NoSpacing">
    <w:name w:val="No Spacing"/>
    <w:link w:val="NoSpacingChar"/>
    <w:uiPriority w:val="99"/>
    <w:semiHidden/>
    <w:qFormat/>
    <w:locked/>
    <w:rsid w:val="00C85466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99"/>
    <w:semiHidden/>
    <w:rsid w:val="0099558E"/>
    <w:rPr>
      <w:rFonts w:ascii="Calibri" w:eastAsia="MS Mincho" w:hAnsi="Calibri" w:cs="Arial"/>
      <w:sz w:val="22"/>
      <w:szCs w:val="22"/>
      <w:lang w:val="en-US" w:eastAsia="ja-JP"/>
    </w:rPr>
  </w:style>
  <w:style w:type="paragraph" w:styleId="ListParagraph">
    <w:name w:val="List Paragraph"/>
    <w:basedOn w:val="Normal"/>
    <w:link w:val="ListParagraphChar"/>
    <w:uiPriority w:val="34"/>
    <w:qFormat/>
    <w:locked/>
    <w:rsid w:val="0044052F"/>
    <w:pPr>
      <w:spacing w:before="0" w:line="276" w:lineRule="auto"/>
      <w:ind w:left="720"/>
    </w:pPr>
    <w:rPr>
      <w:rFonts w:ascii="Calibri" w:eastAsia="Calibri" w:hAnsi="Calibri"/>
      <w:sz w:val="22"/>
      <w:lang w:eastAsia="en-US"/>
    </w:rPr>
  </w:style>
  <w:style w:type="paragraph" w:styleId="Quote">
    <w:name w:val="Quote"/>
    <w:basedOn w:val="Normal"/>
    <w:next w:val="Normal"/>
    <w:link w:val="QuoteChar"/>
    <w:uiPriority w:val="99"/>
    <w:semiHidden/>
    <w:locked/>
    <w:rsid w:val="00C85466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semiHidden/>
    <w:rsid w:val="0099558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locked/>
    <w:rsid w:val="00C85466"/>
    <w:pPr>
      <w:pBdr>
        <w:top w:val="dotted" w:sz="2" w:space="10" w:color="005875" w:themeColor="accent2" w:themeShade="80"/>
        <w:bottom w:val="dotted" w:sz="2" w:space="4" w:color="005875" w:themeColor="accent2" w:themeShade="80"/>
      </w:pBdr>
      <w:spacing w:before="160" w:line="300" w:lineRule="auto"/>
      <w:ind w:left="1440" w:right="1440"/>
    </w:pPr>
    <w:rPr>
      <w:caps/>
      <w:color w:val="005774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99558E"/>
    <w:rPr>
      <w:caps/>
      <w:color w:val="005774" w:themeColor="accent2" w:themeShade="7F"/>
      <w:spacing w:val="5"/>
      <w:sz w:val="20"/>
      <w:szCs w:val="20"/>
    </w:rPr>
  </w:style>
  <w:style w:type="character" w:styleId="SubtleEmphasis">
    <w:name w:val="Subtle Emphasis"/>
    <w:uiPriority w:val="99"/>
    <w:semiHidden/>
    <w:locked/>
    <w:rsid w:val="00C85466"/>
    <w:rPr>
      <w:i/>
      <w:iCs/>
    </w:rPr>
  </w:style>
  <w:style w:type="character" w:styleId="SubtleReference">
    <w:name w:val="Subtle Reference"/>
    <w:uiPriority w:val="99"/>
    <w:semiHidden/>
    <w:qFormat/>
    <w:locked/>
    <w:rsid w:val="00C85466"/>
    <w:rPr>
      <w:smallCaps/>
      <w:color w:val="C0504D"/>
      <w:u w:val="single"/>
    </w:rPr>
  </w:style>
  <w:style w:type="character" w:styleId="IntenseReference">
    <w:name w:val="Intense Reference"/>
    <w:uiPriority w:val="99"/>
    <w:semiHidden/>
    <w:locked/>
    <w:rsid w:val="00C85466"/>
    <w:rPr>
      <w:rFonts w:asciiTheme="minorHAnsi" w:eastAsiaTheme="minorEastAsia" w:hAnsiTheme="minorHAnsi" w:cstheme="minorBidi"/>
      <w:b/>
      <w:bCs/>
      <w:i/>
      <w:iCs/>
      <w:color w:val="005774" w:themeColor="accent2" w:themeShade="7F"/>
    </w:rPr>
  </w:style>
  <w:style w:type="paragraph" w:customStyle="1" w:styleId="Box-Heading">
    <w:name w:val="Box - Heading"/>
    <w:uiPriority w:val="3"/>
    <w:qFormat/>
    <w:rsid w:val="00BB5870"/>
    <w:pPr>
      <w:keepNext/>
      <w:pBdr>
        <w:left w:val="single" w:sz="4" w:space="0" w:color="FFFFFF" w:themeColor="background1"/>
        <w:bottom w:val="single" w:sz="4" w:space="5" w:color="003299"/>
        <w:right w:val="single" w:sz="4" w:space="0" w:color="FFFFFF" w:themeColor="background1"/>
      </w:pBdr>
      <w:spacing w:before="400" w:after="0"/>
      <w:ind w:left="-2495" w:right="1247"/>
      <w:contextualSpacing/>
      <w:outlineLvl w:val="2"/>
    </w:pPr>
    <w:rPr>
      <w:rFonts w:cs="Sendnya"/>
      <w:color w:val="003299"/>
      <w:kern w:val="21"/>
      <w:sz w:val="21"/>
      <w:szCs w:val="22"/>
    </w:rPr>
  </w:style>
  <w:style w:type="paragraph" w:customStyle="1" w:styleId="Box-Charttextwide-Measure">
    <w:name w:val="Box - Chart text wide - Measure"/>
    <w:uiPriority w:val="3"/>
    <w:qFormat/>
    <w:rsid w:val="003A6EFE"/>
    <w:pPr>
      <w:keepNext/>
      <w:keepLines/>
      <w:tabs>
        <w:tab w:val="left" w:pos="1814"/>
      </w:tabs>
      <w:spacing w:before="100" w:after="100" w:line="144" w:lineRule="atLeast"/>
      <w:ind w:left="-2495" w:right="1247"/>
      <w:contextualSpacing/>
    </w:pPr>
    <w:rPr>
      <w:color w:val="003299"/>
      <w:kern w:val="12"/>
      <w:sz w:val="12"/>
    </w:rPr>
  </w:style>
  <w:style w:type="paragraph" w:customStyle="1" w:styleId="Chartright-Measure">
    <w:name w:val="Chart right - Measure"/>
    <w:link w:val="Chartright-MeasureChar"/>
    <w:uiPriority w:val="3"/>
    <w:qFormat/>
    <w:rsid w:val="00BB5870"/>
    <w:pPr>
      <w:keepNext/>
      <w:keepLines/>
      <w:spacing w:before="100" w:after="100" w:line="144" w:lineRule="atLeast"/>
      <w:contextualSpacing/>
    </w:pPr>
    <w:rPr>
      <w:rFonts w:cs="Sendnya"/>
      <w:color w:val="003299"/>
      <w:kern w:val="12"/>
      <w:sz w:val="12"/>
      <w:szCs w:val="22"/>
    </w:rPr>
  </w:style>
  <w:style w:type="character" w:customStyle="1" w:styleId="Chartright-MeasureChar">
    <w:name w:val="Chart right - Measure Char"/>
    <w:link w:val="Chartright-Measure"/>
    <w:uiPriority w:val="3"/>
    <w:rsid w:val="00BB5870"/>
    <w:rPr>
      <w:rFonts w:cs="Sendnya"/>
      <w:color w:val="003299"/>
      <w:kern w:val="12"/>
      <w:sz w:val="12"/>
      <w:szCs w:val="22"/>
    </w:rPr>
  </w:style>
  <w:style w:type="paragraph" w:customStyle="1" w:styleId="Chartright-Picture">
    <w:name w:val="Chart right - Picture"/>
    <w:link w:val="Chartright-PictureChar"/>
    <w:uiPriority w:val="3"/>
    <w:qFormat/>
    <w:rsid w:val="006B1955"/>
    <w:pPr>
      <w:keepNext/>
      <w:keepLines/>
      <w:spacing w:before="60" w:after="60" w:line="160" w:lineRule="atLeast"/>
    </w:pPr>
    <w:rPr>
      <w:rFonts w:cs="Sendnya"/>
      <w:sz w:val="12"/>
      <w:szCs w:val="22"/>
    </w:rPr>
  </w:style>
  <w:style w:type="character" w:customStyle="1" w:styleId="Chartright-PictureChar">
    <w:name w:val="Chart right - Picture Char"/>
    <w:link w:val="Chartright-Picture"/>
    <w:uiPriority w:val="3"/>
    <w:rsid w:val="006B1955"/>
    <w:rPr>
      <w:rFonts w:cs="Sendnya"/>
      <w:sz w:val="12"/>
      <w:szCs w:val="22"/>
    </w:rPr>
  </w:style>
  <w:style w:type="paragraph" w:customStyle="1" w:styleId="Chartright-Heading">
    <w:name w:val="Chart right - Heading"/>
    <w:link w:val="Chartright-HeadingChar"/>
    <w:uiPriority w:val="3"/>
    <w:qFormat/>
    <w:rsid w:val="00D143A7"/>
    <w:pPr>
      <w:keepNext/>
      <w:keepLines/>
      <w:pBdr>
        <w:bottom w:val="single" w:sz="4" w:space="5" w:color="003299"/>
      </w:pBdr>
      <w:spacing w:before="0" w:after="0"/>
      <w:contextualSpacing/>
    </w:pPr>
    <w:rPr>
      <w:rFonts w:cs="Sendnya"/>
      <w:color w:val="003299"/>
      <w:kern w:val="19"/>
      <w:szCs w:val="22"/>
    </w:rPr>
  </w:style>
  <w:style w:type="character" w:customStyle="1" w:styleId="Chartright-HeadingChar">
    <w:name w:val="Chart right - Heading Char"/>
    <w:link w:val="Chartright-Heading"/>
    <w:uiPriority w:val="3"/>
    <w:rsid w:val="00D143A7"/>
    <w:rPr>
      <w:rFonts w:cs="Sendnya"/>
      <w:color w:val="003299"/>
      <w:kern w:val="19"/>
      <w:szCs w:val="22"/>
    </w:rPr>
  </w:style>
  <w:style w:type="paragraph" w:customStyle="1" w:styleId="Chartright-SourcesNotes">
    <w:name w:val="Chart right - Sources &amp; Notes"/>
    <w:link w:val="Chartright-SourcesNotesChar"/>
    <w:uiPriority w:val="3"/>
    <w:qFormat/>
    <w:rsid w:val="00BB5870"/>
    <w:pPr>
      <w:keepLines/>
      <w:pBdr>
        <w:top w:val="single" w:sz="4" w:space="5" w:color="003299"/>
      </w:pBdr>
      <w:spacing w:before="100" w:line="144" w:lineRule="atLeast"/>
      <w:contextualSpacing/>
    </w:pPr>
    <w:rPr>
      <w:rFonts w:cs="Sendnya"/>
      <w:color w:val="003299"/>
      <w:kern w:val="12"/>
      <w:sz w:val="12"/>
      <w:szCs w:val="22"/>
    </w:rPr>
  </w:style>
  <w:style w:type="character" w:customStyle="1" w:styleId="Chartright-SourcesNotesChar">
    <w:name w:val="Chart right - Sources &amp; Notes Char"/>
    <w:link w:val="Chartright-SourcesNotes"/>
    <w:uiPriority w:val="3"/>
    <w:rsid w:val="00BB5870"/>
    <w:rPr>
      <w:rFonts w:cs="Sendnya"/>
      <w:color w:val="003299"/>
      <w:kern w:val="12"/>
      <w:sz w:val="12"/>
      <w:szCs w:val="22"/>
    </w:rPr>
  </w:style>
  <w:style w:type="character" w:customStyle="1" w:styleId="Subscript">
    <w:name w:val="Subscript"/>
    <w:qFormat/>
    <w:rsid w:val="00BB5870"/>
    <w:rPr>
      <w:color w:val="auto"/>
      <w:vertAlign w:val="subscript"/>
    </w:rPr>
  </w:style>
  <w:style w:type="character" w:customStyle="1" w:styleId="FootnoteTextChar">
    <w:name w:val="Footnote Text Char"/>
    <w:link w:val="FootnoteText"/>
    <w:uiPriority w:val="99"/>
    <w:rsid w:val="00BB5870"/>
    <w:rPr>
      <w:rFonts w:cs="Sendnya"/>
      <w:color w:val="000000"/>
      <w:kern w:val="15"/>
      <w:sz w:val="15"/>
      <w:szCs w:val="18"/>
    </w:rPr>
  </w:style>
  <w:style w:type="character" w:customStyle="1" w:styleId="FooterChar">
    <w:name w:val="Footer Char"/>
    <w:link w:val="Footer"/>
    <w:uiPriority w:val="5"/>
    <w:semiHidden/>
    <w:rsid w:val="00BB5870"/>
    <w:rPr>
      <w:rFonts w:cs="Sendnya"/>
      <w:snapToGrid w:val="0"/>
      <w:color w:val="003299"/>
      <w:kern w:val="16"/>
      <w:sz w:val="16"/>
      <w:szCs w:val="16"/>
    </w:rPr>
  </w:style>
  <w:style w:type="paragraph" w:customStyle="1" w:styleId="Authors">
    <w:name w:val="Authors"/>
    <w:basedOn w:val="Normal"/>
    <w:link w:val="AuthorsChar"/>
    <w:uiPriority w:val="5"/>
    <w:semiHidden/>
    <w:qFormat/>
    <w:rsid w:val="002B03BC"/>
    <w:rPr>
      <w:b/>
      <w:color w:val="5C5C5C"/>
      <w:sz w:val="21"/>
    </w:rPr>
  </w:style>
  <w:style w:type="paragraph" w:customStyle="1" w:styleId="Networkmarker">
    <w:name w:val="Network marker"/>
    <w:uiPriority w:val="5"/>
    <w:semiHidden/>
    <w:rsid w:val="00BB5870"/>
    <w:pPr>
      <w:framePr w:w="4224" w:wrap="around" w:hAnchor="page" w:x="1135" w:yAlign="bottom"/>
      <w:pBdr>
        <w:top w:val="single" w:sz="4" w:space="4" w:color="003299"/>
        <w:bottom w:val="single" w:sz="4" w:space="4" w:color="003299"/>
      </w:pBdr>
      <w:spacing w:before="0" w:after="0" w:line="240" w:lineRule="auto"/>
      <w:jc w:val="center"/>
    </w:pPr>
    <w:rPr>
      <w:rFonts w:cs="Sendnya"/>
      <w:b/>
      <w:color w:val="003299"/>
      <w:kern w:val="19"/>
      <w:szCs w:val="22"/>
    </w:rPr>
  </w:style>
  <w:style w:type="paragraph" w:customStyle="1" w:styleId="Note">
    <w:name w:val="Note"/>
    <w:uiPriority w:val="5"/>
    <w:semiHidden/>
    <w:rsid w:val="005525C0"/>
    <w:pPr>
      <w:framePr w:w="9639" w:wrap="around" w:vAnchor="page" w:hAnchor="page" w:xAlign="center" w:yAlign="bottom"/>
      <w:spacing w:before="0" w:line="240" w:lineRule="atLeast"/>
      <w:contextualSpacing/>
    </w:pPr>
    <w:rPr>
      <w:rFonts w:cs="Sendnya"/>
      <w:color w:val="003299"/>
      <w:kern w:val="20"/>
      <w:sz w:val="20"/>
      <w:szCs w:val="22"/>
    </w:rPr>
  </w:style>
  <w:style w:type="paragraph" w:customStyle="1" w:styleId="Imprinttexttop">
    <w:name w:val="Imprint text_top"/>
    <w:uiPriority w:val="5"/>
    <w:semiHidden/>
    <w:qFormat/>
    <w:rsid w:val="005A2D06"/>
    <w:pPr>
      <w:tabs>
        <w:tab w:val="left" w:pos="851"/>
      </w:tabs>
      <w:spacing w:before="0" w:after="0" w:line="192" w:lineRule="atLeast"/>
    </w:pPr>
    <w:rPr>
      <w:rFonts w:cs="Calibri"/>
      <w:color w:val="000000"/>
      <w:kern w:val="16"/>
      <w:sz w:val="16"/>
      <w:szCs w:val="18"/>
    </w:rPr>
  </w:style>
  <w:style w:type="paragraph" w:customStyle="1" w:styleId="Embargosticker">
    <w:name w:val="Embargo sticker"/>
    <w:uiPriority w:val="5"/>
    <w:semiHidden/>
    <w:rsid w:val="00BB5870"/>
    <w:pPr>
      <w:framePr w:w="4224" w:wrap="around" w:hAnchor="page" w:x="1135" w:yAlign="bottom"/>
      <w:pBdr>
        <w:top w:val="single" w:sz="4" w:space="4" w:color="FF0000"/>
        <w:bottom w:val="single" w:sz="4" w:space="4" w:color="FF0000"/>
      </w:pBdr>
      <w:spacing w:before="0" w:after="0" w:line="216" w:lineRule="exact"/>
      <w:contextualSpacing/>
      <w:jc w:val="right"/>
    </w:pPr>
    <w:rPr>
      <w:rFonts w:cs="Sendnya"/>
      <w:color w:val="FF0000"/>
      <w:kern w:val="18"/>
      <w:sz w:val="18"/>
      <w:szCs w:val="22"/>
    </w:rPr>
  </w:style>
  <w:style w:type="character" w:customStyle="1" w:styleId="Embargostrong">
    <w:name w:val="Embargo strong"/>
    <w:uiPriority w:val="5"/>
    <w:semiHidden/>
    <w:rsid w:val="00BB5870"/>
    <w:rPr>
      <w:b/>
      <w:bCs w:val="0"/>
      <w:color w:val="FF0000"/>
    </w:rPr>
  </w:style>
  <w:style w:type="paragraph" w:customStyle="1" w:styleId="Imprintheadlinetop">
    <w:name w:val="Imprint headline_top"/>
    <w:uiPriority w:val="5"/>
    <w:semiHidden/>
    <w:rsid w:val="00BB5870"/>
    <w:pPr>
      <w:pageBreakBefore/>
      <w:spacing w:before="0" w:after="60" w:line="192" w:lineRule="atLeast"/>
      <w:contextualSpacing/>
      <w:outlineLvl w:val="0"/>
    </w:pPr>
    <w:rPr>
      <w:rFonts w:ascii="Arial Bold" w:cs="Calibri"/>
      <w:b/>
      <w:color w:val="003299"/>
      <w:kern w:val="16"/>
      <w:sz w:val="16"/>
      <w:szCs w:val="18"/>
    </w:rPr>
  </w:style>
  <w:style w:type="paragraph" w:customStyle="1" w:styleId="Chartright-Informativetitle">
    <w:name w:val="Chart right - Informative title"/>
    <w:uiPriority w:val="3"/>
    <w:qFormat/>
    <w:rsid w:val="00BB5870"/>
    <w:pPr>
      <w:keepNext/>
      <w:keepLines/>
      <w:spacing w:before="100" w:after="100" w:line="192" w:lineRule="atLeast"/>
      <w:contextualSpacing/>
    </w:pPr>
    <w:rPr>
      <w:rFonts w:ascii="Arial Bold" w:cs="Sendnya"/>
      <w:b/>
      <w:color w:val="5C5C5C"/>
      <w:kern w:val="16"/>
      <w:sz w:val="16"/>
      <w:szCs w:val="22"/>
    </w:rPr>
  </w:style>
  <w:style w:type="paragraph" w:customStyle="1" w:styleId="Box-Charttextwide-Heading">
    <w:name w:val="Box - Chart text wide - Heading"/>
    <w:uiPriority w:val="3"/>
    <w:qFormat/>
    <w:rsid w:val="005C0A74"/>
    <w:pPr>
      <w:keepNext/>
      <w:keepLines/>
      <w:pBdr>
        <w:bottom w:val="single" w:sz="4" w:space="5" w:color="003299"/>
      </w:pBdr>
      <w:spacing w:after="0"/>
      <w:ind w:left="-2495" w:right="1247"/>
      <w:contextualSpacing/>
    </w:pPr>
    <w:rPr>
      <w:rFonts w:cs="Sendnya"/>
      <w:color w:val="003299"/>
      <w:kern w:val="19"/>
      <w:szCs w:val="22"/>
    </w:rPr>
  </w:style>
  <w:style w:type="paragraph" w:customStyle="1" w:styleId="Box-Charttextwide-Picture">
    <w:name w:val="Box - Chart text wide - Picture"/>
    <w:basedOn w:val="Normal"/>
    <w:uiPriority w:val="3"/>
    <w:qFormat/>
    <w:rsid w:val="00CA4F28"/>
    <w:pPr>
      <w:keepNext/>
      <w:keepLines/>
      <w:framePr w:w="8335" w:wrap="around" w:vAnchor="text" w:hAnchor="page" w:x="1163" w:y="1"/>
      <w:spacing w:before="60" w:after="60" w:line="160" w:lineRule="atLeast"/>
      <w:ind w:left="57" w:right="57"/>
    </w:pPr>
    <w:rPr>
      <w:rFonts w:cs="Sendnya"/>
      <w:bCs/>
      <w:kern w:val="12"/>
      <w:sz w:val="12"/>
      <w:szCs w:val="22"/>
    </w:rPr>
  </w:style>
  <w:style w:type="paragraph" w:customStyle="1" w:styleId="Box-Charttextwide-SourcesNotes">
    <w:name w:val="Box - Chart text wide - Sources &amp; Notes"/>
    <w:uiPriority w:val="3"/>
    <w:qFormat/>
    <w:rsid w:val="00BB5870"/>
    <w:pPr>
      <w:pBdr>
        <w:top w:val="single" w:sz="4" w:space="5" w:color="003299"/>
      </w:pBdr>
      <w:suppressAutoHyphens/>
      <w:spacing w:before="100" w:line="144" w:lineRule="atLeast"/>
      <w:ind w:left="-2495" w:right="1247"/>
      <w:contextualSpacing/>
    </w:pPr>
    <w:rPr>
      <w:rFonts w:cs="Sendnya"/>
      <w:color w:val="003299"/>
      <w:kern w:val="12"/>
      <w:sz w:val="12"/>
      <w:szCs w:val="22"/>
    </w:rPr>
  </w:style>
  <w:style w:type="paragraph" w:customStyle="1" w:styleId="Box-Charttextwide-Informativetitle">
    <w:name w:val="Box - Chart text wide - Informative title"/>
    <w:uiPriority w:val="3"/>
    <w:qFormat/>
    <w:rsid w:val="003A6EFE"/>
    <w:pPr>
      <w:keepNext/>
      <w:keepLines/>
      <w:tabs>
        <w:tab w:val="left" w:pos="1814"/>
      </w:tabs>
      <w:spacing w:before="100" w:after="100" w:line="192" w:lineRule="atLeast"/>
      <w:ind w:left="-2495" w:right="1247"/>
    </w:pPr>
    <w:rPr>
      <w:rFonts w:ascii="Arial Bold" w:cs="Sendnya"/>
      <w:b/>
      <w:color w:val="5C5C5C"/>
      <w:kern w:val="16"/>
      <w:sz w:val="16"/>
      <w:szCs w:val="22"/>
    </w:rPr>
  </w:style>
  <w:style w:type="paragraph" w:customStyle="1" w:styleId="Box-ListBullet1">
    <w:name w:val="Box - List Bullet 1"/>
    <w:uiPriority w:val="3"/>
    <w:qFormat/>
    <w:rsid w:val="00BB5870"/>
    <w:pPr>
      <w:keepLines/>
      <w:numPr>
        <w:numId w:val="4"/>
      </w:numPr>
      <w:ind w:right="1247"/>
    </w:pPr>
    <w:rPr>
      <w:rFonts w:cs="Sendnya"/>
      <w:color w:val="003299"/>
      <w:kern w:val="19"/>
      <w:szCs w:val="22"/>
    </w:rPr>
  </w:style>
  <w:style w:type="paragraph" w:customStyle="1" w:styleId="Box-ListBullet2">
    <w:name w:val="Box - List Bullet 2"/>
    <w:uiPriority w:val="3"/>
    <w:qFormat/>
    <w:rsid w:val="00BB5870"/>
    <w:pPr>
      <w:keepLines/>
      <w:numPr>
        <w:ilvl w:val="1"/>
        <w:numId w:val="4"/>
      </w:numPr>
      <w:ind w:right="1247"/>
    </w:pPr>
    <w:rPr>
      <w:rFonts w:cs="Sendnya"/>
      <w:color w:val="003299"/>
      <w:kern w:val="19"/>
      <w:szCs w:val="22"/>
    </w:rPr>
  </w:style>
  <w:style w:type="paragraph" w:customStyle="1" w:styleId="Box-ListNumber1">
    <w:name w:val="Box - List Number 1"/>
    <w:uiPriority w:val="3"/>
    <w:qFormat/>
    <w:rsid w:val="00BB5870"/>
    <w:pPr>
      <w:keepLines/>
      <w:numPr>
        <w:numId w:val="5"/>
      </w:numPr>
      <w:ind w:right="1247"/>
    </w:pPr>
    <w:rPr>
      <w:rFonts w:cs="Sendnya"/>
      <w:color w:val="003299"/>
      <w:kern w:val="19"/>
      <w:szCs w:val="22"/>
    </w:rPr>
  </w:style>
  <w:style w:type="paragraph" w:customStyle="1" w:styleId="Box-ListNumber2">
    <w:name w:val="Box - List Number 2"/>
    <w:uiPriority w:val="3"/>
    <w:qFormat/>
    <w:rsid w:val="00BB5870"/>
    <w:pPr>
      <w:keepLines/>
      <w:numPr>
        <w:ilvl w:val="1"/>
        <w:numId w:val="5"/>
      </w:numPr>
      <w:ind w:right="1247"/>
    </w:pPr>
    <w:rPr>
      <w:rFonts w:cs="Sendnya"/>
      <w:color w:val="003299"/>
      <w:kern w:val="19"/>
      <w:szCs w:val="22"/>
    </w:rPr>
  </w:style>
  <w:style w:type="paragraph" w:styleId="CommentText">
    <w:name w:val="annotation text"/>
    <w:link w:val="CommentTextChar"/>
    <w:uiPriority w:val="99"/>
    <w:rsid w:val="00BB5870"/>
    <w:pPr>
      <w:spacing w:line="288" w:lineRule="auto"/>
    </w:pPr>
    <w:rPr>
      <w:kern w:val="2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5870"/>
    <w:rPr>
      <w:kern w:val="20"/>
      <w:sz w:val="20"/>
      <w:szCs w:val="20"/>
    </w:rPr>
  </w:style>
  <w:style w:type="numbering" w:customStyle="1" w:styleId="ECBBoxBulletlist">
    <w:name w:val="ECB Box Bullet list"/>
    <w:uiPriority w:val="99"/>
    <w:rsid w:val="00BB5870"/>
    <w:pPr>
      <w:numPr>
        <w:numId w:val="4"/>
      </w:numPr>
    </w:pPr>
  </w:style>
  <w:style w:type="numbering" w:customStyle="1" w:styleId="ECBBoxListNumber">
    <w:name w:val="ECB Box List Number"/>
    <w:uiPriority w:val="99"/>
    <w:rsid w:val="00BB5870"/>
    <w:pPr>
      <w:numPr>
        <w:numId w:val="5"/>
      </w:numPr>
    </w:pPr>
  </w:style>
  <w:style w:type="character" w:styleId="CommentReference">
    <w:name w:val="annotation reference"/>
    <w:basedOn w:val="DefaultParagraphFont"/>
    <w:uiPriority w:val="99"/>
    <w:semiHidden/>
    <w:locked/>
    <w:rsid w:val="00E877F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E877FF"/>
    <w:pPr>
      <w:ind w:left="2495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58E"/>
    <w:rPr>
      <w:b/>
      <w:bCs/>
      <w:kern w:val="20"/>
      <w:sz w:val="20"/>
      <w:szCs w:val="20"/>
    </w:rPr>
  </w:style>
  <w:style w:type="paragraph" w:customStyle="1" w:styleId="Publicationdate">
    <w:name w:val="Publication date"/>
    <w:uiPriority w:val="5"/>
    <w:semiHidden/>
    <w:rsid w:val="00C714DA"/>
    <w:pPr>
      <w:framePr w:w="6322" w:h="567" w:hRule="exact" w:wrap="around" w:vAnchor="page" w:hAnchor="page" w:x="5586" w:y="10020"/>
      <w:spacing w:before="120" w:after="0" w:line="240" w:lineRule="auto"/>
      <w:ind w:left="227"/>
    </w:pPr>
    <w:rPr>
      <w:rFonts w:cs="Sendnya"/>
      <w:b/>
      <w:color w:val="FFFFFF"/>
      <w:kern w:val="28"/>
      <w:sz w:val="28"/>
      <w:szCs w:val="22"/>
    </w:rPr>
  </w:style>
  <w:style w:type="character" w:customStyle="1" w:styleId="CambriaMath">
    <w:name w:val="Cambria Math"/>
    <w:uiPriority w:val="5"/>
    <w:semiHidden/>
    <w:rsid w:val="00BB5870"/>
    <w:rPr>
      <w:rFonts w:ascii="Cambria Math" w:hAnsi="Cambria Math"/>
    </w:rPr>
  </w:style>
  <w:style w:type="character" w:styleId="FollowedHyperlink">
    <w:name w:val="FollowedHyperlink"/>
    <w:uiPriority w:val="6"/>
    <w:semiHidden/>
    <w:rsid w:val="00BB5870"/>
    <w:rPr>
      <w:color w:val="8139C6"/>
      <w:u w:val="none"/>
    </w:rPr>
  </w:style>
  <w:style w:type="table" w:customStyle="1" w:styleId="Abbreviations">
    <w:name w:val="Abbreviations"/>
    <w:basedOn w:val="TableNormal"/>
    <w:uiPriority w:val="99"/>
    <w:rsid w:val="00BB5870"/>
    <w:pPr>
      <w:keepLines/>
      <w:spacing w:before="0" w:after="0" w:line="192" w:lineRule="atLeast"/>
    </w:pPr>
    <w:rPr>
      <w:kern w:val="16"/>
      <w:sz w:val="16"/>
      <w:szCs w:val="20"/>
    </w:rPr>
    <w:tblPr>
      <w:tblCellMar>
        <w:top w:w="28" w:type="dxa"/>
        <w:left w:w="57" w:type="dxa"/>
        <w:bottom w:w="57" w:type="dxa"/>
        <w:right w:w="57" w:type="dxa"/>
      </w:tblCellMar>
    </w:tblPr>
  </w:style>
  <w:style w:type="paragraph" w:customStyle="1" w:styleId="Logo">
    <w:name w:val="Logo"/>
    <w:uiPriority w:val="5"/>
    <w:semiHidden/>
    <w:rsid w:val="00DA23A1"/>
    <w:pPr>
      <w:framePr w:w="3062" w:wrap="around" w:vAnchor="page" w:hAnchor="page" w:x="285" w:y="568"/>
      <w:spacing w:before="0" w:after="0" w:line="240" w:lineRule="auto"/>
      <w:jc w:val="center"/>
    </w:pPr>
    <w:rPr>
      <w:rFonts w:cs="Sendnya"/>
      <w:bCs/>
      <w:color w:val="000000"/>
      <w:sz w:val="16"/>
      <w:szCs w:val="32"/>
    </w:rPr>
  </w:style>
  <w:style w:type="paragraph" w:customStyle="1" w:styleId="PageNumbers">
    <w:name w:val="Page Numbers"/>
    <w:uiPriority w:val="5"/>
    <w:semiHidden/>
    <w:qFormat/>
    <w:rsid w:val="00BB5870"/>
    <w:pPr>
      <w:framePr w:wrap="around" w:vAnchor="page" w:hAnchor="margin" w:xAlign="right" w:yAlign="bottom"/>
      <w:spacing w:before="0" w:after="420" w:line="240" w:lineRule="auto"/>
    </w:pPr>
    <w:rPr>
      <w:rFonts w:cs="Sendnya"/>
      <w:snapToGrid w:val="0"/>
      <w:color w:val="003299"/>
      <w:kern w:val="20"/>
      <w:sz w:val="20"/>
      <w:szCs w:val="16"/>
    </w:rPr>
  </w:style>
  <w:style w:type="character" w:customStyle="1" w:styleId="CambriaMathItalics">
    <w:name w:val="Cambria Math Italics"/>
    <w:uiPriority w:val="5"/>
    <w:semiHidden/>
    <w:rsid w:val="00BB5870"/>
    <w:rPr>
      <w:rFonts w:ascii="Cambria Math" w:hAnsi="Cambria Math"/>
      <w:i/>
      <w:iCs/>
    </w:rPr>
  </w:style>
  <w:style w:type="table" w:customStyle="1" w:styleId="Tablecentrealigned">
    <w:name w:val="Table centre aligned"/>
    <w:basedOn w:val="TableNormal"/>
    <w:uiPriority w:val="99"/>
    <w:rsid w:val="00006C71"/>
    <w:pPr>
      <w:spacing w:before="60" w:after="60" w:line="160" w:lineRule="atLeast"/>
      <w:ind w:left="57" w:right="57"/>
      <w:jc w:val="center"/>
    </w:pPr>
    <w:rPr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  <w:vAlign w:val="bottom"/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  <w:shd w:val="clear" w:color="auto" w:fill="auto"/>
      </w:tcPr>
    </w:tblStylePr>
    <w:tblStylePr w:type="firstCol">
      <w:pPr>
        <w:jc w:val="left"/>
      </w:pPr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Tableleftaligned">
    <w:name w:val="Table left aligned"/>
    <w:basedOn w:val="TableNormal"/>
    <w:uiPriority w:val="99"/>
    <w:rsid w:val="00786D96"/>
    <w:pPr>
      <w:keepLines/>
      <w:spacing w:before="60" w:after="60" w:line="160" w:lineRule="atLeast"/>
      <w:ind w:left="57" w:right="57"/>
    </w:pPr>
    <w:rPr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pPr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  <w:vAlign w:val="bottom"/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firstCol"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rightaligned">
    <w:name w:val="Table right aligned"/>
    <w:basedOn w:val="TableNormal"/>
    <w:uiPriority w:val="99"/>
    <w:rsid w:val="00786D96"/>
    <w:pPr>
      <w:keepLines/>
      <w:spacing w:before="60" w:after="60" w:line="160" w:lineRule="atLeast"/>
      <w:ind w:left="57" w:right="57"/>
      <w:jc w:val="right"/>
    </w:pPr>
    <w:rPr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pPr>
        <w:wordWrap/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firstCol">
      <w:pPr>
        <w:jc w:val="left"/>
      </w:pPr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ghtShading">
    <w:name w:val="Light Shading"/>
    <w:basedOn w:val="TableNormal"/>
    <w:uiPriority w:val="60"/>
    <w:locked/>
    <w:rsid w:val="00CE4F0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B45"/>
    <w:rPr>
      <w:rFonts w:ascii="Tahoma" w:hAnsi="Tahoma" w:cs="Tahoma"/>
      <w:kern w:val="19"/>
      <w:sz w:val="16"/>
      <w:szCs w:val="16"/>
    </w:rPr>
  </w:style>
  <w:style w:type="paragraph" w:styleId="ListBullet4">
    <w:name w:val="List Bullet 4"/>
    <w:basedOn w:val="Normal"/>
    <w:uiPriority w:val="99"/>
    <w:semiHidden/>
    <w:locked/>
    <w:rsid w:val="00FE3FC5"/>
    <w:pPr>
      <w:numPr>
        <w:numId w:val="12"/>
      </w:numPr>
      <w:contextualSpacing/>
    </w:pPr>
  </w:style>
  <w:style w:type="character" w:customStyle="1" w:styleId="AuthorsChar">
    <w:name w:val="Authors Char"/>
    <w:basedOn w:val="DefaultParagraphFont"/>
    <w:link w:val="Authors"/>
    <w:uiPriority w:val="5"/>
    <w:semiHidden/>
    <w:rsid w:val="002B03BC"/>
    <w:rPr>
      <w:b/>
      <w:color w:val="5C5C5C"/>
      <w:kern w:val="19"/>
      <w:sz w:val="21"/>
    </w:rPr>
  </w:style>
  <w:style w:type="paragraph" w:customStyle="1" w:styleId="Authors-titlepage">
    <w:name w:val="Authors - titlepage"/>
    <w:uiPriority w:val="5"/>
    <w:semiHidden/>
    <w:rsid w:val="009D6CE1"/>
    <w:pPr>
      <w:framePr w:w="4224" w:hSpace="227" w:wrap="around" w:vAnchor="text" w:hAnchor="page" w:x="1135" w:y="1"/>
      <w:spacing w:before="60" w:after="0" w:line="240" w:lineRule="atLeast"/>
      <w:contextualSpacing/>
      <w:jc w:val="right"/>
    </w:pPr>
    <w:rPr>
      <w:rFonts w:cs="Sendnya"/>
      <w:color w:val="003299"/>
      <w:kern w:val="20"/>
      <w:sz w:val="20"/>
      <w:szCs w:val="22"/>
    </w:rPr>
  </w:style>
  <w:style w:type="paragraph" w:customStyle="1" w:styleId="Box-Authors">
    <w:name w:val="Box - Authors"/>
    <w:uiPriority w:val="3"/>
    <w:qFormat/>
    <w:rsid w:val="009D6CE1"/>
    <w:pPr>
      <w:keepNext/>
      <w:keepLines/>
      <w:tabs>
        <w:tab w:val="left" w:pos="1814"/>
      </w:tabs>
      <w:spacing w:before="100" w:after="100" w:line="192" w:lineRule="atLeast"/>
      <w:ind w:left="-2495" w:right="1247"/>
    </w:pPr>
    <w:rPr>
      <w:rFonts w:ascii="Arial Bold" w:cs="Sendnya"/>
      <w:b/>
      <w:color w:val="5C5C5C"/>
      <w:kern w:val="16"/>
      <w:sz w:val="16"/>
      <w:szCs w:val="22"/>
    </w:rPr>
  </w:style>
  <w:style w:type="character" w:customStyle="1" w:styleId="ListParagraphChar">
    <w:name w:val="List Paragraph Char"/>
    <w:link w:val="ListParagraph"/>
    <w:uiPriority w:val="34"/>
    <w:rsid w:val="005C6268"/>
    <w:rPr>
      <w:rFonts w:ascii="Calibri" w:eastAsia="Calibri" w:hAnsi="Calibri"/>
      <w:kern w:val="19"/>
      <w:sz w:val="22"/>
      <w:lang w:eastAsia="en-US"/>
    </w:rPr>
  </w:style>
  <w:style w:type="paragraph" w:customStyle="1" w:styleId="Default">
    <w:name w:val="Default"/>
    <w:rsid w:val="005C6268"/>
    <w:pPr>
      <w:autoSpaceDE w:val="0"/>
      <w:autoSpaceDN w:val="0"/>
      <w:adjustRightInd w:val="0"/>
      <w:spacing w:before="0" w:after="0" w:line="240" w:lineRule="auto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ECBBodyText">
    <w:name w:val="ECB Body Text"/>
    <w:basedOn w:val="Normal"/>
    <w:link w:val="ECBBodyTextChar"/>
    <w:qFormat/>
    <w:rsid w:val="005C6268"/>
    <w:pPr>
      <w:spacing w:before="0" w:line="240" w:lineRule="atLeast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ECBBodyTextChar">
    <w:name w:val="ECB Body Text Char"/>
    <w:link w:val="ECBBodyText"/>
    <w:rsid w:val="005C626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po@ecb.europa.e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uthorisation@ecb.europa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ps.europa.eu/data-protection/our-role-supervisor/complaints_en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ur-lex.europa.eu/legal-content/FR/TXT/?uri=CELEX%3A32014R0468" TargetMode="External"/><Relationship Id="rId2" Type="http://schemas.openxmlformats.org/officeDocument/2006/relationships/hyperlink" Target="https://eur-lex.europa.eu/legal-content/FR/TXT/?uri=CELEX%3A32018R1725" TargetMode="External"/><Relationship Id="rId1" Type="http://schemas.openxmlformats.org/officeDocument/2006/relationships/hyperlink" Target="https://eur-lex.europa.eu/legal-content/FR/TXT/?&amp;uri=CELEX:32013R1024" TargetMode="External"/><Relationship Id="rId5" Type="http://schemas.openxmlformats.org/officeDocument/2006/relationships/hyperlink" Target="https://www.bankingsupervision.europa.eu/banking/tasks/authorisation/shared/pdf/Fit_and_proper_questionnaire_20161114.pdf" TargetMode="External"/><Relationship Id="rId4" Type="http://schemas.openxmlformats.org/officeDocument/2006/relationships/hyperlink" Target="https://eur-lex.europa.eu/LexUriServ/LexUriServ.do?uri=OJ:L:2013:176:0338:0436:FR: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%20Users\ECB%20Templates\Publications_short%20document_report%20ECB%20SSM.dotx" TargetMode="External"/></Relationships>
</file>

<file path=word/theme/theme1.xml><?xml version="1.0" encoding="utf-8"?>
<a:theme xmlns:a="http://schemas.openxmlformats.org/drawingml/2006/main" name="Office Theme">
  <a:themeElements>
    <a:clrScheme name="ECB colours">
      <a:dk1>
        <a:sysClr val="windowText" lastClr="000000"/>
      </a:dk1>
      <a:lt1>
        <a:sysClr val="window" lastClr="FFFFFF"/>
      </a:lt1>
      <a:dk2>
        <a:srgbClr val="1D3641"/>
      </a:dk2>
      <a:lt2>
        <a:srgbClr val="DFE6D0"/>
      </a:lt2>
      <a:accent1>
        <a:srgbClr val="003894"/>
      </a:accent1>
      <a:accent2>
        <a:srgbClr val="00B1EA"/>
      </a:accent2>
      <a:accent3>
        <a:srgbClr val="FFB400"/>
      </a:accent3>
      <a:accent4>
        <a:srgbClr val="FF4B00"/>
      </a:accent4>
      <a:accent5>
        <a:srgbClr val="007816"/>
      </a:accent5>
      <a:accent6>
        <a:srgbClr val="65B800"/>
      </a:accent6>
      <a:hlink>
        <a:srgbClr val="00B1EA"/>
      </a:hlink>
      <a:folHlink>
        <a:srgbClr val="8139C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942B891C1CE49BDD4DB7842F2B447" ma:contentTypeVersion="2" ma:contentTypeDescription="Create a new document." ma:contentTypeScope="" ma:versionID="77d08a28ad58d8d807b53a0d040d74ad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62086-0709-4C39-8A32-2B24FD64F5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54363C-0EFC-448C-ACA6-8C117B5073CD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BA0D5CA9-28D4-413A-BF27-C25839BE1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D04760-35CD-420E-9FD4-4F91FEF80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Publications_short document_report ECB SSM.dotx</Template>
  <TotalTime>15</TotalTime>
  <Pages>1</Pages>
  <Words>1577</Words>
  <Characters>8675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>Fit and proper questionnaire</vt:lpstr>
      <vt:lpstr>Déclaration de protection de la vie privée concernant le traitement des données </vt:lpstr>
      <vt:lpstr>    Cadre juridique de protection des données applicable à la Banque centrale europé</vt:lpstr>
      <vt:lpstr>    La Banque centrale européenne en tant que responsable du traitement procédant à </vt:lpstr>
      <vt:lpstr>    Objets du traitement des données à caractère personnel par la Banque centrale eu</vt:lpstr>
      <vt:lpstr>    Licéité des opérations de traitement des données de la Banque centrale européenn</vt:lpstr>
      <vt:lpstr>    Catégories de données à caractère personnel traitées par la Banque centrale euro</vt:lpstr>
      <vt:lpstr>    Accès aux données à caractère personnel collectées et traitées par la Banque cen</vt:lpstr>
      <vt:lpstr>    Transferts de données à caractère personnel vers des pays tiers</vt:lpstr>
      <vt:lpstr>    Délai de conservation</vt:lpstr>
      <vt:lpstr>    Droits de la personne intéressée</vt:lpstr>
      <vt:lpstr>    Informations de contact en cas de questions et de demandes</vt:lpstr>
      <vt:lpstr>    Plainte auprès du Contrôleur européen de la protection des données</vt:lpstr>
      <vt:lpstr>    Modifications apportées à la présente déclaration de confidentialité</vt:lpstr>
    </vt:vector>
  </TitlesOfParts>
  <Company>European Central Bank</Company>
  <LinksUpToDate>false</LinksUpToDate>
  <CharactersWithSpaces>10232</CharactersWithSpaces>
  <SharedDoc>false</SharedDoc>
  <HLinks>
    <vt:vector size="18" baseType="variant">
      <vt:variant>
        <vt:i4>1245232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_Toc403040349</vt:lpwstr>
      </vt:variant>
      <vt:variant>
        <vt:i4>1245232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_Toc403040348</vt:lpwstr>
      </vt:variant>
      <vt:variant>
        <vt:i4>1245232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_Toc403040347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 and proper questionnaire</dc:title>
  <dc:subject>Revised version (15/05/2019)</dc:subject>
  <dc:creator>European Central Bank</dc:creator>
  <cp:lastModifiedBy>Terrier Catherine</cp:lastModifiedBy>
  <cp:revision>7</cp:revision>
  <cp:lastPrinted>2019-06-25T10:08:00Z</cp:lastPrinted>
  <dcterms:created xsi:type="dcterms:W3CDTF">2019-06-24T09:07:00Z</dcterms:created>
  <dcterms:modified xsi:type="dcterms:W3CDTF">2019-06-25T10:09:00Z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European Central Bank</vt:lpwstr>
  </property>
  <property fmtid="{D5CDD505-2E9C-101B-9397-08002B2CF9AE}" pid="3" name="Publisher website">
    <vt:lpwstr>http://www.ecb.europa.eu</vt:lpwstr>
  </property>
  <property fmtid="{D5CDD505-2E9C-101B-9397-08002B2CF9AE}" pid="4" name="Title">
    <vt:lpwstr>Fit and proper questionnaire</vt:lpwstr>
  </property>
  <property fmtid="{D5CDD505-2E9C-101B-9397-08002B2CF9AE}" pid="5" name="ContentTypeId">
    <vt:lpwstr>0x010100553942B891C1CE49BDD4DB7842F2B447</vt:lpwstr>
  </property>
</Properties>
</file>