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D13BDC" w:rsidRPr="008D3A76" w14:paraId="5C7AE14F" w14:textId="77777777" w:rsidTr="6F12CFCD">
        <w:trPr>
          <w:cantSplit/>
          <w:trHeight w:hRule="exact" w:val="1077"/>
        </w:trPr>
        <w:tc>
          <w:tcPr>
            <w:tcW w:w="6067" w:type="dxa"/>
            <w:vAlign w:val="center"/>
          </w:tcPr>
          <w:p w14:paraId="4D538B1B" w14:textId="77777777" w:rsidR="00CA280B" w:rsidRPr="00226E3E" w:rsidRDefault="00CA280B" w:rsidP="00CA280B">
            <w:pPr>
              <w:pStyle w:val="AdresseAdres"/>
              <w:spacing w:before="300"/>
              <w:rPr>
                <w:noProof w:val="0"/>
                <w:lang w:val="fr-BE"/>
              </w:rPr>
            </w:pPr>
            <w:r w:rsidRPr="00226E3E">
              <w:rPr>
                <w:noProof w:val="0"/>
                <w:lang w:val="fr-BE"/>
              </w:rPr>
              <w:t>Boulevard de Berlaimont 14 – BE-1000 Brussels</w:t>
            </w:r>
          </w:p>
          <w:p w14:paraId="190C7343" w14:textId="4C2D0489" w:rsidR="00CA280B" w:rsidRPr="00226E3E" w:rsidRDefault="00CA280B" w:rsidP="00CA280B">
            <w:pPr>
              <w:pStyle w:val="AdresseAdres"/>
              <w:rPr>
                <w:noProof w:val="0"/>
                <w:lang w:val="fr-BE"/>
              </w:rPr>
            </w:pPr>
            <w:r w:rsidRPr="6F12CFCD">
              <w:rPr>
                <w:noProof w:val="0"/>
                <w:lang w:val="fr-BE"/>
              </w:rPr>
              <w:t xml:space="preserve">Phone +32 2 221 </w:t>
            </w:r>
            <w:r w:rsidR="0037111B" w:rsidRPr="6F12CFCD">
              <w:rPr>
                <w:noProof w:val="0"/>
                <w:lang w:val="fr-BE"/>
              </w:rPr>
              <w:t xml:space="preserve">44 74 </w:t>
            </w:r>
            <w:r w:rsidRPr="6F12CFCD">
              <w:rPr>
                <w:noProof w:val="0"/>
                <w:lang w:val="fr-BE"/>
              </w:rPr>
              <w:t xml:space="preserve">– fax +32 2 221 31 </w:t>
            </w:r>
            <w:r w:rsidR="0037111B" w:rsidRPr="6F12CFCD">
              <w:rPr>
                <w:noProof w:val="0"/>
                <w:lang w:val="fr-BE"/>
              </w:rPr>
              <w:t>36</w:t>
            </w:r>
          </w:p>
          <w:p w14:paraId="0DAE8CC3" w14:textId="77777777" w:rsidR="00CA280B" w:rsidRPr="008D3A76" w:rsidRDefault="00CA280B" w:rsidP="00CA280B">
            <w:pPr>
              <w:pStyle w:val="AdresseAdres"/>
              <w:rPr>
                <w:noProof w:val="0"/>
                <w:lang w:val="en-US"/>
              </w:rPr>
            </w:pPr>
            <w:r w:rsidRPr="008D3A76">
              <w:rPr>
                <w:noProof w:val="0"/>
                <w:lang w:val="en-US"/>
              </w:rPr>
              <w:t>Company number: 0203.201.340</w:t>
            </w:r>
          </w:p>
          <w:p w14:paraId="7C5AC9E3" w14:textId="77777777" w:rsidR="00CA280B" w:rsidRPr="008D3A76" w:rsidRDefault="00CA280B" w:rsidP="00CA280B">
            <w:pPr>
              <w:pStyle w:val="AdresseAdres"/>
              <w:rPr>
                <w:noProof w:val="0"/>
                <w:lang w:val="en-US"/>
              </w:rPr>
            </w:pPr>
            <w:r w:rsidRPr="008D3A76">
              <w:rPr>
                <w:noProof w:val="0"/>
                <w:lang w:val="en-US"/>
              </w:rPr>
              <w:t>RPM (Trade Register) Brussels</w:t>
            </w:r>
          </w:p>
          <w:p w14:paraId="41FFFA62" w14:textId="77777777" w:rsidR="00D13BDC" w:rsidRPr="008D3A76" w:rsidRDefault="00CA280B" w:rsidP="00CA280B">
            <w:pPr>
              <w:pStyle w:val="AdresseAdres"/>
              <w:rPr>
                <w:noProof w:val="0"/>
                <w:lang w:val="en-US"/>
              </w:rPr>
            </w:pPr>
            <w:r w:rsidRPr="008D3A76">
              <w:rPr>
                <w:noProof w:val="0"/>
                <w:lang w:val="en-US"/>
              </w:rPr>
              <w:t>www.nbb.be</w:t>
            </w:r>
          </w:p>
        </w:tc>
        <w:tc>
          <w:tcPr>
            <w:tcW w:w="3856" w:type="dxa"/>
            <w:shd w:val="clear" w:color="auto" w:fill="auto"/>
            <w:vAlign w:val="center"/>
          </w:tcPr>
          <w:p w14:paraId="14355141" w14:textId="77777777" w:rsidR="00D13BDC" w:rsidRPr="008D3A76" w:rsidRDefault="00D13BDC" w:rsidP="00682F2F">
            <w:pPr>
              <w:spacing w:line="260" w:lineRule="atLeast"/>
              <w:rPr>
                <w:sz w:val="16"/>
                <w:szCs w:val="16"/>
                <w:lang w:val="en-US"/>
              </w:rPr>
            </w:pPr>
            <w:r w:rsidRPr="008D3A76">
              <w:rPr>
                <w:noProof/>
                <w:sz w:val="16"/>
                <w:szCs w:val="16"/>
                <w:lang w:val="en-US"/>
              </w:rPr>
              <w:drawing>
                <wp:inline distT="0" distB="0" distL="0" distR="0" wp14:anchorId="268ED90C" wp14:editId="51295F79">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D13BDC" w:rsidRPr="008D3A76" w14:paraId="50DC02C5" w14:textId="77777777" w:rsidTr="6F12CFCD">
        <w:trPr>
          <w:cantSplit/>
          <w:trHeight w:hRule="exact" w:val="850"/>
        </w:trPr>
        <w:tc>
          <w:tcPr>
            <w:tcW w:w="6067" w:type="dxa"/>
            <w:shd w:val="clear" w:color="auto" w:fill="auto"/>
          </w:tcPr>
          <w:p w14:paraId="71228477" w14:textId="77777777" w:rsidR="00D13BDC" w:rsidRPr="008D3A76" w:rsidRDefault="00D13BDC" w:rsidP="00682F2F">
            <w:pPr>
              <w:pStyle w:val="AdresseAdres"/>
              <w:tabs>
                <w:tab w:val="center" w:pos="4678"/>
                <w:tab w:val="right" w:pos="9356"/>
              </w:tabs>
              <w:spacing w:line="260" w:lineRule="atLeast"/>
              <w:rPr>
                <w:noProof w:val="0"/>
                <w:sz w:val="16"/>
                <w:lang w:val="en-US"/>
              </w:rPr>
            </w:pPr>
          </w:p>
        </w:tc>
        <w:tc>
          <w:tcPr>
            <w:tcW w:w="3856" w:type="dxa"/>
            <w:shd w:val="clear" w:color="auto" w:fill="auto"/>
            <w:vAlign w:val="bottom"/>
          </w:tcPr>
          <w:p w14:paraId="5440B13B" w14:textId="77777777" w:rsidR="00D13BDC" w:rsidRPr="008D3A76" w:rsidRDefault="00D13BDC" w:rsidP="004E6FD5">
            <w:pPr>
              <w:pStyle w:val="TitreTitel"/>
              <w:keepLines/>
              <w:tabs>
                <w:tab w:val="left" w:pos="284"/>
                <w:tab w:val="right" w:leader="dot" w:pos="9639"/>
              </w:tabs>
              <w:spacing w:after="170"/>
              <w:ind w:left="397" w:right="567" w:hanging="397"/>
              <w:rPr>
                <w:noProof w:val="0"/>
                <w:lang w:val="en-US"/>
              </w:rPr>
            </w:pPr>
          </w:p>
        </w:tc>
      </w:tr>
      <w:tr w:rsidR="00D13BDC" w:rsidRPr="008D3A76" w14:paraId="6AB4AF22" w14:textId="77777777" w:rsidTr="6F12CFCD">
        <w:trPr>
          <w:cantSplit/>
          <w:trHeight w:hRule="exact" w:val="794"/>
        </w:trPr>
        <w:tc>
          <w:tcPr>
            <w:tcW w:w="6067" w:type="dxa"/>
            <w:shd w:val="clear" w:color="auto" w:fill="auto"/>
          </w:tcPr>
          <w:p w14:paraId="23630D58" w14:textId="77777777" w:rsidR="00D13BDC" w:rsidRPr="008D3A76" w:rsidRDefault="00D13BDC" w:rsidP="00C67902">
            <w:pPr>
              <w:pStyle w:val="AdresseAdres"/>
              <w:rPr>
                <w:noProof w:val="0"/>
                <w:lang w:val="en-US"/>
              </w:rPr>
            </w:pPr>
          </w:p>
        </w:tc>
        <w:tc>
          <w:tcPr>
            <w:tcW w:w="3856" w:type="dxa"/>
          </w:tcPr>
          <w:p w14:paraId="2A03B147" w14:textId="184D73FA" w:rsidR="00D13BDC" w:rsidRPr="008D3A76" w:rsidRDefault="00D13BDC" w:rsidP="00A83284">
            <w:pPr>
              <w:spacing w:line="260" w:lineRule="atLeast"/>
              <w:rPr>
                <w:lang w:val="en-US"/>
              </w:rPr>
            </w:pPr>
            <w:r w:rsidRPr="008D3A76">
              <w:rPr>
                <w:lang w:val="en-US"/>
              </w:rPr>
              <w:t>Bru</w:t>
            </w:r>
            <w:r w:rsidR="00CA280B" w:rsidRPr="008D3A76">
              <w:rPr>
                <w:lang w:val="en-US"/>
              </w:rPr>
              <w:t>ss</w:t>
            </w:r>
            <w:r w:rsidRPr="008D3A76">
              <w:rPr>
                <w:lang w:val="en-US"/>
              </w:rPr>
              <w:t>els,</w:t>
            </w:r>
            <w:r w:rsidR="00A670A5">
              <w:rPr>
                <w:lang w:val="en-US"/>
              </w:rPr>
              <w:t xml:space="preserve"> 17</w:t>
            </w:r>
            <w:r w:rsidR="00A670A5" w:rsidRPr="00A670A5">
              <w:rPr>
                <w:vertAlign w:val="superscript"/>
                <w:lang w:val="en-US"/>
              </w:rPr>
              <w:t>th</w:t>
            </w:r>
            <w:r w:rsidR="00A670A5">
              <w:rPr>
                <w:lang w:val="en-US"/>
              </w:rPr>
              <w:t xml:space="preserve"> March 2021</w:t>
            </w:r>
          </w:p>
        </w:tc>
      </w:tr>
      <w:tr w:rsidR="00D13BDC" w:rsidRPr="008D3A76" w14:paraId="594D7232" w14:textId="77777777" w:rsidTr="6F12CFCD">
        <w:trPr>
          <w:cantSplit/>
          <w:trHeight w:hRule="exact" w:val="340"/>
        </w:trPr>
        <w:tc>
          <w:tcPr>
            <w:tcW w:w="9923" w:type="dxa"/>
            <w:gridSpan w:val="2"/>
            <w:shd w:val="clear" w:color="auto" w:fill="auto"/>
            <w:vAlign w:val="center"/>
          </w:tcPr>
          <w:p w14:paraId="30AF89FD" w14:textId="26E8C6F0" w:rsidR="00D13BDC" w:rsidRPr="008D3A76" w:rsidRDefault="008B6E5E" w:rsidP="00A83284">
            <w:pPr>
              <w:pStyle w:val="AnnexeBijlage"/>
              <w:rPr>
                <w:noProof w:val="0"/>
                <w:lang w:val="en-US"/>
              </w:rPr>
            </w:pPr>
            <w:r w:rsidRPr="008D3A76">
              <w:rPr>
                <w:noProof w:val="0"/>
                <w:lang w:val="en-US"/>
              </w:rPr>
              <w:t>Annex 1 to circular NBB_</w:t>
            </w:r>
            <w:r w:rsidR="00C279D7" w:rsidRPr="008D3A76">
              <w:rPr>
                <w:noProof w:val="0"/>
                <w:lang w:val="en-US"/>
              </w:rPr>
              <w:t>20</w:t>
            </w:r>
            <w:r w:rsidR="00CA1596">
              <w:rPr>
                <w:noProof w:val="0"/>
                <w:lang w:val="en-US"/>
              </w:rPr>
              <w:t>2</w:t>
            </w:r>
            <w:r w:rsidR="00A670A5">
              <w:rPr>
                <w:noProof w:val="0"/>
                <w:lang w:val="en-US"/>
              </w:rPr>
              <w:t>1_006</w:t>
            </w:r>
          </w:p>
        </w:tc>
      </w:tr>
      <w:tr w:rsidR="00D13BDC" w:rsidRPr="008D3A76" w14:paraId="7D0C9A50" w14:textId="77777777" w:rsidTr="6F12CFCD">
        <w:trPr>
          <w:cantSplit/>
          <w:trHeight w:hRule="exact" w:val="1304"/>
        </w:trPr>
        <w:tc>
          <w:tcPr>
            <w:tcW w:w="9923" w:type="dxa"/>
            <w:gridSpan w:val="2"/>
            <w:tcMar>
              <w:top w:w="240" w:type="dxa"/>
            </w:tcMar>
            <w:vAlign w:val="bottom"/>
          </w:tcPr>
          <w:p w14:paraId="0B22C65A" w14:textId="5BB5C940" w:rsidR="00B505EE" w:rsidRPr="008D3A76" w:rsidRDefault="00B505EE" w:rsidP="00D13BDC">
            <w:pPr>
              <w:pStyle w:val="SujetOnderwerp"/>
              <w:rPr>
                <w:noProof w:val="0"/>
                <w:szCs w:val="20"/>
                <w:lang w:val="en-US"/>
              </w:rPr>
            </w:pPr>
            <w:r w:rsidRPr="008D3A76">
              <w:rPr>
                <w:noProof w:val="0"/>
                <w:szCs w:val="20"/>
                <w:lang w:val="en-US"/>
              </w:rPr>
              <w:t>Transfers of portfolios of insurance or reinsurance contracts</w:t>
            </w:r>
            <w:r w:rsidR="00CA1596">
              <w:rPr>
                <w:noProof w:val="0"/>
                <w:szCs w:val="20"/>
                <w:lang w:val="en-US"/>
              </w:rPr>
              <w:t xml:space="preserve">, </w:t>
            </w:r>
            <w:proofErr w:type="gramStart"/>
            <w:r w:rsidR="00CA1596">
              <w:rPr>
                <w:noProof w:val="0"/>
                <w:szCs w:val="20"/>
                <w:lang w:val="en-US"/>
              </w:rPr>
              <w:t>mergers</w:t>
            </w:r>
            <w:proofErr w:type="gramEnd"/>
            <w:r w:rsidR="00CA1596">
              <w:rPr>
                <w:noProof w:val="0"/>
                <w:szCs w:val="20"/>
                <w:lang w:val="en-US"/>
              </w:rPr>
              <w:t xml:space="preserve"> or divisions</w:t>
            </w:r>
          </w:p>
          <w:p w14:paraId="50202A89" w14:textId="16CA1C8E" w:rsidR="00D13BDC" w:rsidRPr="008D3A76" w:rsidRDefault="00B505EE" w:rsidP="00D13BDC">
            <w:pPr>
              <w:pStyle w:val="SujetOnderwerp"/>
              <w:rPr>
                <w:noProof w:val="0"/>
                <w:szCs w:val="20"/>
                <w:lang w:val="en-US"/>
              </w:rPr>
            </w:pPr>
            <w:r w:rsidRPr="008D3A76">
              <w:rPr>
                <w:noProof w:val="0"/>
                <w:szCs w:val="20"/>
                <w:lang w:val="en-US"/>
              </w:rPr>
              <w:t>Notification by the transferring</w:t>
            </w:r>
            <w:r w:rsidR="004C7465">
              <w:rPr>
                <w:noProof w:val="0"/>
                <w:szCs w:val="20"/>
                <w:lang w:val="en-US"/>
              </w:rPr>
              <w:t xml:space="preserve"> / absorbed / divided</w:t>
            </w:r>
            <w:r w:rsidRPr="008D3A76">
              <w:rPr>
                <w:noProof w:val="0"/>
                <w:szCs w:val="20"/>
                <w:lang w:val="en-US"/>
              </w:rPr>
              <w:t xml:space="preserve"> company</w:t>
            </w:r>
          </w:p>
        </w:tc>
      </w:tr>
      <w:tr w:rsidR="00D13BDC" w:rsidRPr="008D3A76" w14:paraId="0CD3E412" w14:textId="77777777" w:rsidTr="6F12CFCD">
        <w:trPr>
          <w:cantSplit/>
          <w:trHeight w:hRule="exact" w:val="397"/>
        </w:trPr>
        <w:tc>
          <w:tcPr>
            <w:tcW w:w="9923" w:type="dxa"/>
            <w:gridSpan w:val="2"/>
          </w:tcPr>
          <w:p w14:paraId="6788F961" w14:textId="77777777" w:rsidR="00D13BDC" w:rsidRPr="008D3A76" w:rsidRDefault="00D13BDC" w:rsidP="00682F2F">
            <w:pPr>
              <w:spacing w:line="260" w:lineRule="atLeast"/>
              <w:rPr>
                <w:lang w:val="en-US"/>
              </w:rPr>
            </w:pPr>
          </w:p>
        </w:tc>
      </w:tr>
    </w:tbl>
    <w:p w14:paraId="37E1343F" w14:textId="77777777" w:rsidR="008B6E5E" w:rsidRPr="008D3A76" w:rsidRDefault="008B6E5E" w:rsidP="007143B5">
      <w:pPr>
        <w:spacing w:before="240" w:after="120"/>
        <w:rPr>
          <w:sz w:val="22"/>
          <w:szCs w:val="24"/>
          <w:u w:val="single"/>
          <w:lang w:val="en-US"/>
        </w:rPr>
      </w:pPr>
      <w:r w:rsidRPr="008D3A76">
        <w:rPr>
          <w:sz w:val="22"/>
          <w:szCs w:val="24"/>
          <w:u w:val="single"/>
          <w:lang w:val="en-US"/>
        </w:rPr>
        <w:t>Scope</w:t>
      </w:r>
    </w:p>
    <w:p w14:paraId="559E2715" w14:textId="04D4D70D" w:rsidR="008B6E5E" w:rsidRPr="008D3A76" w:rsidRDefault="008B6E5E" w:rsidP="007143B5">
      <w:pPr>
        <w:pStyle w:val="ListParagraph"/>
        <w:numPr>
          <w:ilvl w:val="0"/>
          <w:numId w:val="32"/>
        </w:numPr>
        <w:spacing w:after="120" w:line="240" w:lineRule="atLeast"/>
        <w:ind w:left="714" w:hanging="357"/>
        <w:contextualSpacing w:val="0"/>
        <w:jc w:val="both"/>
        <w:rPr>
          <w:rFonts w:cs="Arial"/>
          <w:i/>
          <w:sz w:val="22"/>
          <w:lang w:val="en-US"/>
        </w:rPr>
      </w:pPr>
      <w:r w:rsidRPr="008D3A76">
        <w:rPr>
          <w:i/>
          <w:sz w:val="22"/>
          <w:lang w:val="en-US"/>
        </w:rPr>
        <w:t>Insurance and reinsurance companies governed by Belgian law that are subject to the Law of 13 March 2016 on the legal status and supervision of insurance or reinsurance companies (including the insurance companies referred to in Articles 275, 276 and 294 of the aforementioned Law of 13 March 2016)</w:t>
      </w:r>
    </w:p>
    <w:p w14:paraId="2F4E346F" w14:textId="77777777" w:rsidR="008B6E5E" w:rsidRPr="008D3A76" w:rsidRDefault="008B6E5E" w:rsidP="007143B5">
      <w:pPr>
        <w:pStyle w:val="ListParagraph"/>
        <w:numPr>
          <w:ilvl w:val="0"/>
          <w:numId w:val="32"/>
        </w:numPr>
        <w:spacing w:after="120" w:line="260" w:lineRule="atLeast"/>
        <w:ind w:left="714" w:hanging="357"/>
        <w:contextualSpacing w:val="0"/>
        <w:jc w:val="both"/>
        <w:rPr>
          <w:rFonts w:cs="Arial"/>
          <w:i/>
          <w:sz w:val="22"/>
          <w:lang w:val="en-US"/>
        </w:rPr>
      </w:pPr>
      <w:proofErr w:type="spellStart"/>
      <w:r w:rsidRPr="008D3A76">
        <w:rPr>
          <w:i/>
          <w:sz w:val="22"/>
          <w:lang w:val="en-US"/>
        </w:rPr>
        <w:t>Authorised</w:t>
      </w:r>
      <w:proofErr w:type="spellEnd"/>
      <w:r w:rsidRPr="008D3A76">
        <w:rPr>
          <w:i/>
          <w:sz w:val="22"/>
          <w:lang w:val="en-US"/>
        </w:rPr>
        <w:t xml:space="preserve"> branches in Belgium of insurance companies of which the registered office is established in a third country (a country that is not a party to the European Economic Area (EEA) Agreement).</w:t>
      </w:r>
    </w:p>
    <w:p w14:paraId="663E5E10" w14:textId="0390E78C" w:rsidR="008B6E5E" w:rsidRPr="008D3A76" w:rsidRDefault="00D13BDC" w:rsidP="008B6E5E">
      <w:pPr>
        <w:pBdr>
          <w:top w:val="single" w:sz="4" w:space="1" w:color="auto"/>
          <w:left w:val="single" w:sz="4" w:space="4" w:color="auto"/>
          <w:bottom w:val="single" w:sz="4" w:space="1" w:color="auto"/>
          <w:right w:val="single" w:sz="4" w:space="4" w:color="auto"/>
        </w:pBdr>
        <w:rPr>
          <w:i/>
          <w:lang w:val="en-US"/>
        </w:rPr>
      </w:pPr>
      <w:r w:rsidRPr="008D3A76">
        <w:rPr>
          <w:lang w:val="en-US"/>
        </w:rPr>
        <w:br w:type="page"/>
      </w:r>
      <w:r w:rsidR="008B6E5E" w:rsidRPr="008D3A76">
        <w:rPr>
          <w:i/>
          <w:lang w:val="en-US"/>
        </w:rPr>
        <w:lastRenderedPageBreak/>
        <w:t xml:space="preserve">This form is to be completed by the transferring </w:t>
      </w:r>
      <w:r w:rsidR="004C7465">
        <w:rPr>
          <w:i/>
          <w:lang w:val="en-US"/>
        </w:rPr>
        <w:t xml:space="preserve">/ absorbed / divided </w:t>
      </w:r>
      <w:r w:rsidR="008B6E5E" w:rsidRPr="008D3A76">
        <w:rPr>
          <w:i/>
          <w:lang w:val="en-US"/>
        </w:rPr>
        <w:t xml:space="preserve">company, whether it is an </w:t>
      </w:r>
      <w:proofErr w:type="gramStart"/>
      <w:r w:rsidR="008B6E5E" w:rsidRPr="008D3A76">
        <w:rPr>
          <w:i/>
          <w:lang w:val="en-US"/>
        </w:rPr>
        <w:t>insurance</w:t>
      </w:r>
      <w:proofErr w:type="gramEnd"/>
      <w:r w:rsidR="008B6E5E" w:rsidRPr="008D3A76">
        <w:rPr>
          <w:i/>
          <w:lang w:val="en-US"/>
        </w:rPr>
        <w:t xml:space="preserve"> or a reinsurance company governed by Belgian law or the Belgian branch of an insurance company governed by the law of a third country.</w:t>
      </w:r>
    </w:p>
    <w:p w14:paraId="01AB808E" w14:textId="77777777" w:rsidR="008B6E5E" w:rsidRPr="008D3A76" w:rsidRDefault="007143B5" w:rsidP="008B6E5E">
      <w:pPr>
        <w:keepNext/>
        <w:keepLines/>
        <w:tabs>
          <w:tab w:val="clear" w:pos="284"/>
        </w:tabs>
        <w:spacing w:before="480" w:after="120" w:line="260" w:lineRule="atLeast"/>
        <w:jc w:val="both"/>
        <w:rPr>
          <w:b/>
          <w:u w:val="single"/>
          <w:lang w:val="en-US"/>
        </w:rPr>
      </w:pPr>
      <w:r w:rsidRPr="008D3A76">
        <w:rPr>
          <w:b/>
          <w:lang w:val="en-US"/>
        </w:rPr>
        <w:t>1.</w:t>
      </w:r>
      <w:r w:rsidRPr="008D3A76">
        <w:rPr>
          <w:b/>
          <w:lang w:val="en-US"/>
        </w:rPr>
        <w:tab/>
      </w:r>
      <w:r w:rsidR="008B6E5E" w:rsidRPr="008D3A76">
        <w:rPr>
          <w:b/>
          <w:u w:val="single"/>
          <w:lang w:val="en-US"/>
        </w:rPr>
        <w:t>Contact details</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97"/>
      </w:tblGrid>
      <w:tr w:rsidR="008B6E5E" w:rsidRPr="008D3A76" w14:paraId="029A3FA9" w14:textId="77777777" w:rsidTr="007143B5">
        <w:tc>
          <w:tcPr>
            <w:tcW w:w="4507" w:type="dxa"/>
          </w:tcPr>
          <w:p w14:paraId="2B6F7AEA" w14:textId="41C69B9C" w:rsidR="008B6E5E" w:rsidRPr="008D3A76" w:rsidRDefault="008B6E5E" w:rsidP="008B6E5E">
            <w:pPr>
              <w:spacing w:after="120" w:line="260" w:lineRule="atLeast"/>
              <w:jc w:val="both"/>
              <w:rPr>
                <w:lang w:val="en-US"/>
              </w:rPr>
            </w:pPr>
            <w:r w:rsidRPr="008D3A76">
              <w:rPr>
                <w:lang w:val="en-US"/>
              </w:rPr>
              <w:t xml:space="preserve">Name, Legal Entity Identifier (LEI), administrative code and address of the registered office of the transferring </w:t>
            </w:r>
            <w:r w:rsidR="00C146C0">
              <w:rPr>
                <w:lang w:val="en-US"/>
              </w:rPr>
              <w:t xml:space="preserve">/ absorbed / divided </w:t>
            </w:r>
            <w:r w:rsidRPr="008D3A76">
              <w:rPr>
                <w:lang w:val="en-US"/>
              </w:rPr>
              <w:t>company</w:t>
            </w:r>
          </w:p>
        </w:tc>
        <w:tc>
          <w:tcPr>
            <w:tcW w:w="4497" w:type="dxa"/>
          </w:tcPr>
          <w:p w14:paraId="6ECB26BE" w14:textId="77777777" w:rsidR="008B6E5E" w:rsidRPr="008D3A76" w:rsidRDefault="008B6E5E" w:rsidP="008B6E5E">
            <w:pPr>
              <w:spacing w:after="120" w:line="260" w:lineRule="atLeast"/>
              <w:jc w:val="both"/>
              <w:rPr>
                <w:lang w:val="en-US"/>
              </w:rPr>
            </w:pPr>
            <w:r w:rsidRPr="008D3A76">
              <w:rPr>
                <w:lang w:val="en-US"/>
              </w:rPr>
              <w:t>[to be completed by the company]</w:t>
            </w:r>
          </w:p>
        </w:tc>
      </w:tr>
      <w:tr w:rsidR="008B6E5E" w:rsidRPr="008D3A76" w14:paraId="6715361C" w14:textId="77777777" w:rsidTr="007143B5">
        <w:tc>
          <w:tcPr>
            <w:tcW w:w="4507" w:type="dxa"/>
          </w:tcPr>
          <w:p w14:paraId="7288FAF3" w14:textId="52F15814" w:rsidR="008B6E5E" w:rsidRPr="008D3A76" w:rsidRDefault="008B6E5E" w:rsidP="008B6E5E">
            <w:pPr>
              <w:spacing w:after="120" w:line="260" w:lineRule="atLeast"/>
              <w:jc w:val="both"/>
              <w:rPr>
                <w:lang w:val="en-US"/>
              </w:rPr>
            </w:pPr>
            <w:r w:rsidRPr="008D3A76">
              <w:rPr>
                <w:lang w:val="en-US"/>
              </w:rPr>
              <w:t xml:space="preserve">Name, Legal Entity Identifier (LEI), administrative code and address of the registered office of the transferee </w:t>
            </w:r>
            <w:r w:rsidR="00C146C0">
              <w:t xml:space="preserve">/ absorbing / receiving </w:t>
            </w:r>
            <w:r w:rsidRPr="008D3A76">
              <w:rPr>
                <w:lang w:val="en-US"/>
              </w:rPr>
              <w:t>company</w:t>
            </w:r>
          </w:p>
        </w:tc>
        <w:tc>
          <w:tcPr>
            <w:tcW w:w="4497" w:type="dxa"/>
          </w:tcPr>
          <w:p w14:paraId="0C104434" w14:textId="77777777" w:rsidR="008B6E5E" w:rsidRPr="008D3A76" w:rsidRDefault="008B6E5E" w:rsidP="008B6E5E">
            <w:pPr>
              <w:spacing w:after="120" w:line="260" w:lineRule="atLeast"/>
              <w:jc w:val="both"/>
              <w:rPr>
                <w:lang w:val="en-US"/>
              </w:rPr>
            </w:pPr>
            <w:r w:rsidRPr="008D3A76">
              <w:rPr>
                <w:lang w:val="en-US"/>
              </w:rPr>
              <w:t>[to be completed by the company]</w:t>
            </w:r>
          </w:p>
        </w:tc>
      </w:tr>
      <w:tr w:rsidR="008B6E5E" w:rsidRPr="008D3A76" w14:paraId="79525192" w14:textId="77777777" w:rsidTr="007143B5">
        <w:tc>
          <w:tcPr>
            <w:tcW w:w="4507" w:type="dxa"/>
          </w:tcPr>
          <w:p w14:paraId="33C9CB5B" w14:textId="77777777" w:rsidR="008B6E5E" w:rsidRPr="008D3A76" w:rsidRDefault="008B6E5E" w:rsidP="008B6E5E">
            <w:pPr>
              <w:spacing w:after="120" w:line="260" w:lineRule="atLeast"/>
              <w:jc w:val="both"/>
              <w:rPr>
                <w:lang w:val="en-US"/>
              </w:rPr>
            </w:pPr>
            <w:r w:rsidRPr="008D3A76">
              <w:rPr>
                <w:lang w:val="en-US"/>
              </w:rPr>
              <w:t>Effective date of the transfer (distinguishing where appropriate between the effective accounting date and the effective legal date)</w:t>
            </w:r>
          </w:p>
        </w:tc>
        <w:tc>
          <w:tcPr>
            <w:tcW w:w="4497" w:type="dxa"/>
          </w:tcPr>
          <w:p w14:paraId="5F8B2D36" w14:textId="77777777" w:rsidR="008B6E5E" w:rsidRPr="008D3A76" w:rsidRDefault="008B6E5E" w:rsidP="008B6E5E">
            <w:pPr>
              <w:spacing w:after="120" w:line="260" w:lineRule="atLeast"/>
              <w:jc w:val="both"/>
              <w:rPr>
                <w:lang w:val="en-US"/>
              </w:rPr>
            </w:pPr>
            <w:r w:rsidRPr="008D3A76">
              <w:rPr>
                <w:lang w:val="en-US"/>
              </w:rPr>
              <w:t>[to be completed by the company]</w:t>
            </w:r>
          </w:p>
        </w:tc>
      </w:tr>
      <w:tr w:rsidR="008B6E5E" w:rsidRPr="008D3A76" w14:paraId="12B7BB06" w14:textId="77777777" w:rsidTr="007143B5">
        <w:tc>
          <w:tcPr>
            <w:tcW w:w="4507" w:type="dxa"/>
          </w:tcPr>
          <w:p w14:paraId="66104FE3" w14:textId="66582CBF" w:rsidR="008B6E5E" w:rsidRPr="008D3A76" w:rsidRDefault="008B6E5E" w:rsidP="008B6E5E">
            <w:pPr>
              <w:spacing w:after="120" w:line="260" w:lineRule="atLeast"/>
              <w:jc w:val="both"/>
              <w:rPr>
                <w:lang w:val="en-US"/>
              </w:rPr>
            </w:pPr>
            <w:r w:rsidRPr="008D3A76">
              <w:rPr>
                <w:lang w:val="en-US"/>
              </w:rPr>
              <w:t xml:space="preserve">Name, telephone number and e-mail address of the contact person in the transferring </w:t>
            </w:r>
            <w:r w:rsidR="00C146C0">
              <w:rPr>
                <w:lang w:val="en-US"/>
              </w:rPr>
              <w:t xml:space="preserve">/ absorbed / divided </w:t>
            </w:r>
            <w:r w:rsidRPr="008D3A76">
              <w:rPr>
                <w:lang w:val="en-US"/>
              </w:rPr>
              <w:t>company</w:t>
            </w:r>
          </w:p>
        </w:tc>
        <w:tc>
          <w:tcPr>
            <w:tcW w:w="4497" w:type="dxa"/>
          </w:tcPr>
          <w:p w14:paraId="1AD5AF6D" w14:textId="77777777" w:rsidR="008B6E5E" w:rsidRPr="008D3A76" w:rsidRDefault="008B6E5E" w:rsidP="008B6E5E">
            <w:pPr>
              <w:spacing w:after="120" w:line="260" w:lineRule="atLeast"/>
              <w:jc w:val="both"/>
              <w:rPr>
                <w:lang w:val="en-US"/>
              </w:rPr>
            </w:pPr>
            <w:r w:rsidRPr="008D3A76">
              <w:rPr>
                <w:lang w:val="en-US"/>
              </w:rPr>
              <w:t>[to be completed by the company]</w:t>
            </w:r>
          </w:p>
        </w:tc>
      </w:tr>
    </w:tbl>
    <w:p w14:paraId="2D8E812A" w14:textId="77777777" w:rsidR="008B6E5E" w:rsidRPr="008D3A76" w:rsidRDefault="007143B5" w:rsidP="008B6E5E">
      <w:pPr>
        <w:keepNext/>
        <w:keepLines/>
        <w:tabs>
          <w:tab w:val="clear" w:pos="284"/>
        </w:tabs>
        <w:spacing w:before="480" w:after="120" w:line="260" w:lineRule="atLeast"/>
        <w:jc w:val="both"/>
        <w:rPr>
          <w:b/>
          <w:u w:val="single"/>
          <w:lang w:val="en-US"/>
        </w:rPr>
      </w:pPr>
      <w:r w:rsidRPr="008D3A76">
        <w:rPr>
          <w:b/>
          <w:lang w:val="en-US"/>
        </w:rPr>
        <w:t>2.</w:t>
      </w:r>
      <w:r w:rsidRPr="008D3A76">
        <w:rPr>
          <w:b/>
          <w:lang w:val="en-US"/>
        </w:rPr>
        <w:tab/>
      </w:r>
      <w:r w:rsidR="008B6E5E" w:rsidRPr="008D3A76">
        <w:rPr>
          <w:b/>
          <w:u w:val="single"/>
          <w:lang w:val="en-US"/>
        </w:rPr>
        <w:t>General information regarding the transfer</w:t>
      </w:r>
    </w:p>
    <w:p w14:paraId="4EFDF3A3" w14:textId="38A64731" w:rsidR="008B6E5E" w:rsidRDefault="008B6E5E" w:rsidP="008B6E5E">
      <w:pPr>
        <w:spacing w:after="120" w:line="260" w:lineRule="atLeast"/>
        <w:ind w:left="567" w:hanging="567"/>
        <w:jc w:val="both"/>
        <w:rPr>
          <w:lang w:val="en-US"/>
        </w:rPr>
      </w:pPr>
      <w:r w:rsidRPr="008D3A76">
        <w:rPr>
          <w:lang w:val="en-US"/>
        </w:rPr>
        <w:t>2.1.</w:t>
      </w:r>
      <w:r w:rsidRPr="008D3A76">
        <w:rPr>
          <w:lang w:val="en-US"/>
        </w:rPr>
        <w:tab/>
        <w:t>Description of the reasoning behind the transaction (strategy, proposed business plan in relation to the portfolio to be transferred, etc.).</w:t>
      </w:r>
    </w:p>
    <w:p w14:paraId="71B329CF" w14:textId="233414F8" w:rsidR="00566724" w:rsidRPr="008D3A76" w:rsidRDefault="00233729" w:rsidP="008B6E5E">
      <w:pPr>
        <w:spacing w:after="120" w:line="260" w:lineRule="atLeast"/>
        <w:ind w:left="567" w:hanging="567"/>
        <w:jc w:val="both"/>
        <w:rPr>
          <w:lang w:val="en-US"/>
        </w:rPr>
      </w:pPr>
      <w:r w:rsidRPr="008D3A76">
        <w:rPr>
          <w:lang w:val="en-US"/>
        </w:rPr>
        <w:t>2.2.</w:t>
      </w:r>
      <w:r w:rsidRPr="008D3A76">
        <w:rPr>
          <w:lang w:val="en-US"/>
        </w:rPr>
        <w:tab/>
        <w:t xml:space="preserve">Description of the </w:t>
      </w:r>
      <w:r w:rsidR="00297D98">
        <w:rPr>
          <w:lang w:val="en-US"/>
        </w:rPr>
        <w:t>legal modus operandi and schedule of the proposed transaction.</w:t>
      </w:r>
    </w:p>
    <w:p w14:paraId="7F7883B6" w14:textId="20152BD6" w:rsidR="008B6E5E" w:rsidRPr="008D3A76" w:rsidRDefault="008B6E5E" w:rsidP="008B6E5E">
      <w:pPr>
        <w:spacing w:after="120" w:line="260" w:lineRule="atLeast"/>
        <w:ind w:left="567" w:hanging="567"/>
        <w:jc w:val="both"/>
        <w:rPr>
          <w:szCs w:val="24"/>
          <w:lang w:val="en-US"/>
        </w:rPr>
      </w:pPr>
      <w:r w:rsidRPr="008D3A76">
        <w:rPr>
          <w:lang w:val="en-US"/>
        </w:rPr>
        <w:t>2.</w:t>
      </w:r>
      <w:r w:rsidR="00233729">
        <w:rPr>
          <w:lang w:val="en-US"/>
        </w:rPr>
        <w:t>3</w:t>
      </w:r>
      <w:r w:rsidRPr="008D3A76">
        <w:rPr>
          <w:lang w:val="en-US"/>
        </w:rPr>
        <w:t>.</w:t>
      </w:r>
      <w:r w:rsidRPr="008D3A76">
        <w:rPr>
          <w:lang w:val="en-US"/>
        </w:rPr>
        <w:tab/>
        <w:t>Description of the portfolio to be transferred (insurance classes or reinsurance activities concerned, nature of the contracts to be transferred, transaction cost, technical arrangements for the transfer, etc.)</w:t>
      </w:r>
      <w:r w:rsidR="00144CB0">
        <w:rPr>
          <w:lang w:val="en-US"/>
        </w:rPr>
        <w:t xml:space="preserve"> </w:t>
      </w:r>
      <w:r w:rsidR="00144CB0" w:rsidRPr="00144CB0">
        <w:rPr>
          <w:lang w:val="en-US"/>
        </w:rPr>
        <w:t xml:space="preserve">or, in the case of a merger or division, </w:t>
      </w:r>
      <w:r w:rsidR="004C6F5E">
        <w:rPr>
          <w:lang w:val="en-US"/>
        </w:rPr>
        <w:t>if</w:t>
      </w:r>
      <w:r w:rsidR="00144CB0" w:rsidRPr="00144CB0">
        <w:rPr>
          <w:lang w:val="en-US"/>
        </w:rPr>
        <w:t xml:space="preserve"> the </w:t>
      </w:r>
      <w:r w:rsidR="00144CB0">
        <w:rPr>
          <w:lang w:val="en-US"/>
        </w:rPr>
        <w:t>activity</w:t>
      </w:r>
      <w:r w:rsidR="00144CB0" w:rsidRPr="00144CB0">
        <w:rPr>
          <w:lang w:val="en-US"/>
        </w:rPr>
        <w:t xml:space="preserve"> transferred is not an insurance or reinsurance </w:t>
      </w:r>
      <w:r w:rsidR="004C6F5E">
        <w:rPr>
          <w:lang w:val="en-US"/>
        </w:rPr>
        <w:t>activity</w:t>
      </w:r>
      <w:r w:rsidR="00144CB0" w:rsidRPr="00144CB0">
        <w:rPr>
          <w:lang w:val="en-US"/>
        </w:rPr>
        <w:t xml:space="preserve"> or </w:t>
      </w:r>
      <w:r w:rsidR="004C6F5E">
        <w:rPr>
          <w:lang w:val="en-US"/>
        </w:rPr>
        <w:t>if</w:t>
      </w:r>
      <w:r w:rsidR="00144CB0" w:rsidRPr="00144CB0">
        <w:rPr>
          <w:lang w:val="en-US"/>
        </w:rPr>
        <w:t xml:space="preserve"> the </w:t>
      </w:r>
      <w:r w:rsidR="004C6F5E">
        <w:rPr>
          <w:lang w:val="en-US"/>
        </w:rPr>
        <w:t xml:space="preserve">company </w:t>
      </w:r>
      <w:r w:rsidR="00A364DA">
        <w:rPr>
          <w:lang w:val="en-US"/>
        </w:rPr>
        <w:t xml:space="preserve">being absorbed or divided </w:t>
      </w:r>
      <w:r w:rsidR="00144CB0" w:rsidRPr="00144CB0">
        <w:rPr>
          <w:lang w:val="en-US"/>
        </w:rPr>
        <w:t xml:space="preserve">is not an insurance or reinsurance </w:t>
      </w:r>
      <w:r w:rsidR="004C6F5E">
        <w:rPr>
          <w:lang w:val="en-US"/>
        </w:rPr>
        <w:t>company</w:t>
      </w:r>
      <w:r w:rsidR="00144CB0" w:rsidRPr="00144CB0">
        <w:rPr>
          <w:lang w:val="en-US"/>
        </w:rPr>
        <w:t xml:space="preserve">, a description of the </w:t>
      </w:r>
      <w:r w:rsidR="004C6F5E">
        <w:rPr>
          <w:lang w:val="en-US"/>
        </w:rPr>
        <w:t>activity</w:t>
      </w:r>
      <w:r w:rsidR="00144CB0" w:rsidRPr="00144CB0">
        <w:rPr>
          <w:lang w:val="en-US"/>
        </w:rPr>
        <w:t xml:space="preserve"> to be transferred (type of </w:t>
      </w:r>
      <w:r w:rsidR="004C6F5E">
        <w:rPr>
          <w:lang w:val="en-US"/>
        </w:rPr>
        <w:t>activity</w:t>
      </w:r>
      <w:r w:rsidR="00144CB0" w:rsidRPr="00144CB0">
        <w:rPr>
          <w:lang w:val="en-US"/>
        </w:rPr>
        <w:t xml:space="preserve">, customers, </w:t>
      </w:r>
      <w:r w:rsidR="004C6F5E" w:rsidRPr="00144CB0">
        <w:rPr>
          <w:lang w:val="en-US"/>
        </w:rPr>
        <w:t xml:space="preserve">key </w:t>
      </w:r>
      <w:r w:rsidR="00144CB0" w:rsidRPr="00144CB0">
        <w:rPr>
          <w:lang w:val="en-US"/>
        </w:rPr>
        <w:t>financial figures, overview of the assets and liabilities to be transferred)</w:t>
      </w:r>
      <w:r w:rsidRPr="008D3A76">
        <w:rPr>
          <w:lang w:val="en-US"/>
        </w:rPr>
        <w:t>.</w:t>
      </w:r>
    </w:p>
    <w:p w14:paraId="4D61D29B" w14:textId="201EC4AB" w:rsidR="008B6E5E" w:rsidRPr="008D3A76" w:rsidRDefault="008B6E5E" w:rsidP="6F12CFCD">
      <w:pPr>
        <w:spacing w:after="120" w:line="260" w:lineRule="atLeast"/>
        <w:ind w:left="567" w:hanging="567"/>
        <w:jc w:val="both"/>
        <w:rPr>
          <w:lang w:val="en-US"/>
        </w:rPr>
      </w:pPr>
      <w:r w:rsidRPr="6F12CFCD">
        <w:rPr>
          <w:lang w:val="en-US"/>
        </w:rPr>
        <w:t>2.</w:t>
      </w:r>
      <w:r w:rsidR="00233729" w:rsidRPr="6F12CFCD">
        <w:rPr>
          <w:lang w:val="en-US"/>
        </w:rPr>
        <w:t>4</w:t>
      </w:r>
      <w:r w:rsidRPr="6F12CFCD">
        <w:rPr>
          <w:lang w:val="en-US"/>
        </w:rPr>
        <w:t>.</w:t>
      </w:r>
      <w:r>
        <w:tab/>
      </w:r>
      <w:r w:rsidRPr="6F12CFCD">
        <w:rPr>
          <w:lang w:val="en-US"/>
        </w:rPr>
        <w:t xml:space="preserve">Copy of the </w:t>
      </w:r>
      <w:r w:rsidR="00297D98" w:rsidRPr="6F12CFCD">
        <w:rPr>
          <w:lang w:val="en-US"/>
        </w:rPr>
        <w:t>(</w:t>
      </w:r>
      <w:r w:rsidRPr="6F12CFCD">
        <w:rPr>
          <w:lang w:val="en-US"/>
        </w:rPr>
        <w:t>draft</w:t>
      </w:r>
      <w:r w:rsidR="00297D98" w:rsidRPr="6F12CFCD">
        <w:rPr>
          <w:lang w:val="en-US"/>
        </w:rPr>
        <w:t>)</w:t>
      </w:r>
      <w:r w:rsidRPr="6F12CFCD">
        <w:rPr>
          <w:lang w:val="en-US"/>
        </w:rPr>
        <w:t xml:space="preserve"> transfer agreement </w:t>
      </w:r>
      <w:r w:rsidR="007166A8" w:rsidRPr="6F12CFCD">
        <w:rPr>
          <w:lang w:val="en-US"/>
        </w:rPr>
        <w:t xml:space="preserve">or of the merger or division proposal </w:t>
      </w:r>
      <w:r w:rsidRPr="6F12CFCD">
        <w:rPr>
          <w:lang w:val="en-US"/>
        </w:rPr>
        <w:t>and, where appropriate, of the due diligence findings and</w:t>
      </w:r>
      <w:r w:rsidR="00297D98" w:rsidRPr="6F12CFCD">
        <w:rPr>
          <w:lang w:val="en-US"/>
        </w:rPr>
        <w:t>/or</w:t>
      </w:r>
      <w:r w:rsidRPr="6F12CFCD">
        <w:rPr>
          <w:lang w:val="en-US"/>
        </w:rPr>
        <w:t xml:space="preserve"> of the results of the audits performed on the </w:t>
      </w:r>
      <w:r w:rsidR="0063050B" w:rsidRPr="6F12CFCD">
        <w:rPr>
          <w:lang w:val="en-US"/>
        </w:rPr>
        <w:t xml:space="preserve">proposed transaction </w:t>
      </w:r>
      <w:r w:rsidRPr="6F12CFCD">
        <w:rPr>
          <w:lang w:val="en-US"/>
        </w:rPr>
        <w:t xml:space="preserve">or </w:t>
      </w:r>
      <w:r w:rsidR="007143B5" w:rsidRPr="6F12CFCD">
        <w:rPr>
          <w:lang w:val="en-US"/>
        </w:rPr>
        <w:t xml:space="preserve">on some parts </w:t>
      </w:r>
      <w:r w:rsidR="0063050B" w:rsidRPr="6F12CFCD">
        <w:rPr>
          <w:lang w:val="en-US"/>
        </w:rPr>
        <w:t>there</w:t>
      </w:r>
      <w:r w:rsidR="007143B5" w:rsidRPr="6F12CFCD">
        <w:rPr>
          <w:lang w:val="en-US"/>
        </w:rPr>
        <w:t>of.</w:t>
      </w:r>
    </w:p>
    <w:p w14:paraId="3CD956F4" w14:textId="5B56478F" w:rsidR="008B6E5E" w:rsidRPr="008D3A76" w:rsidRDefault="008B6E5E" w:rsidP="008B6E5E">
      <w:pPr>
        <w:spacing w:after="120" w:line="260" w:lineRule="atLeast"/>
        <w:ind w:left="567" w:hanging="567"/>
        <w:jc w:val="both"/>
        <w:rPr>
          <w:szCs w:val="24"/>
          <w:lang w:val="en-US"/>
        </w:rPr>
      </w:pPr>
      <w:r w:rsidRPr="008D3A76">
        <w:rPr>
          <w:lang w:val="en-US"/>
        </w:rPr>
        <w:t>2.</w:t>
      </w:r>
      <w:r w:rsidR="00233729">
        <w:rPr>
          <w:lang w:val="en-US"/>
        </w:rPr>
        <w:t>5</w:t>
      </w:r>
      <w:r w:rsidRPr="008D3A76">
        <w:rPr>
          <w:lang w:val="en-US"/>
        </w:rPr>
        <w:t>.</w:t>
      </w:r>
      <w:r w:rsidRPr="008D3A76">
        <w:rPr>
          <w:lang w:val="en-US"/>
        </w:rPr>
        <w:tab/>
        <w:t>Solely for the insurance business</w:t>
      </w:r>
      <w:r w:rsidR="00297D98">
        <w:rPr>
          <w:lang w:val="en-US"/>
        </w:rPr>
        <w:t xml:space="preserve">, </w:t>
      </w:r>
      <w:r w:rsidR="00ED68B1">
        <w:rPr>
          <w:lang w:val="en-US"/>
        </w:rPr>
        <w:t>the</w:t>
      </w:r>
      <w:r w:rsidRPr="008D3A76">
        <w:rPr>
          <w:lang w:val="en-US"/>
        </w:rPr>
        <w:t xml:space="preserve"> </w:t>
      </w:r>
      <w:r w:rsidR="00297D98">
        <w:rPr>
          <w:lang w:val="en-US"/>
        </w:rPr>
        <w:t>l</w:t>
      </w:r>
      <w:r w:rsidRPr="008D3A76">
        <w:rPr>
          <w:lang w:val="en-US"/>
        </w:rPr>
        <w:t xml:space="preserve">ist of the EEA Member States where the insurance contracts to be transferred were concluded and where the risks </w:t>
      </w:r>
      <w:r w:rsidR="00297D98">
        <w:rPr>
          <w:lang w:val="en-US"/>
        </w:rPr>
        <w:t>or</w:t>
      </w:r>
      <w:r w:rsidR="00297D98" w:rsidRPr="008D3A76">
        <w:rPr>
          <w:lang w:val="en-US"/>
        </w:rPr>
        <w:t xml:space="preserve"> </w:t>
      </w:r>
      <w:r w:rsidRPr="008D3A76">
        <w:rPr>
          <w:lang w:val="en-US"/>
        </w:rPr>
        <w:t>commitments to be transferred are located</w:t>
      </w:r>
      <w:r w:rsidR="00297D98">
        <w:rPr>
          <w:lang w:val="en-US"/>
        </w:rPr>
        <w:t xml:space="preserve">, specifically the list of the Member States where the risks or commitments were located </w:t>
      </w:r>
      <w:r w:rsidR="00ED68B1">
        <w:rPr>
          <w:lang w:val="en-US"/>
        </w:rPr>
        <w:t>when the contract was concluded</w:t>
      </w:r>
      <w:r w:rsidRPr="008D3A76">
        <w:rPr>
          <w:lang w:val="en-US"/>
        </w:rPr>
        <w:t>.</w:t>
      </w:r>
    </w:p>
    <w:p w14:paraId="78E9B5E3" w14:textId="137DC2CE" w:rsidR="008B6E5E" w:rsidRPr="008D3A76" w:rsidRDefault="008B6E5E" w:rsidP="008B6E5E">
      <w:pPr>
        <w:spacing w:after="120" w:line="260" w:lineRule="atLeast"/>
        <w:ind w:left="567" w:hanging="567"/>
        <w:jc w:val="both"/>
        <w:rPr>
          <w:szCs w:val="24"/>
          <w:lang w:val="en-US"/>
        </w:rPr>
      </w:pPr>
      <w:r w:rsidRPr="008D3A76">
        <w:rPr>
          <w:lang w:val="en-US"/>
        </w:rPr>
        <w:t>2.</w:t>
      </w:r>
      <w:r w:rsidR="00233729">
        <w:rPr>
          <w:lang w:val="en-US"/>
        </w:rPr>
        <w:t>6</w:t>
      </w:r>
      <w:r w:rsidRPr="008D3A76">
        <w:rPr>
          <w:lang w:val="en-US"/>
        </w:rPr>
        <w:t>.</w:t>
      </w:r>
      <w:r w:rsidRPr="008D3A76">
        <w:rPr>
          <w:lang w:val="en-US"/>
        </w:rPr>
        <w:tab/>
        <w:t>Solely for the insurance business</w:t>
      </w:r>
      <w:r w:rsidR="00ED68B1">
        <w:rPr>
          <w:lang w:val="en-US"/>
        </w:rPr>
        <w:t>, the</w:t>
      </w:r>
      <w:r w:rsidRPr="008D3A76">
        <w:rPr>
          <w:lang w:val="en-US"/>
        </w:rPr>
        <w:t xml:space="preserve"> </w:t>
      </w:r>
      <w:r w:rsidR="00ED68B1">
        <w:rPr>
          <w:lang w:val="en-US"/>
        </w:rPr>
        <w:t>l</w:t>
      </w:r>
      <w:r w:rsidRPr="008D3A76">
        <w:rPr>
          <w:lang w:val="en-US"/>
        </w:rPr>
        <w:t>ist of the third (</w:t>
      </w:r>
      <w:proofErr w:type="spellStart"/>
      <w:r w:rsidRPr="008D3A76">
        <w:rPr>
          <w:lang w:val="en-US"/>
        </w:rPr>
        <w:t>non EEA</w:t>
      </w:r>
      <w:proofErr w:type="spellEnd"/>
      <w:r w:rsidRPr="008D3A76">
        <w:rPr>
          <w:lang w:val="en-US"/>
        </w:rPr>
        <w:t xml:space="preserve">) countries where the risks </w:t>
      </w:r>
      <w:r w:rsidR="00ED68B1">
        <w:rPr>
          <w:lang w:val="en-US"/>
        </w:rPr>
        <w:t>or</w:t>
      </w:r>
      <w:r w:rsidR="00ED68B1" w:rsidRPr="008D3A76">
        <w:rPr>
          <w:lang w:val="en-US"/>
        </w:rPr>
        <w:t xml:space="preserve"> </w:t>
      </w:r>
      <w:r w:rsidRPr="008D3A76">
        <w:rPr>
          <w:lang w:val="en-US"/>
        </w:rPr>
        <w:t>commitments to be transferred are located</w:t>
      </w:r>
      <w:r w:rsidR="00ED68B1">
        <w:rPr>
          <w:lang w:val="en-US"/>
        </w:rPr>
        <w:t>, specifically the list of the third countries where the risks or commitments were located when the contract was concluded</w:t>
      </w:r>
      <w:r w:rsidRPr="008D3A76">
        <w:rPr>
          <w:lang w:val="en-US"/>
        </w:rPr>
        <w:t>.</w:t>
      </w:r>
    </w:p>
    <w:p w14:paraId="38F3D135" w14:textId="744AB788" w:rsidR="008B6E5E" w:rsidRDefault="008B6E5E" w:rsidP="008B6E5E">
      <w:pPr>
        <w:spacing w:after="120" w:line="260" w:lineRule="atLeast"/>
        <w:ind w:left="567" w:hanging="567"/>
        <w:jc w:val="both"/>
        <w:rPr>
          <w:lang w:val="en-US"/>
        </w:rPr>
      </w:pPr>
      <w:r w:rsidRPr="008D3A76">
        <w:rPr>
          <w:lang w:val="en-US"/>
        </w:rPr>
        <w:t>2.</w:t>
      </w:r>
      <w:r w:rsidR="00233729">
        <w:rPr>
          <w:lang w:val="en-US"/>
        </w:rPr>
        <w:t>7</w:t>
      </w:r>
      <w:r w:rsidRPr="008D3A76">
        <w:rPr>
          <w:lang w:val="en-US"/>
        </w:rPr>
        <w:t>.</w:t>
      </w:r>
      <w:r w:rsidRPr="008D3A76">
        <w:rPr>
          <w:lang w:val="en-US"/>
        </w:rPr>
        <w:tab/>
        <w:t>Solely for the insurance business</w:t>
      </w:r>
      <w:r w:rsidR="00ED68B1">
        <w:rPr>
          <w:lang w:val="en-US"/>
        </w:rPr>
        <w:t>, the</w:t>
      </w:r>
      <w:r w:rsidRPr="008D3A76">
        <w:rPr>
          <w:lang w:val="en-US"/>
        </w:rPr>
        <w:t xml:space="preserve"> </w:t>
      </w:r>
      <w:r w:rsidR="00ED68B1">
        <w:rPr>
          <w:lang w:val="en-US"/>
        </w:rPr>
        <w:t>l</w:t>
      </w:r>
      <w:r w:rsidRPr="008D3A76">
        <w:rPr>
          <w:lang w:val="en-US"/>
        </w:rPr>
        <w:t xml:space="preserve">ist of the EEA Member States in which the transferring </w:t>
      </w:r>
      <w:r w:rsidR="00C146C0">
        <w:rPr>
          <w:lang w:val="en-US"/>
        </w:rPr>
        <w:t xml:space="preserve">/ absorbed / divided </w:t>
      </w:r>
      <w:r w:rsidRPr="008D3A76">
        <w:rPr>
          <w:lang w:val="en-US"/>
        </w:rPr>
        <w:t>company has a branch th</w:t>
      </w:r>
      <w:r w:rsidR="007143B5" w:rsidRPr="008D3A76">
        <w:rPr>
          <w:lang w:val="en-US"/>
        </w:rPr>
        <w:t>at is involved in the transfer</w:t>
      </w:r>
      <w:r w:rsidR="00ED68B1">
        <w:rPr>
          <w:lang w:val="en-US"/>
        </w:rPr>
        <w:t xml:space="preserve"> and the list of the other Member States </w:t>
      </w:r>
      <w:r w:rsidR="00144CB0">
        <w:rPr>
          <w:lang w:val="en-US"/>
        </w:rPr>
        <w:t>where this branch carries out activities invol</w:t>
      </w:r>
      <w:r w:rsidR="00E176A4">
        <w:rPr>
          <w:lang w:val="en-US"/>
        </w:rPr>
        <w:t>v</w:t>
      </w:r>
      <w:r w:rsidR="00144CB0">
        <w:rPr>
          <w:lang w:val="en-US"/>
        </w:rPr>
        <w:t>ed in the transfer under the freedom to provide services</w:t>
      </w:r>
      <w:r w:rsidR="007143B5" w:rsidRPr="008D3A76">
        <w:rPr>
          <w:lang w:val="en-US"/>
        </w:rPr>
        <w:t>.</w:t>
      </w:r>
    </w:p>
    <w:p w14:paraId="716FC3E1" w14:textId="67BA8918" w:rsidR="00F03F3A" w:rsidRDefault="00F03F3A" w:rsidP="008B6E5E">
      <w:pPr>
        <w:spacing w:after="120" w:line="260" w:lineRule="atLeast"/>
        <w:ind w:left="567" w:hanging="567"/>
        <w:jc w:val="both"/>
        <w:rPr>
          <w:lang w:val="en-US"/>
        </w:rPr>
      </w:pPr>
    </w:p>
    <w:p w14:paraId="7A2A4F62" w14:textId="4434517F" w:rsidR="00F03F3A" w:rsidRDefault="00F03F3A" w:rsidP="008B6E5E">
      <w:pPr>
        <w:spacing w:after="120" w:line="260" w:lineRule="atLeast"/>
        <w:ind w:left="567" w:hanging="567"/>
        <w:jc w:val="both"/>
        <w:rPr>
          <w:lang w:val="en-US"/>
        </w:rPr>
      </w:pPr>
    </w:p>
    <w:p w14:paraId="26274862" w14:textId="77777777" w:rsidR="00F03F3A" w:rsidRPr="008D3A76" w:rsidRDefault="00F03F3A" w:rsidP="008B6E5E">
      <w:pPr>
        <w:spacing w:after="120" w:line="260" w:lineRule="atLeast"/>
        <w:ind w:left="567" w:hanging="567"/>
        <w:jc w:val="both"/>
        <w:rPr>
          <w:szCs w:val="24"/>
          <w:lang w:val="en-US"/>
        </w:rPr>
      </w:pPr>
    </w:p>
    <w:p w14:paraId="7CADAEF3" w14:textId="77777777" w:rsidR="008B6E5E" w:rsidRPr="008D3A76" w:rsidRDefault="007143B5" w:rsidP="008B6E5E">
      <w:pPr>
        <w:keepNext/>
        <w:keepLines/>
        <w:tabs>
          <w:tab w:val="clear" w:pos="284"/>
        </w:tabs>
        <w:spacing w:before="480" w:after="120" w:line="260" w:lineRule="atLeast"/>
        <w:jc w:val="both"/>
        <w:rPr>
          <w:b/>
          <w:u w:val="single"/>
          <w:lang w:val="en-US"/>
        </w:rPr>
      </w:pPr>
      <w:r w:rsidRPr="008D3A76">
        <w:rPr>
          <w:b/>
          <w:lang w:val="en-US"/>
        </w:rPr>
        <w:lastRenderedPageBreak/>
        <w:t>3.</w:t>
      </w:r>
      <w:r w:rsidRPr="008D3A76">
        <w:rPr>
          <w:b/>
          <w:lang w:val="en-US"/>
        </w:rPr>
        <w:tab/>
      </w:r>
      <w:r w:rsidR="008B6E5E" w:rsidRPr="008D3A76">
        <w:rPr>
          <w:b/>
          <w:u w:val="single"/>
          <w:lang w:val="en-US"/>
        </w:rPr>
        <w:t>Financial aspects</w:t>
      </w:r>
    </w:p>
    <w:p w14:paraId="2E1D922B" w14:textId="429DCBC2" w:rsidR="008B6E5E" w:rsidRPr="008D3A76" w:rsidRDefault="008B6E5E" w:rsidP="008B6E5E">
      <w:pPr>
        <w:spacing w:after="120" w:line="260" w:lineRule="atLeast"/>
        <w:ind w:left="567" w:hanging="567"/>
        <w:jc w:val="both"/>
        <w:rPr>
          <w:lang w:val="en-US"/>
        </w:rPr>
      </w:pPr>
      <w:r w:rsidRPr="008D3A76">
        <w:rPr>
          <w:lang w:val="en-US"/>
        </w:rPr>
        <w:t>3.1.</w:t>
      </w:r>
      <w:r w:rsidRPr="008D3A76">
        <w:rPr>
          <w:lang w:val="en-US"/>
        </w:rPr>
        <w:tab/>
        <w:t>Details of the assets to be transferred</w:t>
      </w:r>
      <w:r w:rsidR="00144CB0">
        <w:rPr>
          <w:lang w:val="en-US"/>
        </w:rPr>
        <w:t xml:space="preserve"> (</w:t>
      </w:r>
      <w:r w:rsidR="00144CB0" w:rsidRPr="00144CB0">
        <w:rPr>
          <w:lang w:val="en-US"/>
        </w:rPr>
        <w:t xml:space="preserve">including </w:t>
      </w:r>
      <w:r w:rsidR="00A364DA">
        <w:rPr>
          <w:lang w:val="en-US"/>
        </w:rPr>
        <w:t>if</w:t>
      </w:r>
      <w:r w:rsidR="00144CB0" w:rsidRPr="00144CB0">
        <w:rPr>
          <w:lang w:val="en-US"/>
        </w:rPr>
        <w:t xml:space="preserve"> the assets corresponding to</w:t>
      </w:r>
      <w:r w:rsidR="00144CB0">
        <w:rPr>
          <w:lang w:val="en-US"/>
        </w:rPr>
        <w:t xml:space="preserve"> the</w:t>
      </w:r>
      <w:r w:rsidR="00144CB0" w:rsidRPr="00144CB0">
        <w:rPr>
          <w:lang w:val="en-US"/>
        </w:rPr>
        <w:t xml:space="preserve"> technical provisions consist of a </w:t>
      </w:r>
      <w:r w:rsidR="00A364DA" w:rsidRPr="00144CB0">
        <w:rPr>
          <w:lang w:val="en-US"/>
        </w:rPr>
        <w:t>portfolio</w:t>
      </w:r>
      <w:r w:rsidR="00A364DA">
        <w:rPr>
          <w:lang w:val="en-US"/>
        </w:rPr>
        <w:t xml:space="preserve"> of </w:t>
      </w:r>
      <w:r w:rsidR="00144CB0">
        <w:rPr>
          <w:lang w:val="en-US"/>
        </w:rPr>
        <w:t>mortgage loan</w:t>
      </w:r>
      <w:r w:rsidR="00A364DA">
        <w:rPr>
          <w:lang w:val="en-US"/>
        </w:rPr>
        <w:t>s</w:t>
      </w:r>
      <w:r w:rsidR="00144CB0">
        <w:rPr>
          <w:lang w:val="en-US"/>
        </w:rPr>
        <w:t>)</w:t>
      </w:r>
      <w:r w:rsidRPr="008D3A76">
        <w:rPr>
          <w:lang w:val="en-US"/>
        </w:rPr>
        <w:t>.</w:t>
      </w:r>
    </w:p>
    <w:p w14:paraId="3F7D590F" w14:textId="77777777" w:rsidR="008B6E5E" w:rsidRPr="008D3A76" w:rsidRDefault="008B6E5E" w:rsidP="008B6E5E">
      <w:pPr>
        <w:tabs>
          <w:tab w:val="clear" w:pos="284"/>
        </w:tabs>
        <w:spacing w:after="120" w:line="260" w:lineRule="atLeast"/>
        <w:ind w:left="567" w:hanging="567"/>
        <w:jc w:val="both"/>
        <w:rPr>
          <w:szCs w:val="24"/>
          <w:lang w:val="en-US"/>
        </w:rPr>
      </w:pPr>
      <w:r w:rsidRPr="008D3A76">
        <w:rPr>
          <w:lang w:val="en-US"/>
        </w:rPr>
        <w:t>3.2.</w:t>
      </w:r>
      <w:r w:rsidRPr="008D3A76">
        <w:rPr>
          <w:lang w:val="en-US"/>
        </w:rPr>
        <w:tab/>
        <w:t>Volume of the technical provisions gross and net of reinsurance, constituted on the basis of the contracts to be transferred, with a breakdown of the technical provisions to be transferred according to the different types of risks covered and the different types of provisions (provisions for unearned premiums and outstanding risks, provisions for claims, etc.) in accordance with the annual accounts and with the rules of the Law.</w:t>
      </w:r>
    </w:p>
    <w:p w14:paraId="46CE5B55" w14:textId="77777777" w:rsidR="008B6E5E" w:rsidRPr="008D3A76" w:rsidRDefault="008B6E5E" w:rsidP="008B6E5E">
      <w:pPr>
        <w:tabs>
          <w:tab w:val="clear" w:pos="284"/>
        </w:tabs>
        <w:spacing w:after="120" w:line="240" w:lineRule="auto"/>
        <w:ind w:left="568" w:hanging="568"/>
        <w:jc w:val="both"/>
        <w:rPr>
          <w:szCs w:val="24"/>
          <w:lang w:val="en-US"/>
        </w:rPr>
      </w:pPr>
      <w:r w:rsidRPr="008D3A76">
        <w:rPr>
          <w:lang w:val="en-US"/>
        </w:rPr>
        <w:t>3.3.</w:t>
      </w:r>
      <w:r w:rsidRPr="008D3A76">
        <w:rPr>
          <w:lang w:val="en-US"/>
        </w:rPr>
        <w:tab/>
        <w:t>Volume of the premiums, gross and net of reinsurance.</w:t>
      </w:r>
    </w:p>
    <w:p w14:paraId="75929F45" w14:textId="46688884" w:rsidR="008B6E5E" w:rsidRDefault="008B6E5E" w:rsidP="008B6E5E">
      <w:pPr>
        <w:tabs>
          <w:tab w:val="clear" w:pos="284"/>
        </w:tabs>
        <w:spacing w:after="120" w:line="260" w:lineRule="atLeast"/>
        <w:ind w:left="567" w:hanging="567"/>
        <w:jc w:val="both"/>
        <w:rPr>
          <w:lang w:val="en-US"/>
        </w:rPr>
      </w:pPr>
      <w:r w:rsidRPr="008D3A76">
        <w:rPr>
          <w:lang w:val="en-US"/>
        </w:rPr>
        <w:t>3.4.</w:t>
      </w:r>
      <w:r w:rsidRPr="008D3A76">
        <w:rPr>
          <w:lang w:val="en-US"/>
        </w:rPr>
        <w:tab/>
        <w:t>Claims incurred for non-life business, gross and net of reinsurance.</w:t>
      </w:r>
    </w:p>
    <w:p w14:paraId="334A14F5" w14:textId="222C18DE" w:rsidR="00144CB0" w:rsidRPr="008D3A76" w:rsidRDefault="00144CB0" w:rsidP="6F12CFCD">
      <w:pPr>
        <w:tabs>
          <w:tab w:val="clear" w:pos="284"/>
        </w:tabs>
        <w:spacing w:after="120" w:line="260" w:lineRule="atLeast"/>
        <w:ind w:left="567" w:hanging="567"/>
        <w:jc w:val="both"/>
        <w:rPr>
          <w:lang w:val="en-US"/>
        </w:rPr>
      </w:pPr>
      <w:r w:rsidRPr="6F12CFCD">
        <w:rPr>
          <w:lang w:val="en-US"/>
        </w:rPr>
        <w:t>3.5.</w:t>
      </w:r>
      <w:r>
        <w:tab/>
      </w:r>
      <w:r w:rsidRPr="6F12CFCD">
        <w:rPr>
          <w:lang w:val="en-US"/>
        </w:rPr>
        <w:t>If the transfer involves elements other than a portfolio of insurance or reinsurance contracts: details of the liabilities to be transferred</w:t>
      </w:r>
      <w:r w:rsidR="007166A8" w:rsidRPr="6F12CFCD">
        <w:rPr>
          <w:lang w:val="en-US"/>
        </w:rPr>
        <w:t xml:space="preserve"> </w:t>
      </w:r>
      <w:r w:rsidR="007166A8" w:rsidRPr="00D115AB">
        <w:rPr>
          <w:lang w:val="en-US"/>
        </w:rPr>
        <w:t xml:space="preserve">(e.g. own funds, provisions other than technical provisions, deferred </w:t>
      </w:r>
      <w:proofErr w:type="gramStart"/>
      <w:r w:rsidR="007166A8" w:rsidRPr="00D115AB">
        <w:rPr>
          <w:lang w:val="en-US"/>
        </w:rPr>
        <w:t>taxes</w:t>
      </w:r>
      <w:proofErr w:type="gramEnd"/>
      <w:r w:rsidR="007166A8" w:rsidRPr="00D115AB">
        <w:rPr>
          <w:lang w:val="en-US"/>
        </w:rPr>
        <w:t xml:space="preserve"> and liabilities)</w:t>
      </w:r>
      <w:r w:rsidRPr="6F12CFCD">
        <w:rPr>
          <w:lang w:val="en-US"/>
        </w:rPr>
        <w:t>.</w:t>
      </w:r>
    </w:p>
    <w:p w14:paraId="14F520A4" w14:textId="08F761AA" w:rsidR="008B6E5E" w:rsidRPr="008D3A76" w:rsidRDefault="008B6E5E" w:rsidP="008B6E5E">
      <w:pPr>
        <w:tabs>
          <w:tab w:val="clear" w:pos="284"/>
        </w:tabs>
        <w:spacing w:after="120" w:line="260" w:lineRule="atLeast"/>
        <w:ind w:left="567" w:hanging="567"/>
        <w:jc w:val="both"/>
        <w:rPr>
          <w:szCs w:val="24"/>
          <w:lang w:val="en-US"/>
        </w:rPr>
      </w:pPr>
      <w:r w:rsidRPr="008D3A76">
        <w:rPr>
          <w:lang w:val="en-US"/>
        </w:rPr>
        <w:t>3.</w:t>
      </w:r>
      <w:r w:rsidR="00144CB0">
        <w:rPr>
          <w:lang w:val="en-US"/>
        </w:rPr>
        <w:t>6</w:t>
      </w:r>
      <w:r w:rsidRPr="008D3A76">
        <w:rPr>
          <w:lang w:val="en-US"/>
        </w:rPr>
        <w:t>.</w:t>
      </w:r>
      <w:r w:rsidRPr="008D3A76">
        <w:rPr>
          <w:lang w:val="en-US"/>
        </w:rPr>
        <w:tab/>
        <w:t xml:space="preserve">Details of the guarantees granted by the transferring </w:t>
      </w:r>
      <w:r w:rsidR="00C146C0">
        <w:rPr>
          <w:lang w:val="en-US"/>
        </w:rPr>
        <w:t>/ absorbed / divided</w:t>
      </w:r>
      <w:r w:rsidR="00C146C0" w:rsidRPr="008D3A76">
        <w:rPr>
          <w:lang w:val="en-US"/>
        </w:rPr>
        <w:t xml:space="preserve"> </w:t>
      </w:r>
      <w:r w:rsidRPr="008D3A76">
        <w:rPr>
          <w:lang w:val="en-US"/>
        </w:rPr>
        <w:t xml:space="preserve">company or a third party </w:t>
      </w:r>
      <w:proofErr w:type="gramStart"/>
      <w:r w:rsidRPr="008D3A76">
        <w:rPr>
          <w:lang w:val="en-US"/>
        </w:rPr>
        <w:t>in order to</w:t>
      </w:r>
      <w:proofErr w:type="gramEnd"/>
      <w:r w:rsidRPr="008D3A76">
        <w:rPr>
          <w:lang w:val="en-US"/>
        </w:rPr>
        <w:t xml:space="preserve"> prevent the deterioration of the reserves relating to the portfolio to be transferred.</w:t>
      </w:r>
    </w:p>
    <w:p w14:paraId="1AF1EFC0" w14:textId="156A6B5C" w:rsidR="008B6E5E" w:rsidRPr="008D3A76" w:rsidRDefault="008B6E5E" w:rsidP="008B6E5E">
      <w:pPr>
        <w:spacing w:after="120" w:line="260" w:lineRule="atLeast"/>
        <w:ind w:left="567" w:hanging="567"/>
        <w:jc w:val="both"/>
        <w:rPr>
          <w:szCs w:val="24"/>
          <w:lang w:val="en-US"/>
        </w:rPr>
      </w:pPr>
      <w:r w:rsidRPr="008D3A76">
        <w:rPr>
          <w:lang w:val="en-US"/>
        </w:rPr>
        <w:t>3.</w:t>
      </w:r>
      <w:r w:rsidR="00144CB0">
        <w:rPr>
          <w:lang w:val="en-US"/>
        </w:rPr>
        <w:t>7</w:t>
      </w:r>
      <w:r w:rsidRPr="008D3A76">
        <w:rPr>
          <w:lang w:val="en-US"/>
        </w:rPr>
        <w:t>.</w:t>
      </w:r>
      <w:r w:rsidRPr="008D3A76">
        <w:rPr>
          <w:lang w:val="en-US"/>
        </w:rPr>
        <w:tab/>
        <w:t>Information on the consequences of the transfer for the reinsurance contracts covering the transferred risks.</w:t>
      </w:r>
    </w:p>
    <w:p w14:paraId="4E8746C1" w14:textId="2EA56F88" w:rsidR="008B6E5E" w:rsidRPr="008D3A76" w:rsidRDefault="008B6E5E" w:rsidP="008B6E5E">
      <w:pPr>
        <w:spacing w:after="120" w:line="260" w:lineRule="atLeast"/>
        <w:ind w:left="567" w:hanging="567"/>
        <w:jc w:val="both"/>
        <w:rPr>
          <w:szCs w:val="24"/>
          <w:lang w:val="en-US"/>
        </w:rPr>
      </w:pPr>
      <w:r w:rsidRPr="008D3A76">
        <w:rPr>
          <w:lang w:val="en-US"/>
        </w:rPr>
        <w:t>3.</w:t>
      </w:r>
      <w:r w:rsidR="00144CB0">
        <w:rPr>
          <w:lang w:val="en-US"/>
        </w:rPr>
        <w:t>8</w:t>
      </w:r>
      <w:r w:rsidRPr="008D3A76">
        <w:rPr>
          <w:lang w:val="en-US"/>
        </w:rPr>
        <w:t>.</w:t>
      </w:r>
      <w:r w:rsidRPr="008D3A76">
        <w:rPr>
          <w:lang w:val="en-US"/>
        </w:rPr>
        <w:tab/>
        <w:t>Report of the company’s actuarial function on the le</w:t>
      </w:r>
      <w:r w:rsidR="00614C07" w:rsidRPr="008D3A76">
        <w:rPr>
          <w:lang w:val="en-US"/>
        </w:rPr>
        <w:t>vel of the technical provisions,</w:t>
      </w:r>
      <w:r w:rsidR="00E520EA" w:rsidRPr="008D3A76">
        <w:rPr>
          <w:lang w:val="en-US"/>
        </w:rPr>
        <w:t xml:space="preserve"> on</w:t>
      </w:r>
      <w:r w:rsidR="00614C07" w:rsidRPr="008D3A76">
        <w:rPr>
          <w:lang w:val="en-US"/>
        </w:rPr>
        <w:t xml:space="preserve"> </w:t>
      </w:r>
      <w:r w:rsidRPr="008D3A76">
        <w:rPr>
          <w:lang w:val="en-US"/>
        </w:rPr>
        <w:t xml:space="preserve">the profitability </w:t>
      </w:r>
      <w:r w:rsidR="00546E7F" w:rsidRPr="008D3A76">
        <w:rPr>
          <w:lang w:val="en-US"/>
        </w:rPr>
        <w:t xml:space="preserve">and </w:t>
      </w:r>
      <w:r w:rsidR="00E520EA" w:rsidRPr="008D3A76">
        <w:rPr>
          <w:lang w:val="en-US"/>
        </w:rPr>
        <w:t xml:space="preserve">on </w:t>
      </w:r>
      <w:r w:rsidR="00546E7F" w:rsidRPr="008D3A76">
        <w:rPr>
          <w:lang w:val="en-US"/>
        </w:rPr>
        <w:t xml:space="preserve">the reinsurance arrangements of the portfolio to be </w:t>
      </w:r>
      <w:r w:rsidR="00614C07" w:rsidRPr="008D3A76">
        <w:rPr>
          <w:lang w:val="en-US"/>
        </w:rPr>
        <w:t>transferred</w:t>
      </w:r>
      <w:r w:rsidR="00546E7F" w:rsidRPr="008D3A76">
        <w:rPr>
          <w:lang w:val="en-US"/>
        </w:rPr>
        <w:t>.</w:t>
      </w:r>
    </w:p>
    <w:p w14:paraId="36B2482F" w14:textId="1BB47658" w:rsidR="008B6E5E" w:rsidRPr="008D3A76" w:rsidRDefault="008B6E5E" w:rsidP="008B6E5E">
      <w:pPr>
        <w:spacing w:after="120" w:line="260" w:lineRule="atLeast"/>
        <w:ind w:left="567" w:hanging="567"/>
        <w:jc w:val="both"/>
        <w:rPr>
          <w:szCs w:val="24"/>
          <w:lang w:val="en-US"/>
        </w:rPr>
      </w:pPr>
      <w:r w:rsidRPr="008D3A76">
        <w:rPr>
          <w:lang w:val="en-US"/>
        </w:rPr>
        <w:t>3.</w:t>
      </w:r>
      <w:r w:rsidR="00144CB0">
        <w:rPr>
          <w:lang w:val="en-US"/>
        </w:rPr>
        <w:t>9</w:t>
      </w:r>
      <w:r w:rsidRPr="008D3A76">
        <w:rPr>
          <w:lang w:val="en-US"/>
        </w:rPr>
        <w:t>.</w:t>
      </w:r>
      <w:r w:rsidRPr="008D3A76">
        <w:rPr>
          <w:lang w:val="en-US"/>
        </w:rPr>
        <w:tab/>
        <w:t>Impact of the transaction on the financia</w:t>
      </w:r>
      <w:r w:rsidR="008D3A76" w:rsidRPr="008D3A76">
        <w:rPr>
          <w:lang w:val="en-US"/>
        </w:rPr>
        <w:t>l situation and solvency (SCR).</w:t>
      </w:r>
    </w:p>
    <w:p w14:paraId="70880664" w14:textId="77777777" w:rsidR="008B6E5E" w:rsidRPr="008D3A76" w:rsidRDefault="008B6E5E" w:rsidP="008B6E5E">
      <w:pPr>
        <w:keepNext/>
        <w:keepLines/>
        <w:tabs>
          <w:tab w:val="clear" w:pos="284"/>
        </w:tabs>
        <w:spacing w:before="480" w:after="120" w:line="260" w:lineRule="atLeast"/>
        <w:jc w:val="both"/>
        <w:rPr>
          <w:b/>
          <w:u w:val="single"/>
          <w:lang w:val="en-US"/>
        </w:rPr>
      </w:pPr>
      <w:r w:rsidRPr="008D3A76">
        <w:rPr>
          <w:b/>
          <w:lang w:val="en-US"/>
        </w:rPr>
        <w:t>4.</w:t>
      </w:r>
      <w:r w:rsidRPr="008D3A76">
        <w:rPr>
          <w:b/>
          <w:lang w:val="en-US"/>
        </w:rPr>
        <w:tab/>
      </w:r>
      <w:r w:rsidRPr="008D3A76">
        <w:rPr>
          <w:b/>
          <w:u w:val="single"/>
          <w:lang w:val="en-US"/>
        </w:rPr>
        <w:t xml:space="preserve">Governance and </w:t>
      </w:r>
      <w:proofErr w:type="spellStart"/>
      <w:r w:rsidRPr="008D3A76">
        <w:rPr>
          <w:b/>
          <w:u w:val="single"/>
          <w:lang w:val="en-US"/>
        </w:rPr>
        <w:t>organisational</w:t>
      </w:r>
      <w:proofErr w:type="spellEnd"/>
      <w:r w:rsidRPr="008D3A76">
        <w:rPr>
          <w:b/>
          <w:u w:val="single"/>
          <w:lang w:val="en-US"/>
        </w:rPr>
        <w:t xml:space="preserve"> aspects</w:t>
      </w:r>
    </w:p>
    <w:p w14:paraId="2D6A29EF" w14:textId="77777777" w:rsidR="008B6E5E" w:rsidRPr="008D3A76" w:rsidRDefault="008B6E5E" w:rsidP="008B6E5E">
      <w:pPr>
        <w:spacing w:after="120" w:line="260" w:lineRule="atLeast"/>
        <w:ind w:left="567" w:hanging="567"/>
        <w:jc w:val="both"/>
        <w:rPr>
          <w:lang w:val="en-US"/>
        </w:rPr>
      </w:pPr>
      <w:r w:rsidRPr="008D3A76">
        <w:rPr>
          <w:lang w:val="en-US"/>
        </w:rPr>
        <w:t>4.1.</w:t>
      </w:r>
      <w:r w:rsidRPr="008D3A76">
        <w:rPr>
          <w:lang w:val="en-US"/>
        </w:rPr>
        <w:tab/>
        <w:t>Decisions of the competent management bodies within the transferring company and confirmation of compliance with the company’s articles of associat</w:t>
      </w:r>
      <w:r w:rsidR="007143B5" w:rsidRPr="008D3A76">
        <w:rPr>
          <w:lang w:val="en-US"/>
        </w:rPr>
        <w:t>ion.</w:t>
      </w:r>
    </w:p>
    <w:p w14:paraId="5CD77630" w14:textId="77777777" w:rsidR="008B6E5E" w:rsidRPr="008D3A76" w:rsidRDefault="008B6E5E" w:rsidP="008B6E5E">
      <w:pPr>
        <w:spacing w:after="120" w:line="260" w:lineRule="atLeast"/>
        <w:ind w:left="567" w:hanging="567"/>
        <w:jc w:val="both"/>
        <w:rPr>
          <w:szCs w:val="24"/>
          <w:lang w:val="en-US"/>
        </w:rPr>
      </w:pPr>
      <w:r w:rsidRPr="008D3A76">
        <w:rPr>
          <w:lang w:val="en-US"/>
        </w:rPr>
        <w:t>4.2.</w:t>
      </w:r>
      <w:r w:rsidRPr="008D3A76">
        <w:rPr>
          <w:lang w:val="en-US"/>
        </w:rPr>
        <w:tab/>
        <w:t>Description of the impact of the transaction on the transferring company’s risk profile (new ORSA if it changes significantly).</w:t>
      </w:r>
    </w:p>
    <w:p w14:paraId="50DDEA66" w14:textId="77777777" w:rsidR="008B6E5E" w:rsidRPr="008D3A76" w:rsidRDefault="008B6E5E" w:rsidP="008B6E5E">
      <w:pPr>
        <w:spacing w:after="120" w:line="260" w:lineRule="atLeast"/>
        <w:ind w:left="567" w:hanging="567"/>
        <w:jc w:val="both"/>
        <w:rPr>
          <w:szCs w:val="24"/>
          <w:lang w:val="en-US"/>
        </w:rPr>
      </w:pPr>
      <w:r w:rsidRPr="008D3A76">
        <w:rPr>
          <w:lang w:val="en-US"/>
        </w:rPr>
        <w:t>4.3.</w:t>
      </w:r>
      <w:r w:rsidRPr="008D3A76">
        <w:rPr>
          <w:lang w:val="en-US"/>
        </w:rPr>
        <w:tab/>
        <w:t xml:space="preserve">Description of the impact of the transaction on the company’s management structure, </w:t>
      </w:r>
      <w:proofErr w:type="spellStart"/>
      <w:r w:rsidRPr="008D3A76">
        <w:rPr>
          <w:lang w:val="en-US"/>
        </w:rPr>
        <w:t>organisation</w:t>
      </w:r>
      <w:proofErr w:type="spellEnd"/>
      <w:r w:rsidRPr="008D3A76">
        <w:rPr>
          <w:lang w:val="en-US"/>
        </w:rPr>
        <w:t xml:space="preserve"> (new </w:t>
      </w:r>
      <w:proofErr w:type="spellStart"/>
      <w:r w:rsidRPr="008D3A76">
        <w:rPr>
          <w:lang w:val="en-US"/>
        </w:rPr>
        <w:t>organisational</w:t>
      </w:r>
      <w:proofErr w:type="spellEnd"/>
      <w:r w:rsidRPr="008D3A76">
        <w:rPr>
          <w:lang w:val="en-US"/>
        </w:rPr>
        <w:t xml:space="preserve"> chart, impact on the staff, distribution network, ...) and internal control mechanisms.</w:t>
      </w:r>
    </w:p>
    <w:p w14:paraId="6C763886" w14:textId="77777777" w:rsidR="008B6E5E" w:rsidRPr="008D3A76" w:rsidRDefault="008B6E5E" w:rsidP="008B6E5E">
      <w:pPr>
        <w:spacing w:after="120" w:line="260" w:lineRule="atLeast"/>
        <w:ind w:left="567" w:hanging="567"/>
        <w:jc w:val="both"/>
        <w:rPr>
          <w:szCs w:val="24"/>
          <w:lang w:val="en-US"/>
        </w:rPr>
      </w:pPr>
      <w:r w:rsidRPr="008D3A76">
        <w:rPr>
          <w:lang w:val="en-US"/>
        </w:rPr>
        <w:t>4.4.</w:t>
      </w:r>
      <w:r w:rsidRPr="008D3A76">
        <w:rPr>
          <w:lang w:val="en-US"/>
        </w:rPr>
        <w:tab/>
        <w:t>Description of the impact of the transaction on the control functions (risk management, actuarial, compliance</w:t>
      </w:r>
      <w:r w:rsidR="007143B5" w:rsidRPr="008D3A76">
        <w:rPr>
          <w:lang w:val="en-US"/>
        </w:rPr>
        <w:t xml:space="preserve"> and internal audit functions).</w:t>
      </w:r>
    </w:p>
    <w:p w14:paraId="0E6354FC" w14:textId="77777777" w:rsidR="008B6E5E" w:rsidRPr="008D3A76" w:rsidRDefault="008B6E5E" w:rsidP="008B6E5E">
      <w:pPr>
        <w:spacing w:after="120" w:line="260" w:lineRule="atLeast"/>
        <w:ind w:left="567" w:hanging="567"/>
        <w:jc w:val="both"/>
        <w:rPr>
          <w:lang w:val="en-US"/>
        </w:rPr>
      </w:pPr>
      <w:r w:rsidRPr="008D3A76">
        <w:rPr>
          <w:lang w:val="en-US"/>
        </w:rPr>
        <w:t>4.5.</w:t>
      </w:r>
      <w:r w:rsidRPr="008D3A76">
        <w:rPr>
          <w:lang w:val="en-US"/>
        </w:rPr>
        <w:tab/>
        <w:t xml:space="preserve">Description of the consequences of the transaction for the </w:t>
      </w:r>
      <w:proofErr w:type="spellStart"/>
      <w:r w:rsidRPr="008D3A76">
        <w:rPr>
          <w:lang w:val="en-US"/>
        </w:rPr>
        <w:t>authorisations</w:t>
      </w:r>
      <w:proofErr w:type="spellEnd"/>
      <w:r w:rsidRPr="008D3A76">
        <w:rPr>
          <w:lang w:val="en-US"/>
        </w:rPr>
        <w:t xml:space="preserve"> granted by the Bank (internal model, undertaking-spec</w:t>
      </w:r>
      <w:r w:rsidR="007143B5" w:rsidRPr="008D3A76">
        <w:rPr>
          <w:lang w:val="en-US"/>
        </w:rPr>
        <w:t>ific parameters or USPs, etc.).</w:t>
      </w:r>
    </w:p>
    <w:p w14:paraId="13BFF508" w14:textId="4EC2512D" w:rsidR="008B6E5E" w:rsidRPr="008D3A76" w:rsidRDefault="008B6E5E" w:rsidP="008B6E5E">
      <w:pPr>
        <w:spacing w:after="120" w:line="260" w:lineRule="atLeast"/>
        <w:ind w:left="567" w:hanging="567"/>
        <w:jc w:val="both"/>
        <w:rPr>
          <w:lang w:val="en-US"/>
        </w:rPr>
      </w:pPr>
      <w:r w:rsidRPr="008D3A76">
        <w:rPr>
          <w:lang w:val="en-US"/>
        </w:rPr>
        <w:t>4.6.</w:t>
      </w:r>
      <w:r w:rsidRPr="008D3A76">
        <w:rPr>
          <w:lang w:val="en-US"/>
        </w:rPr>
        <w:tab/>
        <w:t>If the transfer of a portfolio of insurance contracts involves the complete closure of a branch in another Member State</w:t>
      </w:r>
      <w:r w:rsidR="004C7465">
        <w:rPr>
          <w:lang w:val="en-US"/>
        </w:rPr>
        <w:t xml:space="preserve"> or in a third country</w:t>
      </w:r>
      <w:r w:rsidRPr="008D3A76">
        <w:rPr>
          <w:lang w:val="en-US"/>
        </w:rPr>
        <w:t>, a copy of the agreement on the management of the branch's claims.</w:t>
      </w:r>
    </w:p>
    <w:p w14:paraId="4627F133" w14:textId="77777777" w:rsidR="008B6E5E" w:rsidRPr="008D3A76" w:rsidRDefault="008B6E5E" w:rsidP="008B6E5E">
      <w:pPr>
        <w:keepNext/>
        <w:keepLines/>
        <w:tabs>
          <w:tab w:val="clear" w:pos="284"/>
        </w:tabs>
        <w:spacing w:before="480" w:after="120" w:line="260" w:lineRule="atLeast"/>
        <w:jc w:val="both"/>
        <w:rPr>
          <w:b/>
          <w:u w:val="single"/>
          <w:lang w:val="en-US"/>
        </w:rPr>
      </w:pPr>
      <w:r w:rsidRPr="008D3A76">
        <w:rPr>
          <w:b/>
          <w:lang w:val="en-US"/>
        </w:rPr>
        <w:t>5.</w:t>
      </w:r>
      <w:r w:rsidRPr="008D3A76">
        <w:rPr>
          <w:b/>
          <w:lang w:val="en-US"/>
        </w:rPr>
        <w:tab/>
      </w:r>
      <w:r w:rsidRPr="008D3A76">
        <w:rPr>
          <w:b/>
          <w:u w:val="single"/>
          <w:lang w:val="en-US"/>
        </w:rPr>
        <w:t>Miscellaneous</w:t>
      </w:r>
    </w:p>
    <w:p w14:paraId="055CFB56" w14:textId="77777777" w:rsidR="008B6E5E" w:rsidRPr="008D3A76" w:rsidRDefault="008B6E5E" w:rsidP="008B6E5E">
      <w:pPr>
        <w:tabs>
          <w:tab w:val="clear" w:pos="284"/>
        </w:tabs>
        <w:spacing w:after="120" w:line="260" w:lineRule="atLeast"/>
        <w:ind w:left="567" w:hanging="567"/>
        <w:jc w:val="both"/>
        <w:rPr>
          <w:lang w:val="en-US"/>
        </w:rPr>
      </w:pPr>
      <w:r w:rsidRPr="008D3A76">
        <w:rPr>
          <w:lang w:val="en-US"/>
        </w:rPr>
        <w:t>5.1.</w:t>
      </w:r>
      <w:r w:rsidRPr="008D3A76">
        <w:rPr>
          <w:lang w:val="en-US"/>
        </w:rPr>
        <w:tab/>
        <w:t>If the portfolio relates to occupational accident risks, confirmation of compliance with the specific provisions established for this type of risks.</w:t>
      </w:r>
    </w:p>
    <w:p w14:paraId="5B22C27F" w14:textId="77777777" w:rsidR="008B6E5E" w:rsidRPr="008D3A76" w:rsidRDefault="008B6E5E" w:rsidP="008B6E5E">
      <w:pPr>
        <w:tabs>
          <w:tab w:val="clear" w:pos="284"/>
        </w:tabs>
        <w:spacing w:after="120" w:line="260" w:lineRule="atLeast"/>
        <w:ind w:left="567" w:hanging="567"/>
        <w:jc w:val="both"/>
        <w:rPr>
          <w:lang w:val="en-US"/>
        </w:rPr>
      </w:pPr>
      <w:r w:rsidRPr="008D3A76">
        <w:rPr>
          <w:lang w:val="en-US"/>
        </w:rPr>
        <w:t>5.2.</w:t>
      </w:r>
      <w:r w:rsidRPr="008D3A76">
        <w:rPr>
          <w:lang w:val="en-US"/>
        </w:rPr>
        <w:tab/>
        <w:t>If the portfolio relates to mortgage loans, confirmation of compliance with</w:t>
      </w:r>
      <w:r w:rsidR="00B505EE" w:rsidRPr="008D3A76">
        <w:rPr>
          <w:lang w:val="en-US"/>
        </w:rPr>
        <w:t xml:space="preserve"> the relevant legal provisions.</w:t>
      </w:r>
    </w:p>
    <w:p w14:paraId="5F8C5B13" w14:textId="77777777" w:rsidR="00D13BDC" w:rsidRPr="008D3A76" w:rsidRDefault="00D13BDC">
      <w:pPr>
        <w:tabs>
          <w:tab w:val="clear" w:pos="284"/>
        </w:tabs>
        <w:spacing w:line="240" w:lineRule="auto"/>
        <w:rPr>
          <w:i/>
          <w:sz w:val="22"/>
          <w:lang w:val="en-US"/>
        </w:rPr>
      </w:pPr>
    </w:p>
    <w:sectPr w:rsidR="00D13BDC" w:rsidRPr="008D3A76" w:rsidSect="00D850C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81F0" w14:textId="77777777" w:rsidR="009E5383" w:rsidRDefault="009E5383">
      <w:r>
        <w:separator/>
      </w:r>
    </w:p>
  </w:endnote>
  <w:endnote w:type="continuationSeparator" w:id="0">
    <w:p w14:paraId="335C8C58" w14:textId="77777777" w:rsidR="009E5383" w:rsidRDefault="009E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873A" w14:textId="54DE2D50" w:rsidR="00E87276" w:rsidRPr="00D115AB" w:rsidRDefault="00D13BDC" w:rsidP="00E87276">
    <w:pPr>
      <w:pStyle w:val="Footer"/>
      <w:pBdr>
        <w:top w:val="single" w:sz="4" w:space="1" w:color="auto"/>
      </w:pBdr>
      <w:rPr>
        <w:b/>
        <w:sz w:val="16"/>
        <w:szCs w:val="16"/>
        <w:lang w:val="en-US"/>
      </w:rPr>
    </w:pPr>
    <w:r w:rsidRPr="00D115AB">
      <w:rPr>
        <w:b/>
        <w:sz w:val="16"/>
        <w:szCs w:val="16"/>
        <w:lang w:val="en-US"/>
      </w:rPr>
      <w:t>Annex 1</w:t>
    </w:r>
    <w:r>
      <w:rPr>
        <w:rFonts w:cs="Arial"/>
        <w:b/>
        <w:sz w:val="16"/>
        <w:szCs w:val="16"/>
        <w:lang w:val="nl-BE"/>
      </w:rPr>
      <w:t> </w:t>
    </w:r>
    <w:r w:rsidRPr="00D115AB">
      <w:rPr>
        <w:rFonts w:cs="Arial"/>
        <w:b/>
        <w:sz w:val="16"/>
        <w:szCs w:val="16"/>
        <w:lang w:val="en-US"/>
      </w:rPr>
      <w:t>–</w:t>
    </w:r>
    <w:r>
      <w:rPr>
        <w:rFonts w:cs="Arial"/>
        <w:b/>
        <w:sz w:val="16"/>
        <w:szCs w:val="16"/>
        <w:lang w:val="nl-BE"/>
      </w:rPr>
      <w:t> </w:t>
    </w:r>
    <w:r w:rsidRPr="00D115AB">
      <w:rPr>
        <w:b/>
        <w:sz w:val="16"/>
        <w:szCs w:val="16"/>
        <w:lang w:val="en-US"/>
      </w:rPr>
      <w:t xml:space="preserve">Page </w:t>
    </w:r>
    <w:r>
      <w:rPr>
        <w:b/>
        <w:sz w:val="16"/>
        <w:szCs w:val="16"/>
        <w:lang w:val="nl-BE"/>
      </w:rPr>
      <w:fldChar w:fldCharType="begin"/>
    </w:r>
    <w:r w:rsidRPr="00D115AB">
      <w:rPr>
        <w:b/>
        <w:sz w:val="16"/>
        <w:szCs w:val="16"/>
        <w:lang w:val="en-US"/>
      </w:rPr>
      <w:instrText xml:space="preserve"> PAGE   </w:instrText>
    </w:r>
    <w:r>
      <w:rPr>
        <w:b/>
        <w:sz w:val="16"/>
        <w:szCs w:val="16"/>
        <w:lang w:val="nl-BE"/>
      </w:rPr>
      <w:fldChar w:fldCharType="separate"/>
    </w:r>
    <w:r w:rsidR="00A04A36" w:rsidRPr="00D115AB">
      <w:rPr>
        <w:b/>
        <w:noProof/>
        <w:sz w:val="16"/>
        <w:szCs w:val="16"/>
        <w:lang w:val="en-US"/>
      </w:rPr>
      <w:t>2</w:t>
    </w:r>
    <w:r>
      <w:rPr>
        <w:b/>
        <w:sz w:val="16"/>
        <w:szCs w:val="16"/>
        <w:lang w:val="nl-BE"/>
      </w:rPr>
      <w:fldChar w:fldCharType="end"/>
    </w:r>
    <w:r w:rsidRPr="00D115AB">
      <w:rPr>
        <w:b/>
        <w:sz w:val="16"/>
        <w:szCs w:val="16"/>
        <w:lang w:val="en-US"/>
      </w:rPr>
      <w:t>/</w:t>
    </w:r>
    <w:r>
      <w:rPr>
        <w:b/>
        <w:sz w:val="16"/>
        <w:szCs w:val="16"/>
        <w:lang w:val="nl-BE"/>
      </w:rPr>
      <w:fldChar w:fldCharType="begin"/>
    </w:r>
    <w:r w:rsidRPr="00D115AB">
      <w:rPr>
        <w:b/>
        <w:sz w:val="16"/>
        <w:szCs w:val="16"/>
        <w:lang w:val="en-US"/>
      </w:rPr>
      <w:instrText xml:space="preserve"> NUMPAGES   </w:instrText>
    </w:r>
    <w:r>
      <w:rPr>
        <w:b/>
        <w:sz w:val="16"/>
        <w:szCs w:val="16"/>
        <w:lang w:val="nl-BE"/>
      </w:rPr>
      <w:fldChar w:fldCharType="separate"/>
    </w:r>
    <w:r w:rsidR="00A04A36" w:rsidRPr="00D115AB">
      <w:rPr>
        <w:b/>
        <w:noProof/>
        <w:sz w:val="16"/>
        <w:szCs w:val="16"/>
        <w:lang w:val="en-US"/>
      </w:rPr>
      <w:t>3</w:t>
    </w:r>
    <w:r>
      <w:rPr>
        <w:b/>
        <w:sz w:val="16"/>
        <w:szCs w:val="16"/>
        <w:lang w:val="nl-BE"/>
      </w:rPr>
      <w:fldChar w:fldCharType="end"/>
    </w:r>
    <w:r w:rsidRPr="00D115AB">
      <w:rPr>
        <w:b/>
        <w:sz w:val="16"/>
        <w:szCs w:val="16"/>
        <w:lang w:val="en-US"/>
      </w:rPr>
      <w:tab/>
    </w:r>
    <w:r w:rsidR="008D3A76" w:rsidRPr="00D115AB">
      <w:rPr>
        <w:sz w:val="14"/>
        <w:szCs w:val="16"/>
        <w:lang w:val="en-US"/>
      </w:rPr>
      <w:t>NBB</w:t>
    </w:r>
    <w:r w:rsidR="0023699F" w:rsidRPr="00D115AB">
      <w:rPr>
        <w:sz w:val="14"/>
        <w:szCs w:val="16"/>
        <w:lang w:val="en-US"/>
      </w:rPr>
      <w:t>_202</w:t>
    </w:r>
    <w:r w:rsidR="00DF45C1" w:rsidRPr="00D115AB">
      <w:rPr>
        <w:sz w:val="14"/>
        <w:szCs w:val="16"/>
        <w:lang w:val="en-US"/>
      </w:rPr>
      <w:t>1</w:t>
    </w:r>
    <w:r w:rsidR="0023699F" w:rsidRPr="00D115AB">
      <w:rPr>
        <w:sz w:val="14"/>
        <w:szCs w:val="16"/>
        <w:lang w:val="en-US"/>
      </w:rPr>
      <w:t>_</w:t>
    </w:r>
    <w:r w:rsidR="00795298" w:rsidRPr="00D115AB">
      <w:rPr>
        <w:sz w:val="14"/>
        <w:szCs w:val="16"/>
        <w:lang w:val="en-US"/>
      </w:rPr>
      <w:t>0</w:t>
    </w:r>
    <w:r w:rsidR="00DF45C1" w:rsidRPr="00D115AB">
      <w:rPr>
        <w:sz w:val="14"/>
        <w:szCs w:val="16"/>
        <w:lang w:val="en-US"/>
      </w:rPr>
      <w:t>06</w:t>
    </w:r>
    <w:r w:rsidR="008D3A76">
      <w:rPr>
        <w:rFonts w:cs="Arial"/>
        <w:sz w:val="14"/>
        <w:szCs w:val="16"/>
        <w:lang w:val="nl-BE"/>
      </w:rPr>
      <w:t> </w:t>
    </w:r>
    <w:r w:rsidR="008D3A76" w:rsidRPr="00D115AB">
      <w:rPr>
        <w:rFonts w:cs="Arial"/>
        <w:sz w:val="14"/>
        <w:szCs w:val="16"/>
        <w:lang w:val="en-US"/>
      </w:rPr>
      <w:t>–</w:t>
    </w:r>
    <w:r w:rsidR="008D3A76">
      <w:rPr>
        <w:rFonts w:cs="Arial"/>
        <w:sz w:val="14"/>
        <w:szCs w:val="16"/>
        <w:lang w:val="nl-BE"/>
      </w:rPr>
      <w:t> </w:t>
    </w:r>
    <w:r w:rsidR="00DF45C1" w:rsidRPr="00D115AB">
      <w:rPr>
        <w:rFonts w:cs="Arial"/>
        <w:sz w:val="14"/>
        <w:szCs w:val="16"/>
        <w:lang w:val="en-US"/>
      </w:rPr>
      <w:t>17th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8B4D" w14:textId="6A7D2722" w:rsidR="00450949" w:rsidRPr="00C279D7" w:rsidRDefault="00D13BDC" w:rsidP="00F64E38">
    <w:pPr>
      <w:pStyle w:val="Footer"/>
      <w:pBdr>
        <w:top w:val="single" w:sz="4" w:space="1" w:color="auto"/>
      </w:pBdr>
      <w:rPr>
        <w:b/>
        <w:sz w:val="16"/>
        <w:szCs w:val="14"/>
        <w:lang w:val="fr-BE"/>
      </w:rPr>
    </w:pPr>
    <w:r>
      <w:rPr>
        <w:b/>
        <w:sz w:val="16"/>
        <w:szCs w:val="14"/>
        <w:lang w:val="nl-BE"/>
      </w:rPr>
      <w:tab/>
    </w:r>
    <w:r w:rsidR="008D3A76">
      <w:rPr>
        <w:sz w:val="14"/>
        <w:szCs w:val="16"/>
        <w:lang w:val="fr-BE"/>
      </w:rPr>
      <w:t>NBB</w:t>
    </w:r>
    <w:r w:rsidR="0023699F">
      <w:rPr>
        <w:sz w:val="14"/>
        <w:szCs w:val="16"/>
        <w:lang w:val="fr-BE"/>
      </w:rPr>
      <w:t>_202</w:t>
    </w:r>
    <w:r w:rsidR="00DF45C1">
      <w:rPr>
        <w:sz w:val="14"/>
        <w:szCs w:val="16"/>
        <w:lang w:val="fr-BE"/>
      </w:rPr>
      <w:t>1</w:t>
    </w:r>
    <w:r w:rsidR="0023699F">
      <w:rPr>
        <w:sz w:val="14"/>
        <w:szCs w:val="16"/>
        <w:lang w:val="fr-BE"/>
      </w:rPr>
      <w:t>_</w:t>
    </w:r>
    <w:r w:rsidR="00795298">
      <w:rPr>
        <w:sz w:val="14"/>
        <w:szCs w:val="16"/>
        <w:lang w:val="fr-BE"/>
      </w:rPr>
      <w:t>0</w:t>
    </w:r>
    <w:r w:rsidR="00DF45C1">
      <w:rPr>
        <w:sz w:val="14"/>
        <w:szCs w:val="16"/>
        <w:lang w:val="fr-BE"/>
      </w:rPr>
      <w:t>06</w:t>
    </w:r>
    <w:r w:rsidR="008D3A76">
      <w:rPr>
        <w:rFonts w:cs="Arial"/>
        <w:sz w:val="14"/>
        <w:szCs w:val="16"/>
        <w:lang w:val="nl-BE"/>
      </w:rPr>
      <w:t> </w:t>
    </w:r>
    <w:r w:rsidR="008D3A76" w:rsidRPr="00C279D7">
      <w:rPr>
        <w:rFonts w:cs="Arial"/>
        <w:sz w:val="14"/>
        <w:szCs w:val="16"/>
        <w:lang w:val="fr-BE"/>
      </w:rPr>
      <w:t>–</w:t>
    </w:r>
    <w:r w:rsidR="008D3A76">
      <w:rPr>
        <w:rFonts w:cs="Arial"/>
        <w:sz w:val="14"/>
        <w:szCs w:val="16"/>
        <w:lang w:val="nl-BE"/>
      </w:rPr>
      <w:t> </w:t>
    </w:r>
    <w:r w:rsidR="00DF45C1">
      <w:rPr>
        <w:rFonts w:cs="Arial"/>
        <w:sz w:val="14"/>
        <w:szCs w:val="16"/>
        <w:lang w:val="nl-BE"/>
      </w:rPr>
      <w:t xml:space="preserve">17th </w:t>
    </w:r>
    <w:proofErr w:type="spellStart"/>
    <w:r w:rsidR="00DF45C1">
      <w:rPr>
        <w:rFonts w:cs="Arial"/>
        <w:sz w:val="14"/>
        <w:szCs w:val="16"/>
        <w:lang w:val="nl-BE"/>
      </w:rPr>
      <w:t>March</w:t>
    </w:r>
    <w:proofErr w:type="spellEnd"/>
    <w:r w:rsidR="00DF45C1">
      <w:rPr>
        <w:rFonts w:cs="Arial"/>
        <w:sz w:val="14"/>
        <w:szCs w:val="16"/>
        <w:lang w:val="nl-BE"/>
      </w:rPr>
      <w:t xml:space="preserve"> 2021</w:t>
    </w:r>
    <w:r w:rsidRPr="00C279D7">
      <w:rPr>
        <w:b/>
        <w:sz w:val="16"/>
        <w:szCs w:val="14"/>
        <w:lang w:val="fr-BE"/>
      </w:rPr>
      <w:tab/>
      <w:t>Annex 1</w:t>
    </w:r>
    <w:r>
      <w:rPr>
        <w:rFonts w:cs="Arial"/>
        <w:b/>
        <w:sz w:val="16"/>
        <w:szCs w:val="14"/>
        <w:lang w:val="nl-BE"/>
      </w:rPr>
      <w:t> </w:t>
    </w:r>
    <w:r w:rsidRPr="00C279D7">
      <w:rPr>
        <w:rFonts w:cs="Arial"/>
        <w:b/>
        <w:sz w:val="16"/>
        <w:szCs w:val="14"/>
        <w:lang w:val="fr-BE"/>
      </w:rPr>
      <w:t>–</w:t>
    </w:r>
    <w:r>
      <w:rPr>
        <w:rFonts w:cs="Arial"/>
        <w:b/>
        <w:sz w:val="16"/>
        <w:szCs w:val="14"/>
        <w:lang w:val="nl-BE"/>
      </w:rPr>
      <w:t> </w:t>
    </w:r>
    <w:r w:rsidRPr="00C279D7">
      <w:rPr>
        <w:b/>
        <w:sz w:val="16"/>
        <w:szCs w:val="14"/>
        <w:lang w:val="fr-BE"/>
      </w:rPr>
      <w:t xml:space="preserve">Page </w:t>
    </w:r>
    <w:r>
      <w:rPr>
        <w:b/>
        <w:sz w:val="16"/>
        <w:szCs w:val="14"/>
        <w:lang w:val="nl-BE"/>
      </w:rPr>
      <w:fldChar w:fldCharType="begin"/>
    </w:r>
    <w:r w:rsidRPr="00C279D7">
      <w:rPr>
        <w:b/>
        <w:sz w:val="16"/>
        <w:szCs w:val="14"/>
        <w:lang w:val="fr-BE"/>
      </w:rPr>
      <w:instrText xml:space="preserve"> PAGE   </w:instrText>
    </w:r>
    <w:r>
      <w:rPr>
        <w:b/>
        <w:sz w:val="16"/>
        <w:szCs w:val="14"/>
        <w:lang w:val="nl-BE"/>
      </w:rPr>
      <w:fldChar w:fldCharType="separate"/>
    </w:r>
    <w:r w:rsidR="00A04A36">
      <w:rPr>
        <w:b/>
        <w:noProof/>
        <w:sz w:val="16"/>
        <w:szCs w:val="14"/>
        <w:lang w:val="fr-BE"/>
      </w:rPr>
      <w:t>3</w:t>
    </w:r>
    <w:r>
      <w:rPr>
        <w:b/>
        <w:sz w:val="16"/>
        <w:szCs w:val="14"/>
        <w:lang w:val="nl-BE"/>
      </w:rPr>
      <w:fldChar w:fldCharType="end"/>
    </w:r>
    <w:r w:rsidRPr="00C279D7">
      <w:rPr>
        <w:b/>
        <w:sz w:val="16"/>
        <w:szCs w:val="14"/>
        <w:lang w:val="fr-BE"/>
      </w:rPr>
      <w:t>/</w:t>
    </w:r>
    <w:r>
      <w:rPr>
        <w:b/>
        <w:sz w:val="16"/>
        <w:szCs w:val="14"/>
        <w:lang w:val="nl-BE"/>
      </w:rPr>
      <w:fldChar w:fldCharType="begin"/>
    </w:r>
    <w:r w:rsidRPr="00C279D7">
      <w:rPr>
        <w:b/>
        <w:sz w:val="16"/>
        <w:szCs w:val="14"/>
        <w:lang w:val="fr-BE"/>
      </w:rPr>
      <w:instrText xml:space="preserve"> NUMPAGES   </w:instrText>
    </w:r>
    <w:r>
      <w:rPr>
        <w:b/>
        <w:sz w:val="16"/>
        <w:szCs w:val="14"/>
        <w:lang w:val="nl-BE"/>
      </w:rPr>
      <w:fldChar w:fldCharType="separate"/>
    </w:r>
    <w:r w:rsidR="00A04A36">
      <w:rPr>
        <w:b/>
        <w:noProof/>
        <w:sz w:val="16"/>
        <w:szCs w:val="14"/>
        <w:lang w:val="fr-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746E2" w14:textId="096DD056" w:rsidR="00450949" w:rsidRPr="00C279D7" w:rsidRDefault="00D13BDC" w:rsidP="00CB2202">
    <w:pPr>
      <w:pStyle w:val="Footer"/>
      <w:pBdr>
        <w:top w:val="single" w:sz="4" w:space="1" w:color="auto"/>
      </w:pBdr>
      <w:rPr>
        <w:b/>
        <w:sz w:val="16"/>
        <w:szCs w:val="16"/>
        <w:lang w:val="fr-BE"/>
      </w:rPr>
    </w:pPr>
    <w:r>
      <w:rPr>
        <w:b/>
        <w:sz w:val="16"/>
        <w:szCs w:val="16"/>
        <w:lang w:val="nl-BE"/>
      </w:rPr>
      <w:tab/>
    </w:r>
    <w:r w:rsidR="00A83284">
      <w:rPr>
        <w:sz w:val="14"/>
        <w:szCs w:val="16"/>
        <w:lang w:val="fr-BE"/>
      </w:rPr>
      <w:t>NBB</w:t>
    </w:r>
    <w:r w:rsidR="0023699F">
      <w:rPr>
        <w:sz w:val="14"/>
        <w:szCs w:val="16"/>
        <w:lang w:val="fr-BE"/>
      </w:rPr>
      <w:t>_202</w:t>
    </w:r>
    <w:r w:rsidR="00A670A5">
      <w:rPr>
        <w:sz w:val="14"/>
        <w:szCs w:val="16"/>
        <w:lang w:val="fr-BE"/>
      </w:rPr>
      <w:t>1</w:t>
    </w:r>
    <w:r w:rsidR="0023699F">
      <w:rPr>
        <w:sz w:val="14"/>
        <w:szCs w:val="16"/>
        <w:lang w:val="fr-BE"/>
      </w:rPr>
      <w:t>_</w:t>
    </w:r>
    <w:r w:rsidR="00A670A5">
      <w:rPr>
        <w:sz w:val="14"/>
        <w:szCs w:val="16"/>
        <w:lang w:val="fr-BE"/>
      </w:rPr>
      <w:t>0</w:t>
    </w:r>
    <w:r w:rsidR="00795298">
      <w:rPr>
        <w:sz w:val="14"/>
        <w:szCs w:val="16"/>
        <w:lang w:val="fr-BE"/>
      </w:rPr>
      <w:t>0</w:t>
    </w:r>
    <w:r w:rsidR="00A670A5">
      <w:rPr>
        <w:sz w:val="14"/>
        <w:szCs w:val="16"/>
        <w:lang w:val="fr-BE"/>
      </w:rPr>
      <w:t>6</w:t>
    </w:r>
    <w:r>
      <w:rPr>
        <w:rFonts w:cs="Arial"/>
        <w:sz w:val="14"/>
        <w:szCs w:val="16"/>
        <w:lang w:val="nl-BE"/>
      </w:rPr>
      <w:t> </w:t>
    </w:r>
    <w:r w:rsidRPr="00C279D7">
      <w:rPr>
        <w:rFonts w:cs="Arial"/>
        <w:sz w:val="14"/>
        <w:szCs w:val="16"/>
        <w:lang w:val="fr-BE"/>
      </w:rPr>
      <w:t>–</w:t>
    </w:r>
    <w:r>
      <w:rPr>
        <w:rFonts w:cs="Arial"/>
        <w:sz w:val="14"/>
        <w:szCs w:val="16"/>
        <w:lang w:val="nl-BE"/>
      </w:rPr>
      <w:t> </w:t>
    </w:r>
    <w:r w:rsidR="00A670A5">
      <w:rPr>
        <w:rFonts w:cs="Arial"/>
        <w:sz w:val="14"/>
        <w:szCs w:val="16"/>
        <w:lang w:val="nl-BE"/>
      </w:rPr>
      <w:t xml:space="preserve">17th </w:t>
    </w:r>
    <w:proofErr w:type="spellStart"/>
    <w:r w:rsidR="00A670A5">
      <w:rPr>
        <w:rFonts w:cs="Arial"/>
        <w:sz w:val="14"/>
        <w:szCs w:val="16"/>
        <w:lang w:val="nl-BE"/>
      </w:rPr>
      <w:t>March</w:t>
    </w:r>
    <w:proofErr w:type="spellEnd"/>
    <w:r w:rsidR="00A670A5">
      <w:rPr>
        <w:rFonts w:cs="Arial"/>
        <w:sz w:val="14"/>
        <w:szCs w:val="16"/>
        <w:lang w:val="nl-BE"/>
      </w:rPr>
      <w:t xml:space="preserve"> 2021</w:t>
    </w:r>
    <w:r w:rsidRPr="00C279D7">
      <w:rPr>
        <w:b/>
        <w:sz w:val="16"/>
        <w:szCs w:val="16"/>
        <w:lang w:val="fr-BE"/>
      </w:rPr>
      <w:tab/>
      <w:t>Annex 1</w:t>
    </w:r>
    <w:r>
      <w:rPr>
        <w:rFonts w:cs="Arial"/>
        <w:b/>
        <w:sz w:val="16"/>
        <w:szCs w:val="16"/>
        <w:lang w:val="nl-BE"/>
      </w:rPr>
      <w:t> </w:t>
    </w:r>
    <w:r w:rsidRPr="00C279D7">
      <w:rPr>
        <w:rFonts w:cs="Arial"/>
        <w:b/>
        <w:sz w:val="16"/>
        <w:szCs w:val="16"/>
        <w:lang w:val="fr-BE"/>
      </w:rPr>
      <w:t>–</w:t>
    </w:r>
    <w:r>
      <w:rPr>
        <w:rFonts w:cs="Arial"/>
        <w:b/>
        <w:sz w:val="16"/>
        <w:szCs w:val="16"/>
        <w:lang w:val="nl-BE"/>
      </w:rPr>
      <w:t> </w:t>
    </w:r>
    <w:r w:rsidRPr="00C279D7">
      <w:rPr>
        <w:b/>
        <w:sz w:val="16"/>
        <w:szCs w:val="16"/>
        <w:lang w:val="fr-BE"/>
      </w:rPr>
      <w:t xml:space="preserve">Page </w:t>
    </w:r>
    <w:r>
      <w:rPr>
        <w:b/>
        <w:sz w:val="16"/>
        <w:szCs w:val="16"/>
        <w:lang w:val="nl-BE"/>
      </w:rPr>
      <w:fldChar w:fldCharType="begin"/>
    </w:r>
    <w:r w:rsidRPr="00C279D7">
      <w:rPr>
        <w:b/>
        <w:sz w:val="16"/>
        <w:szCs w:val="16"/>
        <w:lang w:val="fr-BE"/>
      </w:rPr>
      <w:instrText xml:space="preserve"> PAGE   </w:instrText>
    </w:r>
    <w:r>
      <w:rPr>
        <w:b/>
        <w:sz w:val="16"/>
        <w:szCs w:val="16"/>
        <w:lang w:val="nl-BE"/>
      </w:rPr>
      <w:fldChar w:fldCharType="separate"/>
    </w:r>
    <w:r w:rsidR="00A04A36">
      <w:rPr>
        <w:b/>
        <w:noProof/>
        <w:sz w:val="16"/>
        <w:szCs w:val="16"/>
        <w:lang w:val="fr-BE"/>
      </w:rPr>
      <w:t>1</w:t>
    </w:r>
    <w:r>
      <w:rPr>
        <w:b/>
        <w:sz w:val="16"/>
        <w:szCs w:val="16"/>
        <w:lang w:val="nl-BE"/>
      </w:rPr>
      <w:fldChar w:fldCharType="end"/>
    </w:r>
    <w:r w:rsidRPr="00C279D7">
      <w:rPr>
        <w:b/>
        <w:sz w:val="16"/>
        <w:szCs w:val="16"/>
        <w:lang w:val="fr-BE"/>
      </w:rPr>
      <w:t>/</w:t>
    </w:r>
    <w:r>
      <w:rPr>
        <w:b/>
        <w:sz w:val="16"/>
        <w:szCs w:val="16"/>
        <w:lang w:val="nl-BE"/>
      </w:rPr>
      <w:fldChar w:fldCharType="begin"/>
    </w:r>
    <w:r w:rsidRPr="00C279D7">
      <w:rPr>
        <w:b/>
        <w:sz w:val="16"/>
        <w:szCs w:val="16"/>
        <w:lang w:val="fr-BE"/>
      </w:rPr>
      <w:instrText xml:space="preserve"> NUMPAGES   </w:instrText>
    </w:r>
    <w:r>
      <w:rPr>
        <w:b/>
        <w:sz w:val="16"/>
        <w:szCs w:val="16"/>
        <w:lang w:val="nl-BE"/>
      </w:rPr>
      <w:fldChar w:fldCharType="separate"/>
    </w:r>
    <w:r w:rsidR="00A04A36">
      <w:rPr>
        <w:b/>
        <w:noProof/>
        <w:sz w:val="16"/>
        <w:szCs w:val="16"/>
        <w:lang w:val="fr-BE"/>
      </w:rPr>
      <w:t>3</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950D" w14:textId="77777777" w:rsidR="009E5383" w:rsidRPr="00117F31" w:rsidRDefault="009E5383" w:rsidP="00117F31">
      <w:pPr>
        <w:pStyle w:val="Footer"/>
      </w:pPr>
    </w:p>
  </w:footnote>
  <w:footnote w:type="continuationSeparator" w:id="0">
    <w:p w14:paraId="7EF99092" w14:textId="77777777" w:rsidR="009E5383" w:rsidRPr="00117F31" w:rsidRDefault="009E5383" w:rsidP="00117F31">
      <w:pPr>
        <w:pStyle w:val="Footer"/>
      </w:pPr>
    </w:p>
  </w:footnote>
  <w:footnote w:type="continuationNotice" w:id="1">
    <w:p w14:paraId="0319C3EA" w14:textId="77777777" w:rsidR="009E5383" w:rsidRDefault="009E5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21BC" w14:textId="77777777" w:rsidR="00450949" w:rsidRDefault="00450949" w:rsidP="00E829D6">
    <w:pPr>
      <w:pStyle w:val="Header"/>
      <w:tabs>
        <w:tab w:val="clear" w:pos="4394"/>
        <w:tab w:val="center" w:pos="4395"/>
      </w:tabs>
      <w:rPr>
        <w:lang w:val="nl-BE"/>
      </w:rPr>
    </w:pPr>
  </w:p>
  <w:p w14:paraId="3E211545" w14:textId="77777777"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5C01C" w14:textId="77777777" w:rsidR="00450949" w:rsidRDefault="00450949" w:rsidP="00D850C8">
    <w:pPr>
      <w:pStyle w:val="Header"/>
      <w:rPr>
        <w:lang w:val="nl-BE"/>
      </w:rPr>
    </w:pPr>
  </w:p>
  <w:p w14:paraId="1757BDA1" w14:textId="77777777" w:rsidR="00450949" w:rsidRPr="00D850C8" w:rsidRDefault="00450949"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CB9D5" w14:textId="77777777" w:rsidR="00795298" w:rsidRDefault="0079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2"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3"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5"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6"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7"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8"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4"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25510B2"/>
    <w:multiLevelType w:val="hybridMultilevel"/>
    <w:tmpl w:val="1E0280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6FD43FE"/>
    <w:multiLevelType w:val="hybridMultilevel"/>
    <w:tmpl w:val="5E80BCC8"/>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1"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4"/>
  </w:num>
  <w:num w:numId="12">
    <w:abstractNumId w:val="19"/>
  </w:num>
  <w:num w:numId="13">
    <w:abstractNumId w:val="29"/>
  </w:num>
  <w:num w:numId="14">
    <w:abstractNumId w:val="21"/>
  </w:num>
  <w:num w:numId="15">
    <w:abstractNumId w:val="18"/>
  </w:num>
  <w:num w:numId="16">
    <w:abstractNumId w:val="13"/>
  </w:num>
  <w:num w:numId="17">
    <w:abstractNumId w:val="30"/>
  </w:num>
  <w:num w:numId="18">
    <w:abstractNumId w:val="12"/>
  </w:num>
  <w:num w:numId="19">
    <w:abstractNumId w:val="14"/>
  </w:num>
  <w:num w:numId="20">
    <w:abstractNumId w:val="31"/>
  </w:num>
  <w:num w:numId="21">
    <w:abstractNumId w:val="11"/>
  </w:num>
  <w:num w:numId="22">
    <w:abstractNumId w:val="22"/>
  </w:num>
  <w:num w:numId="23">
    <w:abstractNumId w:val="27"/>
  </w:num>
  <w:num w:numId="24">
    <w:abstractNumId w:val="16"/>
  </w:num>
  <w:num w:numId="25">
    <w:abstractNumId w:val="15"/>
  </w:num>
  <w:num w:numId="26">
    <w:abstractNumId w:val="23"/>
  </w:num>
  <w:num w:numId="27">
    <w:abstractNumId w:val="10"/>
  </w:num>
  <w:num w:numId="28">
    <w:abstractNumId w:val="17"/>
  </w:num>
  <w:num w:numId="29">
    <w:abstractNumId w:val="28"/>
  </w:num>
  <w:num w:numId="30">
    <w:abstractNumId w:val="20"/>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hideGrammaticalErrors/>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DC"/>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4CB0"/>
    <w:rsid w:val="00145EF1"/>
    <w:rsid w:val="00147933"/>
    <w:rsid w:val="001516F5"/>
    <w:rsid w:val="00151CDD"/>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5A60"/>
    <w:rsid w:val="001B7F21"/>
    <w:rsid w:val="001D503F"/>
    <w:rsid w:val="001F1805"/>
    <w:rsid w:val="001F711D"/>
    <w:rsid w:val="002007E3"/>
    <w:rsid w:val="00200D79"/>
    <w:rsid w:val="00202B0B"/>
    <w:rsid w:val="00204BE8"/>
    <w:rsid w:val="00215E02"/>
    <w:rsid w:val="00221231"/>
    <w:rsid w:val="00223911"/>
    <w:rsid w:val="00226E3E"/>
    <w:rsid w:val="002307B0"/>
    <w:rsid w:val="00231694"/>
    <w:rsid w:val="002333AF"/>
    <w:rsid w:val="00233729"/>
    <w:rsid w:val="00233828"/>
    <w:rsid w:val="0023699F"/>
    <w:rsid w:val="002406B2"/>
    <w:rsid w:val="002477FA"/>
    <w:rsid w:val="002554D2"/>
    <w:rsid w:val="00261D63"/>
    <w:rsid w:val="002754A4"/>
    <w:rsid w:val="00275C1C"/>
    <w:rsid w:val="00276804"/>
    <w:rsid w:val="00277EDB"/>
    <w:rsid w:val="002859A3"/>
    <w:rsid w:val="00287538"/>
    <w:rsid w:val="0028790D"/>
    <w:rsid w:val="00294A28"/>
    <w:rsid w:val="00297D98"/>
    <w:rsid w:val="002B5743"/>
    <w:rsid w:val="002D5723"/>
    <w:rsid w:val="002D75B3"/>
    <w:rsid w:val="002E10A2"/>
    <w:rsid w:val="002E15B9"/>
    <w:rsid w:val="002E409B"/>
    <w:rsid w:val="002E5144"/>
    <w:rsid w:val="002F1611"/>
    <w:rsid w:val="003116AA"/>
    <w:rsid w:val="003135E6"/>
    <w:rsid w:val="003364D4"/>
    <w:rsid w:val="00336912"/>
    <w:rsid w:val="003419C5"/>
    <w:rsid w:val="0035173E"/>
    <w:rsid w:val="00352B22"/>
    <w:rsid w:val="00353178"/>
    <w:rsid w:val="00353E3D"/>
    <w:rsid w:val="00354956"/>
    <w:rsid w:val="00362513"/>
    <w:rsid w:val="00365065"/>
    <w:rsid w:val="00365FFE"/>
    <w:rsid w:val="0037111B"/>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7F18"/>
    <w:rsid w:val="00485F3C"/>
    <w:rsid w:val="00486859"/>
    <w:rsid w:val="004A477F"/>
    <w:rsid w:val="004A4C5C"/>
    <w:rsid w:val="004B400F"/>
    <w:rsid w:val="004C14FA"/>
    <w:rsid w:val="004C2424"/>
    <w:rsid w:val="004C6F5E"/>
    <w:rsid w:val="004C7465"/>
    <w:rsid w:val="004D12DD"/>
    <w:rsid w:val="004E136D"/>
    <w:rsid w:val="004F04DA"/>
    <w:rsid w:val="004F0F6B"/>
    <w:rsid w:val="004F41BA"/>
    <w:rsid w:val="005033DA"/>
    <w:rsid w:val="0050792E"/>
    <w:rsid w:val="0051268A"/>
    <w:rsid w:val="00546E7F"/>
    <w:rsid w:val="00552963"/>
    <w:rsid w:val="0055492B"/>
    <w:rsid w:val="00557A3F"/>
    <w:rsid w:val="0056043D"/>
    <w:rsid w:val="005616A3"/>
    <w:rsid w:val="00561A9A"/>
    <w:rsid w:val="00566724"/>
    <w:rsid w:val="00567693"/>
    <w:rsid w:val="00571A24"/>
    <w:rsid w:val="00582D56"/>
    <w:rsid w:val="005847D9"/>
    <w:rsid w:val="00592469"/>
    <w:rsid w:val="00592957"/>
    <w:rsid w:val="005932C7"/>
    <w:rsid w:val="0059396D"/>
    <w:rsid w:val="005A3DA7"/>
    <w:rsid w:val="005B4C1C"/>
    <w:rsid w:val="005C1B25"/>
    <w:rsid w:val="005C3450"/>
    <w:rsid w:val="005C3F84"/>
    <w:rsid w:val="005E33F6"/>
    <w:rsid w:val="006107D5"/>
    <w:rsid w:val="00610B4E"/>
    <w:rsid w:val="00611E02"/>
    <w:rsid w:val="00614C07"/>
    <w:rsid w:val="00627AF2"/>
    <w:rsid w:val="0063050B"/>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E7D13"/>
    <w:rsid w:val="00702DA6"/>
    <w:rsid w:val="00706B32"/>
    <w:rsid w:val="0071004E"/>
    <w:rsid w:val="00714070"/>
    <w:rsid w:val="007143B5"/>
    <w:rsid w:val="007148AA"/>
    <w:rsid w:val="007166A8"/>
    <w:rsid w:val="00730DDA"/>
    <w:rsid w:val="00733829"/>
    <w:rsid w:val="00733DE9"/>
    <w:rsid w:val="00741E9C"/>
    <w:rsid w:val="007459B1"/>
    <w:rsid w:val="00750B57"/>
    <w:rsid w:val="00752FC4"/>
    <w:rsid w:val="007654E7"/>
    <w:rsid w:val="00766F4D"/>
    <w:rsid w:val="0077019B"/>
    <w:rsid w:val="00773E81"/>
    <w:rsid w:val="00782B16"/>
    <w:rsid w:val="00785B6F"/>
    <w:rsid w:val="00787601"/>
    <w:rsid w:val="00795298"/>
    <w:rsid w:val="00796920"/>
    <w:rsid w:val="00797BED"/>
    <w:rsid w:val="007A1C59"/>
    <w:rsid w:val="007A1F21"/>
    <w:rsid w:val="007A3EF3"/>
    <w:rsid w:val="007A552B"/>
    <w:rsid w:val="007A6D1E"/>
    <w:rsid w:val="007B25F7"/>
    <w:rsid w:val="007B793B"/>
    <w:rsid w:val="007C6D45"/>
    <w:rsid w:val="007C7F24"/>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6047B"/>
    <w:rsid w:val="008624F6"/>
    <w:rsid w:val="008837CF"/>
    <w:rsid w:val="00885341"/>
    <w:rsid w:val="00896CFE"/>
    <w:rsid w:val="008977A1"/>
    <w:rsid w:val="008B6E5E"/>
    <w:rsid w:val="008C4032"/>
    <w:rsid w:val="008D3A76"/>
    <w:rsid w:val="008E5948"/>
    <w:rsid w:val="008E6931"/>
    <w:rsid w:val="008F0630"/>
    <w:rsid w:val="0090354E"/>
    <w:rsid w:val="0090398E"/>
    <w:rsid w:val="00905D03"/>
    <w:rsid w:val="00914031"/>
    <w:rsid w:val="00932175"/>
    <w:rsid w:val="00935B26"/>
    <w:rsid w:val="00937808"/>
    <w:rsid w:val="00940C81"/>
    <w:rsid w:val="00942B19"/>
    <w:rsid w:val="00942EE2"/>
    <w:rsid w:val="009466D6"/>
    <w:rsid w:val="00946875"/>
    <w:rsid w:val="00950C45"/>
    <w:rsid w:val="00954143"/>
    <w:rsid w:val="009600D3"/>
    <w:rsid w:val="00974952"/>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383"/>
    <w:rsid w:val="009E56DB"/>
    <w:rsid w:val="00A01013"/>
    <w:rsid w:val="00A04A36"/>
    <w:rsid w:val="00A06B19"/>
    <w:rsid w:val="00A11F91"/>
    <w:rsid w:val="00A122B7"/>
    <w:rsid w:val="00A141C9"/>
    <w:rsid w:val="00A147E1"/>
    <w:rsid w:val="00A16F91"/>
    <w:rsid w:val="00A17571"/>
    <w:rsid w:val="00A2514A"/>
    <w:rsid w:val="00A25A33"/>
    <w:rsid w:val="00A267AD"/>
    <w:rsid w:val="00A351FF"/>
    <w:rsid w:val="00A355E9"/>
    <w:rsid w:val="00A364DA"/>
    <w:rsid w:val="00A51FAA"/>
    <w:rsid w:val="00A55A96"/>
    <w:rsid w:val="00A56340"/>
    <w:rsid w:val="00A605D0"/>
    <w:rsid w:val="00A621A5"/>
    <w:rsid w:val="00A62501"/>
    <w:rsid w:val="00A670A5"/>
    <w:rsid w:val="00A679F2"/>
    <w:rsid w:val="00A709E5"/>
    <w:rsid w:val="00A7250C"/>
    <w:rsid w:val="00A73D60"/>
    <w:rsid w:val="00A83284"/>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21D7E"/>
    <w:rsid w:val="00B338D7"/>
    <w:rsid w:val="00B34FEF"/>
    <w:rsid w:val="00B352D4"/>
    <w:rsid w:val="00B371A3"/>
    <w:rsid w:val="00B402AF"/>
    <w:rsid w:val="00B404A0"/>
    <w:rsid w:val="00B41942"/>
    <w:rsid w:val="00B44C6F"/>
    <w:rsid w:val="00B44D45"/>
    <w:rsid w:val="00B46BAE"/>
    <w:rsid w:val="00B505EE"/>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146C0"/>
    <w:rsid w:val="00C24707"/>
    <w:rsid w:val="00C279D7"/>
    <w:rsid w:val="00C33270"/>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1596"/>
    <w:rsid w:val="00CA280B"/>
    <w:rsid w:val="00CA5A74"/>
    <w:rsid w:val="00CB2202"/>
    <w:rsid w:val="00CB30C8"/>
    <w:rsid w:val="00CB4A52"/>
    <w:rsid w:val="00CC0365"/>
    <w:rsid w:val="00CC4296"/>
    <w:rsid w:val="00CE5D84"/>
    <w:rsid w:val="00CF6318"/>
    <w:rsid w:val="00CF63B4"/>
    <w:rsid w:val="00D00492"/>
    <w:rsid w:val="00D05113"/>
    <w:rsid w:val="00D0540B"/>
    <w:rsid w:val="00D06A39"/>
    <w:rsid w:val="00D115AB"/>
    <w:rsid w:val="00D13BDC"/>
    <w:rsid w:val="00D231CE"/>
    <w:rsid w:val="00D25CC0"/>
    <w:rsid w:val="00D2603A"/>
    <w:rsid w:val="00D2703D"/>
    <w:rsid w:val="00D32B1A"/>
    <w:rsid w:val="00D346B5"/>
    <w:rsid w:val="00D36C5D"/>
    <w:rsid w:val="00D423C7"/>
    <w:rsid w:val="00D527DE"/>
    <w:rsid w:val="00D556C0"/>
    <w:rsid w:val="00D62D9B"/>
    <w:rsid w:val="00D63DA6"/>
    <w:rsid w:val="00D650B1"/>
    <w:rsid w:val="00D70AF1"/>
    <w:rsid w:val="00D718C9"/>
    <w:rsid w:val="00D75B6C"/>
    <w:rsid w:val="00D82C98"/>
    <w:rsid w:val="00D850C8"/>
    <w:rsid w:val="00DB31C8"/>
    <w:rsid w:val="00DC0B0F"/>
    <w:rsid w:val="00DC1B28"/>
    <w:rsid w:val="00DC727C"/>
    <w:rsid w:val="00DD1D39"/>
    <w:rsid w:val="00DD2826"/>
    <w:rsid w:val="00DF3B32"/>
    <w:rsid w:val="00DF45C1"/>
    <w:rsid w:val="00DF758C"/>
    <w:rsid w:val="00DF7D48"/>
    <w:rsid w:val="00E04E63"/>
    <w:rsid w:val="00E07CCE"/>
    <w:rsid w:val="00E13E2F"/>
    <w:rsid w:val="00E13E61"/>
    <w:rsid w:val="00E162FC"/>
    <w:rsid w:val="00E16B13"/>
    <w:rsid w:val="00E176A4"/>
    <w:rsid w:val="00E22E1D"/>
    <w:rsid w:val="00E26ABD"/>
    <w:rsid w:val="00E348BA"/>
    <w:rsid w:val="00E34A80"/>
    <w:rsid w:val="00E36D9F"/>
    <w:rsid w:val="00E471A8"/>
    <w:rsid w:val="00E520EA"/>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C5915"/>
    <w:rsid w:val="00ED10C8"/>
    <w:rsid w:val="00ED1B50"/>
    <w:rsid w:val="00ED445E"/>
    <w:rsid w:val="00ED687C"/>
    <w:rsid w:val="00ED68B1"/>
    <w:rsid w:val="00ED6928"/>
    <w:rsid w:val="00EE3C1C"/>
    <w:rsid w:val="00EE5676"/>
    <w:rsid w:val="00EF3C92"/>
    <w:rsid w:val="00F01DE1"/>
    <w:rsid w:val="00F03F3A"/>
    <w:rsid w:val="00F063BF"/>
    <w:rsid w:val="00F120C3"/>
    <w:rsid w:val="00F21513"/>
    <w:rsid w:val="00F24DB0"/>
    <w:rsid w:val="00F31133"/>
    <w:rsid w:val="00F32E26"/>
    <w:rsid w:val="00F35F9D"/>
    <w:rsid w:val="00F40B87"/>
    <w:rsid w:val="00F55AC8"/>
    <w:rsid w:val="00F57B63"/>
    <w:rsid w:val="00F62B97"/>
    <w:rsid w:val="00F63335"/>
    <w:rsid w:val="00F64E38"/>
    <w:rsid w:val="00F65486"/>
    <w:rsid w:val="00F747FC"/>
    <w:rsid w:val="00F76523"/>
    <w:rsid w:val="00F8549F"/>
    <w:rsid w:val="00F917ED"/>
    <w:rsid w:val="00FA14B8"/>
    <w:rsid w:val="00FA56DE"/>
    <w:rsid w:val="00FE222C"/>
    <w:rsid w:val="00FE24A6"/>
    <w:rsid w:val="00FF53D1"/>
    <w:rsid w:val="6F12CF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920FE4"/>
  <w15:docId w15:val="{EAB6CBCD-FE6A-44ED-AB91-ED4EE714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D13BDC"/>
    <w:pPr>
      <w:spacing w:line="260" w:lineRule="atLeast"/>
    </w:pPr>
    <w:rPr>
      <w:rFonts w:ascii="Arial" w:hAnsi="Arial"/>
      <w:b/>
      <w:noProof/>
      <w:sz w:val="24"/>
      <w:szCs w:val="16"/>
      <w:lang w:val="fr-FR" w:eastAsia="en-US"/>
    </w:rPr>
  </w:style>
  <w:style w:type="paragraph" w:styleId="ListParagraph">
    <w:name w:val="List Paragraph"/>
    <w:basedOn w:val="Normal"/>
    <w:uiPriority w:val="34"/>
    <w:qFormat/>
    <w:rsid w:val="00782B16"/>
    <w:pPr>
      <w:ind w:left="720"/>
      <w:contextualSpacing/>
    </w:pPr>
  </w:style>
  <w:style w:type="table" w:customStyle="1" w:styleId="TableGrid1">
    <w:name w:val="Table Grid1"/>
    <w:basedOn w:val="TableNormal"/>
    <w:next w:val="TableGrid"/>
    <w:uiPriority w:val="59"/>
    <w:rsid w:val="008B6E5E"/>
    <w:pPr>
      <w:spacing w:line="240" w:lineRule="atLeast"/>
    </w:pPr>
    <w:rPr>
      <w:rFonts w:ascii="Arial" w:hAnsi="Arial"/>
      <w:lang w:val="en-GB"/>
    </w:rPr>
    <w:tblPr/>
  </w:style>
  <w:style w:type="paragraph" w:styleId="Revision">
    <w:name w:val="Revision"/>
    <w:hidden/>
    <w:uiPriority w:val="99"/>
    <w:semiHidden/>
    <w:rsid w:val="00E176A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Date xmlns="b3403e5b-417f-49ff-913f-a10a07af8b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161A6CE92F9142923765AC371B3570" ma:contentTypeVersion="5" ma:contentTypeDescription="Create a new document." ma:contentTypeScope="" ma:versionID="3a4f09337f3aa62eff3d0a227872bc2c">
  <xsd:schema xmlns:xsd="http://www.w3.org/2001/XMLSchema" xmlns:xs="http://www.w3.org/2001/XMLSchema" xmlns:p="http://schemas.microsoft.com/office/2006/metadata/properties" xmlns:ns2="b3403e5b-417f-49ff-913f-a10a07af8b14" xmlns:ns3="25b973ea-aa32-4fa7-8983-79cdfc529123" targetNamespace="http://schemas.microsoft.com/office/2006/metadata/properties" ma:root="true" ma:fieldsID="e9a49d2d8e3e2a0210d2638015d77f74" ns2:_="" ns3:_="">
    <xsd:import namespace="b3403e5b-417f-49ff-913f-a10a07af8b14"/>
    <xsd:import namespace="25b973ea-aa32-4fa7-8983-79cdfc529123"/>
    <xsd:element name="properties">
      <xsd:complexType>
        <xsd:sequence>
          <xsd:element name="documentManagement">
            <xsd:complexType>
              <xsd:all>
                <xsd:element ref="ns2:Doc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03e5b-417f-49ff-913f-a10a07af8b14" elementFormDefault="qualified">
    <xsd:import namespace="http://schemas.microsoft.com/office/2006/documentManagement/types"/>
    <xsd:import namespace="http://schemas.microsoft.com/office/infopath/2007/PartnerControls"/>
    <xsd:element name="DocDate" ma:index="8" nillable="true" ma:displayName="DocDate" ma:format="DateOnly" ma:internalName="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b973ea-aa32-4fa7-8983-79cdfc52912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ED8BE-1407-4633-AB10-704ED467DFA4}">
  <ds:schemaRefs>
    <ds:schemaRef ds:uri="http://schemas.openxmlformats.org/officeDocument/2006/bibliography"/>
  </ds:schemaRefs>
</ds:datastoreItem>
</file>

<file path=customXml/itemProps2.xml><?xml version="1.0" encoding="utf-8"?>
<ds:datastoreItem xmlns:ds="http://schemas.openxmlformats.org/officeDocument/2006/customXml" ds:itemID="{CD7F41E5-37EA-42CC-9F8B-2979C6D52B4D}">
  <ds:schemaRefs>
    <ds:schemaRef ds:uri="http://purl.org/dc/elements/1.1/"/>
    <ds:schemaRef ds:uri="a3b93d67-a78b-4faf-8f00-04b230e27357"/>
    <ds:schemaRef ds:uri="http://schemas.openxmlformats.org/package/2006/metadata/core-properties"/>
    <ds:schemaRef ds:uri="http://purl.org/dc/dcmitype/"/>
    <ds:schemaRef ds:uri="http://schemas.microsoft.com/office/infopath/2007/PartnerControls"/>
    <ds:schemaRef ds:uri="http://schemas.microsoft.com/office/2006/metadata/properties"/>
    <ds:schemaRef ds:uri="6b56c36c-fa25-4874-8bb0-8a390e96ea64"/>
    <ds:schemaRef ds:uri="http://schemas.microsoft.com/office/2006/documentManagement/types"/>
    <ds:schemaRef ds:uri="8a9c461b-77d6-46a9-915a-72eb0f473247"/>
    <ds:schemaRef ds:uri="http://schemas.microsoft.com/sharepoint/v3"/>
    <ds:schemaRef ds:uri="http://www.w3.org/XML/1998/namespace"/>
    <ds:schemaRef ds:uri="http://purl.org/dc/terms/"/>
    <ds:schemaRef ds:uri="b3403e5b-417f-49ff-913f-a10a07af8b14"/>
  </ds:schemaRefs>
</ds:datastoreItem>
</file>

<file path=customXml/itemProps3.xml><?xml version="1.0" encoding="utf-8"?>
<ds:datastoreItem xmlns:ds="http://schemas.openxmlformats.org/officeDocument/2006/customXml" ds:itemID="{AB026016-5647-459E-8689-0E89591B766B}">
  <ds:schemaRefs>
    <ds:schemaRef ds:uri="http://schemas.microsoft.com/sharepoint/v3/contenttype/forms"/>
  </ds:schemaRefs>
</ds:datastoreItem>
</file>

<file path=customXml/itemProps4.xml><?xml version="1.0" encoding="utf-8"?>
<ds:datastoreItem xmlns:ds="http://schemas.openxmlformats.org/officeDocument/2006/customXml" ds:itemID="{11625820-65F4-4EBB-97B1-7A0796995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03e5b-417f-49ff-913f-a10a07af8b14"/>
    <ds:schemaRef ds:uri="25b973ea-aa32-4fa7-8983-79cdfc529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3</Pages>
  <Words>1037</Words>
  <Characters>5693</Characters>
  <Application>Microsoft Office Word</Application>
  <DocSecurity>4</DocSecurity>
  <Lines>47</Lines>
  <Paragraphs>13</Paragraphs>
  <ScaleCrop>false</ScaleCrop>
  <Company>National Bank of Belgium</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Dufrane Maite</dc:creator>
  <cp:lastModifiedBy>Arys Viviane</cp:lastModifiedBy>
  <cp:revision>2</cp:revision>
  <cp:lastPrinted>2021-03-10T09:29:00Z</cp:lastPrinted>
  <dcterms:created xsi:type="dcterms:W3CDTF">2021-03-15T09:12:00Z</dcterms:created>
  <dcterms:modified xsi:type="dcterms:W3CDTF">2021-03-15T09:12:00Z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0x01010074161A6CE92F9142923765AC371B3570</vt:lpwstr>
  </property>
</Properties>
</file>