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CE7E73" w:rsidRPr="00922DE6" w:rsidTr="007B7965">
        <w:trPr>
          <w:cantSplit/>
          <w:trHeight w:hRule="exact" w:val="1077"/>
        </w:trPr>
        <w:tc>
          <w:tcPr>
            <w:tcW w:w="6067" w:type="dxa"/>
            <w:vAlign w:val="center"/>
          </w:tcPr>
          <w:p w:rsidR="00CE7E73" w:rsidRPr="00922DE6" w:rsidRDefault="00CE7E73" w:rsidP="007B7965">
            <w:pPr>
              <w:pStyle w:val="AdresseAdres"/>
              <w:spacing w:before="300"/>
              <w:rPr>
                <w:lang w:val="nl-BE"/>
              </w:rPr>
            </w:pPr>
            <w:bookmarkStart w:id="0" w:name="_GoBack"/>
            <w:bookmarkEnd w:id="0"/>
            <w:r w:rsidRPr="00922DE6">
              <w:rPr>
                <w:lang w:val="nl-BE"/>
              </w:rPr>
              <w:t>de Berlaimontlaan 14 – BE-1000 Brussel</w:t>
            </w:r>
          </w:p>
          <w:p w:rsidR="00CE7E73" w:rsidRPr="00922DE6" w:rsidRDefault="00CE7E73" w:rsidP="00C67902">
            <w:pPr>
              <w:pStyle w:val="AdresseAdres"/>
              <w:rPr>
                <w:lang w:val="nl-BE"/>
              </w:rPr>
            </w:pPr>
            <w:r w:rsidRPr="00922DE6">
              <w:rPr>
                <w:lang w:val="nl-BE"/>
              </w:rPr>
              <w:t>tel. +32 2 221 38 12 – fax + 32 2 221 31 04</w:t>
            </w:r>
          </w:p>
          <w:p w:rsidR="00CE7E73" w:rsidRPr="00922DE6" w:rsidRDefault="00CE7E73" w:rsidP="00C67902">
            <w:pPr>
              <w:pStyle w:val="AdresseAdres"/>
              <w:rPr>
                <w:lang w:val="nl-BE"/>
              </w:rPr>
            </w:pPr>
            <w:r w:rsidRPr="00922DE6">
              <w:rPr>
                <w:lang w:val="nl-BE"/>
              </w:rPr>
              <w:t>ondernemingsnummer: 0203.201.340</w:t>
            </w:r>
          </w:p>
          <w:p w:rsidR="00CE7E73" w:rsidRPr="00922DE6" w:rsidRDefault="00CE7E73" w:rsidP="00C67902">
            <w:pPr>
              <w:pStyle w:val="AdresseAdres"/>
              <w:rPr>
                <w:lang w:val="nl-BE"/>
              </w:rPr>
            </w:pPr>
            <w:r w:rsidRPr="00922DE6">
              <w:rPr>
                <w:lang w:val="nl-BE"/>
              </w:rPr>
              <w:t>RPR Brussel</w:t>
            </w:r>
          </w:p>
          <w:p w:rsidR="00CE7E73" w:rsidRPr="00922DE6" w:rsidRDefault="00CE7E73" w:rsidP="00CE7E73">
            <w:pPr>
              <w:pStyle w:val="AdresseAdres"/>
              <w:rPr>
                <w:lang w:val="nl-BE"/>
              </w:rPr>
            </w:pPr>
            <w:r w:rsidRPr="00922DE6">
              <w:rPr>
                <w:lang w:val="nl-BE"/>
              </w:rPr>
              <w:t>www.nbb.be</w:t>
            </w:r>
          </w:p>
        </w:tc>
        <w:tc>
          <w:tcPr>
            <w:tcW w:w="3856" w:type="dxa"/>
            <w:gridSpan w:val="2"/>
            <w:shd w:val="clear" w:color="auto" w:fill="auto"/>
            <w:vAlign w:val="center"/>
          </w:tcPr>
          <w:p w:rsidR="00CE7E73" w:rsidRPr="00922DE6" w:rsidRDefault="00CE7E73" w:rsidP="00682F2F">
            <w:pPr>
              <w:spacing w:line="260" w:lineRule="atLeast"/>
              <w:rPr>
                <w:sz w:val="16"/>
                <w:szCs w:val="16"/>
                <w:lang w:val="nl-BE"/>
              </w:rPr>
            </w:pPr>
            <w:r w:rsidRPr="00922DE6">
              <w:rPr>
                <w:noProof/>
                <w:sz w:val="16"/>
                <w:szCs w:val="16"/>
                <w:lang w:val="en-US"/>
              </w:rPr>
              <w:drawing>
                <wp:inline distT="0" distB="0" distL="0" distR="0" wp14:anchorId="40A1F501" wp14:editId="2040F7FD">
                  <wp:extent cx="2343150" cy="581025"/>
                  <wp:effectExtent l="19050" t="0" r="0" b="0"/>
                  <wp:docPr id="6"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CE7E73" w:rsidRPr="00922DE6" w:rsidTr="00682F2F">
        <w:trPr>
          <w:cantSplit/>
          <w:trHeight w:hRule="exact" w:val="850"/>
        </w:trPr>
        <w:tc>
          <w:tcPr>
            <w:tcW w:w="6067" w:type="dxa"/>
            <w:shd w:val="clear" w:color="auto" w:fill="auto"/>
          </w:tcPr>
          <w:p w:rsidR="00CE7E73" w:rsidRPr="00922DE6" w:rsidRDefault="00CE7E73" w:rsidP="00682F2F">
            <w:pPr>
              <w:pStyle w:val="AdresseAdres"/>
              <w:tabs>
                <w:tab w:val="center" w:pos="4678"/>
                <w:tab w:val="right" w:pos="9356"/>
              </w:tabs>
              <w:spacing w:line="260" w:lineRule="atLeast"/>
              <w:rPr>
                <w:sz w:val="16"/>
                <w:lang w:val="nl-BE"/>
              </w:rPr>
            </w:pPr>
          </w:p>
        </w:tc>
        <w:tc>
          <w:tcPr>
            <w:tcW w:w="3856" w:type="dxa"/>
            <w:gridSpan w:val="2"/>
            <w:shd w:val="clear" w:color="auto" w:fill="auto"/>
            <w:vAlign w:val="bottom"/>
          </w:tcPr>
          <w:p w:rsidR="00CE7E73" w:rsidRPr="00922DE6" w:rsidRDefault="00CE7E73" w:rsidP="007B7965">
            <w:pPr>
              <w:pStyle w:val="TitreTitel"/>
              <w:keepLines/>
              <w:tabs>
                <w:tab w:val="left" w:pos="284"/>
                <w:tab w:val="right" w:leader="dot" w:pos="9639"/>
              </w:tabs>
              <w:spacing w:after="170"/>
              <w:ind w:left="397" w:right="567" w:hanging="397"/>
              <w:rPr>
                <w:lang w:val="nl-BE"/>
              </w:rPr>
            </w:pPr>
            <w:r w:rsidRPr="00922DE6">
              <w:rPr>
                <w:lang w:val="nl-BE"/>
              </w:rPr>
              <w:t>Circulaire</w:t>
            </w:r>
          </w:p>
        </w:tc>
      </w:tr>
      <w:tr w:rsidR="00CE7E73" w:rsidRPr="00922DE6" w:rsidTr="007B7965">
        <w:trPr>
          <w:cantSplit/>
          <w:trHeight w:hRule="exact" w:val="794"/>
        </w:trPr>
        <w:tc>
          <w:tcPr>
            <w:tcW w:w="6067" w:type="dxa"/>
            <w:vMerge w:val="restart"/>
            <w:shd w:val="clear" w:color="auto" w:fill="auto"/>
          </w:tcPr>
          <w:p w:rsidR="00CE7E73" w:rsidRPr="00DF235F" w:rsidRDefault="00CE7E73" w:rsidP="00C67902">
            <w:pPr>
              <w:pStyle w:val="AdresseAdres"/>
              <w:rPr>
                <w:lang w:val="nl-BE"/>
              </w:rPr>
            </w:pPr>
          </w:p>
        </w:tc>
        <w:tc>
          <w:tcPr>
            <w:tcW w:w="3856" w:type="dxa"/>
            <w:gridSpan w:val="2"/>
          </w:tcPr>
          <w:p w:rsidR="00CE7E73" w:rsidRPr="00DF235F" w:rsidRDefault="00CE7E73" w:rsidP="00DF235F">
            <w:pPr>
              <w:spacing w:line="260" w:lineRule="atLeast"/>
              <w:rPr>
                <w:lang w:val="nl-BE"/>
              </w:rPr>
            </w:pPr>
            <w:r w:rsidRPr="00DF235F">
              <w:rPr>
                <w:lang w:val="nl-BE"/>
              </w:rPr>
              <w:t xml:space="preserve">Brussel, </w:t>
            </w:r>
            <w:r w:rsidR="00DF235F" w:rsidRPr="00DF235F">
              <w:rPr>
                <w:lang w:val="nl-BE"/>
              </w:rPr>
              <w:t xml:space="preserve">26 oktober </w:t>
            </w:r>
            <w:r w:rsidRPr="00DF235F">
              <w:rPr>
                <w:lang w:val="nl-BE"/>
              </w:rPr>
              <w:t>201</w:t>
            </w:r>
            <w:r w:rsidR="00933582" w:rsidRPr="00DF235F">
              <w:rPr>
                <w:lang w:val="nl-BE"/>
              </w:rPr>
              <w:t>6</w:t>
            </w:r>
          </w:p>
        </w:tc>
      </w:tr>
      <w:tr w:rsidR="00CE7E73" w:rsidRPr="00922DE6" w:rsidTr="00682F2F">
        <w:trPr>
          <w:cantSplit/>
          <w:trHeight w:hRule="exact" w:val="198"/>
        </w:trPr>
        <w:tc>
          <w:tcPr>
            <w:tcW w:w="6067" w:type="dxa"/>
            <w:vMerge/>
          </w:tcPr>
          <w:p w:rsidR="00CE7E73" w:rsidRPr="00DF235F" w:rsidRDefault="00CE7E73" w:rsidP="00682F2F">
            <w:pPr>
              <w:spacing w:line="260" w:lineRule="atLeast"/>
              <w:rPr>
                <w:lang w:val="nl-BE"/>
              </w:rPr>
            </w:pPr>
          </w:p>
        </w:tc>
        <w:tc>
          <w:tcPr>
            <w:tcW w:w="1644" w:type="dxa"/>
            <w:vAlign w:val="center"/>
          </w:tcPr>
          <w:p w:rsidR="00CE7E73" w:rsidRPr="00DF235F" w:rsidRDefault="00CE7E73" w:rsidP="00682F2F">
            <w:pPr>
              <w:pStyle w:val="BoiteVakje"/>
              <w:rPr>
                <w:lang w:val="nl-BE"/>
              </w:rPr>
            </w:pPr>
          </w:p>
        </w:tc>
        <w:tc>
          <w:tcPr>
            <w:tcW w:w="2212" w:type="dxa"/>
            <w:vAlign w:val="center"/>
          </w:tcPr>
          <w:p w:rsidR="00CE7E73" w:rsidRPr="00DF235F" w:rsidRDefault="00CE7E73" w:rsidP="00682F2F">
            <w:pPr>
              <w:pStyle w:val="BoiteVakje"/>
              <w:rPr>
                <w:sz w:val="16"/>
                <w:szCs w:val="16"/>
                <w:lang w:val="nl-BE"/>
              </w:rPr>
            </w:pPr>
          </w:p>
        </w:tc>
      </w:tr>
      <w:tr w:rsidR="00CE7E73" w:rsidRPr="00922DE6" w:rsidTr="00682F2F">
        <w:trPr>
          <w:cantSplit/>
          <w:trHeight w:hRule="exact" w:val="198"/>
        </w:trPr>
        <w:tc>
          <w:tcPr>
            <w:tcW w:w="6067" w:type="dxa"/>
            <w:vMerge/>
          </w:tcPr>
          <w:p w:rsidR="00CE7E73" w:rsidRPr="00DF235F" w:rsidRDefault="00CE7E73" w:rsidP="00682F2F">
            <w:pPr>
              <w:tabs>
                <w:tab w:val="left" w:pos="1276"/>
                <w:tab w:val="left" w:pos="2268"/>
              </w:tabs>
              <w:spacing w:line="260" w:lineRule="atLeast"/>
              <w:rPr>
                <w:lang w:val="nl-BE"/>
              </w:rPr>
            </w:pPr>
          </w:p>
        </w:tc>
        <w:tc>
          <w:tcPr>
            <w:tcW w:w="1644" w:type="dxa"/>
            <w:vAlign w:val="center"/>
          </w:tcPr>
          <w:p w:rsidR="00CE7E73" w:rsidRPr="00DF235F" w:rsidRDefault="00CE7E73" w:rsidP="00682F2F">
            <w:pPr>
              <w:pStyle w:val="BoiteVakje"/>
              <w:rPr>
                <w:lang w:val="nl-BE"/>
              </w:rPr>
            </w:pPr>
            <w:r w:rsidRPr="00DF235F">
              <w:rPr>
                <w:lang w:val="nl-BE"/>
              </w:rPr>
              <w:t xml:space="preserve">Kenmerk: </w:t>
            </w:r>
            <w:r w:rsidRPr="00DF235F">
              <w:rPr>
                <w:vanish/>
                <w:color w:val="FF0000"/>
                <w:lang w:val="nl-BE"/>
              </w:rPr>
              <w:t>---------------&gt;</w:t>
            </w:r>
          </w:p>
        </w:tc>
        <w:tc>
          <w:tcPr>
            <w:tcW w:w="2212" w:type="dxa"/>
            <w:vAlign w:val="center"/>
          </w:tcPr>
          <w:p w:rsidR="00CE7E73" w:rsidRPr="00DF235F" w:rsidRDefault="00CE7E73" w:rsidP="00DF235F">
            <w:pPr>
              <w:pStyle w:val="BoitetexteVakjetekst"/>
              <w:rPr>
                <w:lang w:val="nl-BE"/>
              </w:rPr>
            </w:pPr>
            <w:r w:rsidRPr="00DF235F">
              <w:rPr>
                <w:lang w:val="nl-BE"/>
              </w:rPr>
              <w:t>NBB_</w:t>
            </w:r>
            <w:r w:rsidR="008E1176" w:rsidRPr="00DF235F">
              <w:rPr>
                <w:lang w:val="nl-BE"/>
              </w:rPr>
              <w:t>201</w:t>
            </w:r>
            <w:r w:rsidR="00933582" w:rsidRPr="00DF235F">
              <w:rPr>
                <w:lang w:val="nl-BE"/>
              </w:rPr>
              <w:t>6</w:t>
            </w:r>
            <w:r w:rsidRPr="00DF235F">
              <w:rPr>
                <w:lang w:val="nl-BE"/>
              </w:rPr>
              <w:t>_</w:t>
            </w:r>
            <w:r w:rsidR="00DF235F" w:rsidRPr="00DF235F">
              <w:rPr>
                <w:lang w:val="nl-BE"/>
              </w:rPr>
              <w:t>42</w:t>
            </w:r>
          </w:p>
        </w:tc>
      </w:tr>
      <w:tr w:rsidR="00CE7E73" w:rsidRPr="00922DE6" w:rsidTr="00682F2F">
        <w:trPr>
          <w:cantSplit/>
          <w:trHeight w:hRule="exact" w:val="198"/>
        </w:trPr>
        <w:tc>
          <w:tcPr>
            <w:tcW w:w="6067" w:type="dxa"/>
            <w:vMerge/>
          </w:tcPr>
          <w:p w:rsidR="00CE7E73" w:rsidRPr="00DF235F" w:rsidRDefault="00CE7E73" w:rsidP="00682F2F">
            <w:pPr>
              <w:spacing w:line="260" w:lineRule="atLeast"/>
              <w:rPr>
                <w:lang w:val="nl-BE"/>
              </w:rPr>
            </w:pPr>
          </w:p>
        </w:tc>
        <w:tc>
          <w:tcPr>
            <w:tcW w:w="3856" w:type="dxa"/>
            <w:gridSpan w:val="2"/>
            <w:vAlign w:val="center"/>
          </w:tcPr>
          <w:p w:rsidR="00CE7E73" w:rsidRPr="00DF235F" w:rsidRDefault="00CE7E73" w:rsidP="00682F2F">
            <w:pPr>
              <w:pStyle w:val="BoiteVakje"/>
              <w:rPr>
                <w:sz w:val="16"/>
                <w:szCs w:val="16"/>
                <w:lang w:val="nl-BE"/>
              </w:rPr>
            </w:pPr>
          </w:p>
        </w:tc>
      </w:tr>
      <w:tr w:rsidR="00CE7E73" w:rsidRPr="00922DE6" w:rsidTr="00C67902">
        <w:trPr>
          <w:cantSplit/>
          <w:trHeight w:hRule="exact" w:val="198"/>
        </w:trPr>
        <w:tc>
          <w:tcPr>
            <w:tcW w:w="6067" w:type="dxa"/>
            <w:vMerge w:val="restart"/>
          </w:tcPr>
          <w:p w:rsidR="00CE7E73" w:rsidRPr="00DF235F" w:rsidRDefault="00CE7E73" w:rsidP="00C67902">
            <w:pPr>
              <w:pStyle w:val="AdresseAdres"/>
              <w:rPr>
                <w:lang w:val="nl-BE"/>
              </w:rPr>
            </w:pPr>
          </w:p>
        </w:tc>
        <w:tc>
          <w:tcPr>
            <w:tcW w:w="3856" w:type="dxa"/>
            <w:gridSpan w:val="2"/>
            <w:vAlign w:val="center"/>
          </w:tcPr>
          <w:p w:rsidR="00CE7E73" w:rsidRPr="00DF235F" w:rsidRDefault="00CE7E73" w:rsidP="004E6FD5">
            <w:pPr>
              <w:pStyle w:val="BoiteVakje"/>
              <w:rPr>
                <w:lang w:val="nl-BE"/>
              </w:rPr>
            </w:pPr>
            <w:r w:rsidRPr="00DF235F">
              <w:rPr>
                <w:lang w:val="nl-BE"/>
              </w:rPr>
              <w:t xml:space="preserve">uw correspondent: </w:t>
            </w:r>
            <w:r w:rsidRPr="00DF235F">
              <w:rPr>
                <w:rFonts w:cs="Arial"/>
                <w:vanish/>
                <w:color w:val="FF0000"/>
                <w:lang w:val="nl-BE"/>
              </w:rPr>
              <w:t>plaats de naam hieronder</w:t>
            </w:r>
          </w:p>
        </w:tc>
      </w:tr>
      <w:tr w:rsidR="00CE7E73" w:rsidRPr="00922DE6" w:rsidTr="00682F2F">
        <w:trPr>
          <w:cantSplit/>
          <w:trHeight w:val="198"/>
        </w:trPr>
        <w:tc>
          <w:tcPr>
            <w:tcW w:w="6067" w:type="dxa"/>
            <w:vMerge/>
          </w:tcPr>
          <w:p w:rsidR="00CE7E73" w:rsidRPr="00DF235F" w:rsidRDefault="00CE7E73" w:rsidP="00682F2F">
            <w:pPr>
              <w:spacing w:line="260" w:lineRule="atLeast"/>
              <w:rPr>
                <w:lang w:val="nl-BE"/>
              </w:rPr>
            </w:pPr>
          </w:p>
        </w:tc>
        <w:tc>
          <w:tcPr>
            <w:tcW w:w="3856" w:type="dxa"/>
            <w:gridSpan w:val="2"/>
            <w:vAlign w:val="center"/>
          </w:tcPr>
          <w:p w:rsidR="00CE7E73" w:rsidRPr="00DF235F" w:rsidRDefault="00CE7E73" w:rsidP="00682F2F">
            <w:pPr>
              <w:pStyle w:val="BoiteVakje"/>
              <w:rPr>
                <w:lang w:val="nl-BE"/>
              </w:rPr>
            </w:pPr>
            <w:proofErr w:type="spellStart"/>
            <w:r w:rsidRPr="00DF235F">
              <w:rPr>
                <w:lang w:val="nl-BE"/>
              </w:rPr>
              <w:t>Benoît</w:t>
            </w:r>
            <w:proofErr w:type="spellEnd"/>
            <w:r w:rsidRPr="00DF235F">
              <w:rPr>
                <w:lang w:val="nl-BE"/>
              </w:rPr>
              <w:t xml:space="preserve"> </w:t>
            </w:r>
            <w:proofErr w:type="spellStart"/>
            <w:r w:rsidRPr="00DF235F">
              <w:rPr>
                <w:lang w:val="nl-BE"/>
              </w:rPr>
              <w:t>Bienfait</w:t>
            </w:r>
            <w:proofErr w:type="spellEnd"/>
          </w:p>
        </w:tc>
      </w:tr>
      <w:tr w:rsidR="00CE7E73" w:rsidRPr="00922DE6" w:rsidTr="00682F2F">
        <w:trPr>
          <w:cantSplit/>
          <w:trHeight w:val="198"/>
        </w:trPr>
        <w:tc>
          <w:tcPr>
            <w:tcW w:w="6067" w:type="dxa"/>
            <w:vMerge/>
          </w:tcPr>
          <w:p w:rsidR="00CE7E73" w:rsidRPr="00DF235F" w:rsidRDefault="00CE7E73" w:rsidP="00682F2F">
            <w:pPr>
              <w:spacing w:line="260" w:lineRule="atLeast"/>
              <w:rPr>
                <w:lang w:val="nl-BE"/>
              </w:rPr>
            </w:pPr>
          </w:p>
        </w:tc>
        <w:tc>
          <w:tcPr>
            <w:tcW w:w="3856" w:type="dxa"/>
            <w:gridSpan w:val="2"/>
            <w:vAlign w:val="center"/>
          </w:tcPr>
          <w:p w:rsidR="00CE7E73" w:rsidRPr="00DF235F" w:rsidRDefault="00CE7E73" w:rsidP="00682F2F">
            <w:pPr>
              <w:pStyle w:val="BoiteVakje"/>
              <w:rPr>
                <w:lang w:val="nl-BE"/>
              </w:rPr>
            </w:pPr>
            <w:r w:rsidRPr="00DF235F">
              <w:rPr>
                <w:lang w:val="nl-BE"/>
              </w:rPr>
              <w:t>tel. +32 2 221 36 42 – fax +32 2 221 31 04</w:t>
            </w:r>
          </w:p>
        </w:tc>
      </w:tr>
      <w:tr w:rsidR="00CE7E73" w:rsidRPr="00922DE6" w:rsidTr="00682F2F">
        <w:trPr>
          <w:cantSplit/>
          <w:trHeight w:val="198"/>
        </w:trPr>
        <w:tc>
          <w:tcPr>
            <w:tcW w:w="6067" w:type="dxa"/>
            <w:vMerge/>
          </w:tcPr>
          <w:p w:rsidR="00CE7E73" w:rsidRPr="00DF235F" w:rsidRDefault="00CE7E73" w:rsidP="00682F2F">
            <w:pPr>
              <w:pStyle w:val="SujetOnderwerp"/>
              <w:rPr>
                <w:b w:val="0"/>
                <w:sz w:val="16"/>
                <w:lang w:val="nl-BE"/>
              </w:rPr>
            </w:pPr>
          </w:p>
        </w:tc>
        <w:tc>
          <w:tcPr>
            <w:tcW w:w="3856" w:type="dxa"/>
            <w:gridSpan w:val="2"/>
            <w:vAlign w:val="center"/>
          </w:tcPr>
          <w:p w:rsidR="00CE7E73" w:rsidRPr="00DF235F" w:rsidRDefault="006C7EBD" w:rsidP="00682F2F">
            <w:pPr>
              <w:pStyle w:val="BoiteVakje"/>
              <w:rPr>
                <w:b/>
                <w:lang w:val="nl-BE"/>
              </w:rPr>
            </w:pPr>
            <w:proofErr w:type="gramStart"/>
            <w:r w:rsidRPr="004430BF">
              <w:rPr>
                <w:lang w:val="nl-BE"/>
              </w:rPr>
              <w:t>benoit</w:t>
            </w:r>
            <w:proofErr w:type="gramEnd"/>
            <w:r w:rsidRPr="004430BF">
              <w:rPr>
                <w:lang w:val="nl-BE"/>
              </w:rPr>
              <w:t>.bienfait@nbb.be</w:t>
            </w:r>
          </w:p>
        </w:tc>
      </w:tr>
      <w:tr w:rsidR="00CE7E73" w:rsidRPr="00922DE6" w:rsidTr="004E6FD5">
        <w:trPr>
          <w:cantSplit/>
          <w:trHeight w:hRule="exact" w:val="1191"/>
        </w:trPr>
        <w:tc>
          <w:tcPr>
            <w:tcW w:w="9923" w:type="dxa"/>
            <w:gridSpan w:val="3"/>
            <w:tcMar>
              <w:top w:w="113" w:type="dxa"/>
            </w:tcMar>
            <w:vAlign w:val="bottom"/>
          </w:tcPr>
          <w:p w:rsidR="00CE7E73" w:rsidRPr="00922DE6" w:rsidRDefault="00CE7E73" w:rsidP="00DF235F">
            <w:pPr>
              <w:pStyle w:val="SujetOnderwerp"/>
              <w:jc w:val="both"/>
              <w:rPr>
                <w:lang w:val="nl-BE"/>
              </w:rPr>
            </w:pPr>
            <w:r w:rsidRPr="00922DE6">
              <w:rPr>
                <w:lang w:val="nl-BE"/>
              </w:rPr>
              <w:t>Periodieke vragenlijst met betrekking tot de bestrijding van het witwassen van geld en de financiering van terrorisme</w:t>
            </w:r>
          </w:p>
        </w:tc>
      </w:tr>
      <w:tr w:rsidR="00CE7E73" w:rsidRPr="00922DE6" w:rsidTr="00CE7E73">
        <w:trPr>
          <w:cantSplit/>
          <w:trHeight w:hRule="exact" w:val="397"/>
        </w:trPr>
        <w:tc>
          <w:tcPr>
            <w:tcW w:w="9923" w:type="dxa"/>
            <w:gridSpan w:val="3"/>
            <w:vAlign w:val="center"/>
          </w:tcPr>
          <w:p w:rsidR="00CE7E73" w:rsidRPr="00922DE6" w:rsidRDefault="00CE7E73" w:rsidP="00DF235F">
            <w:pPr>
              <w:spacing w:line="260" w:lineRule="atLeast"/>
              <w:jc w:val="both"/>
              <w:rPr>
                <w:lang w:val="nl-BE"/>
              </w:rPr>
            </w:pPr>
          </w:p>
        </w:tc>
      </w:tr>
    </w:tbl>
    <w:p w:rsidR="00CE7E73" w:rsidRPr="00922DE6" w:rsidRDefault="00CE7E73" w:rsidP="00DF235F">
      <w:pPr>
        <w:jc w:val="both"/>
        <w:rPr>
          <w:lang w:val="nl-BE"/>
        </w:rPr>
      </w:pPr>
    </w:p>
    <w:p w:rsidR="00CE7E73" w:rsidRPr="00922DE6" w:rsidRDefault="00CE7E73" w:rsidP="00DF235F">
      <w:pPr>
        <w:pStyle w:val="Sous-titreOndertitel"/>
        <w:jc w:val="both"/>
        <w:rPr>
          <w:lang w:val="nl-BE"/>
        </w:rPr>
      </w:pPr>
      <w:r w:rsidRPr="00922DE6">
        <w:rPr>
          <w:lang w:val="nl-BE"/>
        </w:rPr>
        <w:t>Toepassingsveld</w:t>
      </w:r>
    </w:p>
    <w:p w:rsidR="00CE7E73" w:rsidRPr="00922DE6" w:rsidRDefault="00CE7E73" w:rsidP="00DF235F">
      <w:pPr>
        <w:jc w:val="both"/>
        <w:rPr>
          <w:i/>
          <w:sz w:val="22"/>
          <w:lang w:val="nl-BE"/>
        </w:rPr>
      </w:pPr>
      <w:r w:rsidRPr="00922DE6">
        <w:rPr>
          <w:i/>
          <w:sz w:val="22"/>
          <w:lang w:val="nl-BE"/>
        </w:rPr>
        <w:t>-</w:t>
      </w:r>
      <w:r w:rsidRPr="00922DE6">
        <w:rPr>
          <w:i/>
          <w:sz w:val="22"/>
          <w:lang w:val="nl-BE"/>
        </w:rPr>
        <w:tab/>
        <w:t>alle kredietinstellingen, met inbegrip van de Europese en niet-Europese bijkantoren;</w:t>
      </w:r>
    </w:p>
    <w:p w:rsidR="00CE7E73" w:rsidRPr="00922DE6" w:rsidRDefault="00CE7E73" w:rsidP="00DF235F">
      <w:pPr>
        <w:jc w:val="both"/>
        <w:rPr>
          <w:i/>
          <w:sz w:val="22"/>
          <w:lang w:val="nl-BE"/>
        </w:rPr>
      </w:pPr>
      <w:r w:rsidRPr="00922DE6">
        <w:rPr>
          <w:i/>
          <w:sz w:val="22"/>
          <w:lang w:val="nl-BE"/>
        </w:rPr>
        <w:t>-</w:t>
      </w:r>
      <w:r w:rsidRPr="00922DE6">
        <w:rPr>
          <w:i/>
          <w:sz w:val="22"/>
          <w:lang w:val="nl-BE"/>
        </w:rPr>
        <w:tab/>
        <w:t>alle beursvennootschappen, met inbegrip van de Europese en niet-Europese bijkantoren;</w:t>
      </w:r>
    </w:p>
    <w:p w:rsidR="00CE7E73" w:rsidRPr="00922DE6" w:rsidRDefault="00CE7E73" w:rsidP="00DF235F">
      <w:pPr>
        <w:ind w:left="284" w:hanging="284"/>
        <w:jc w:val="both"/>
        <w:rPr>
          <w:i/>
          <w:sz w:val="22"/>
          <w:lang w:val="nl-BE"/>
        </w:rPr>
      </w:pPr>
      <w:r w:rsidRPr="00922DE6">
        <w:rPr>
          <w:i/>
          <w:sz w:val="22"/>
          <w:lang w:val="nl-BE"/>
        </w:rPr>
        <w:t>-</w:t>
      </w:r>
      <w:r w:rsidRPr="00922DE6">
        <w:rPr>
          <w:i/>
          <w:sz w:val="22"/>
          <w:lang w:val="nl-BE"/>
        </w:rPr>
        <w:tab/>
        <w:t>alle verzekeringsondernemingen die</w:t>
      </w:r>
      <w:r w:rsidR="00E648C6">
        <w:rPr>
          <w:i/>
          <w:sz w:val="22"/>
          <w:lang w:val="nl-BE"/>
        </w:rPr>
        <w:t xml:space="preserve"> </w:t>
      </w:r>
      <w:r w:rsidR="005B4AD1">
        <w:rPr>
          <w:i/>
          <w:sz w:val="22"/>
          <w:lang w:val="nl-BE"/>
        </w:rPr>
        <w:t>beschikken over de erkenning om</w:t>
      </w:r>
      <w:r w:rsidRPr="00922DE6">
        <w:rPr>
          <w:i/>
          <w:sz w:val="22"/>
          <w:lang w:val="nl-BE"/>
        </w:rPr>
        <w:t xml:space="preserve"> levensverzekeringsactiviteiten uit</w:t>
      </w:r>
      <w:r w:rsidR="00E648C6">
        <w:rPr>
          <w:i/>
          <w:sz w:val="22"/>
          <w:lang w:val="nl-BE"/>
        </w:rPr>
        <w:t xml:space="preserve"> te </w:t>
      </w:r>
      <w:r w:rsidRPr="00922DE6">
        <w:rPr>
          <w:i/>
          <w:sz w:val="22"/>
          <w:lang w:val="nl-BE"/>
        </w:rPr>
        <w:t xml:space="preserve">oefenen, met inbegrip </w:t>
      </w:r>
      <w:r w:rsidR="00E03BE2" w:rsidRPr="00922DE6">
        <w:rPr>
          <w:i/>
          <w:sz w:val="22"/>
          <w:lang w:val="nl-BE"/>
        </w:rPr>
        <w:tab/>
      </w:r>
      <w:r w:rsidRPr="00922DE6">
        <w:rPr>
          <w:i/>
          <w:sz w:val="22"/>
          <w:lang w:val="nl-BE"/>
        </w:rPr>
        <w:t>van de Europese en niet-Europese bijkantoren;</w:t>
      </w:r>
    </w:p>
    <w:p w:rsidR="00421255" w:rsidRPr="00922DE6" w:rsidRDefault="00CE7E73" w:rsidP="00DF235F">
      <w:pPr>
        <w:pStyle w:val="IntroductionInleiding"/>
        <w:spacing w:after="0"/>
        <w:ind w:left="284" w:hanging="284"/>
        <w:jc w:val="both"/>
      </w:pPr>
      <w:r w:rsidRPr="00922DE6">
        <w:t>-</w:t>
      </w:r>
      <w:r w:rsidRPr="00922DE6">
        <w:tab/>
      </w:r>
      <w:r w:rsidR="00421255" w:rsidRPr="00922DE6">
        <w:t xml:space="preserve">alle betalingsinstellingen en instellingen voor elektronisch geld, met inbegrip van de Europese en niet-Europese bijkantoren, met uitzondering </w:t>
      </w:r>
      <w:proofErr w:type="gramStart"/>
      <w:r w:rsidR="00421255" w:rsidRPr="00922DE6">
        <w:t>evenwel</w:t>
      </w:r>
      <w:proofErr w:type="gramEnd"/>
      <w:r w:rsidR="00421255" w:rsidRPr="00922DE6">
        <w:t xml:space="preserve"> van de instellingen die </w:t>
      </w:r>
      <w:r w:rsidR="00065A49" w:rsidRPr="00922DE6">
        <w:t>met</w:t>
      </w:r>
      <w:r w:rsidR="00421255" w:rsidRPr="00922DE6">
        <w:t xml:space="preserve"> toepassing van de artikelen 48 </w:t>
      </w:r>
      <w:r w:rsidR="00132E70" w:rsidRPr="00922DE6">
        <w:t xml:space="preserve">of </w:t>
      </w:r>
      <w:r w:rsidR="00421255" w:rsidRPr="00922DE6">
        <w:t xml:space="preserve">105 van de wet van 21 december 2009 </w:t>
      </w:r>
      <w:r w:rsidR="00065A49" w:rsidRPr="00922DE6">
        <w:t xml:space="preserve">vrijgesteld zijn </w:t>
      </w:r>
      <w:r w:rsidR="00421255" w:rsidRPr="00922DE6">
        <w:t>van de toepassing van de bepalingen van deze wet;</w:t>
      </w:r>
    </w:p>
    <w:p w:rsidR="00BC768A" w:rsidRPr="00922DE6" w:rsidRDefault="00421255" w:rsidP="00DF235F">
      <w:pPr>
        <w:pStyle w:val="IntroductionInleiding"/>
        <w:spacing w:after="0"/>
        <w:ind w:left="284" w:hanging="284"/>
        <w:jc w:val="both"/>
      </w:pPr>
      <w:r w:rsidRPr="00922DE6">
        <w:t>-</w:t>
      </w:r>
      <w:r w:rsidRPr="00922DE6">
        <w:tab/>
        <w:t xml:space="preserve">alle centrale contactpunten in België van betalingsinstellingen en instellingen voor elektronisch geld aan </w:t>
      </w:r>
      <w:proofErr w:type="gramStart"/>
      <w:r w:rsidRPr="00922DE6">
        <w:t>dewelke</w:t>
      </w:r>
      <w:proofErr w:type="gramEnd"/>
      <w:r w:rsidRPr="00922DE6">
        <w:t xml:space="preserve"> in andere lidstaten van de Europese Economische Ruimte een vergunning is verleend, met uitzondering evenwel van deze die </w:t>
      </w:r>
      <w:r w:rsidR="00065A49" w:rsidRPr="00922DE6">
        <w:t>krachtens</w:t>
      </w:r>
      <w:r w:rsidRPr="00922DE6">
        <w:t xml:space="preserve"> de </w:t>
      </w:r>
      <w:r w:rsidRPr="00DF235F">
        <w:t>circulaire</w:t>
      </w:r>
      <w:r w:rsidR="006C7EBD" w:rsidRPr="00DF235F">
        <w:t> </w:t>
      </w:r>
      <w:r w:rsidRPr="00DF235F">
        <w:t>NBB_</w:t>
      </w:r>
      <w:r w:rsidR="00C7795F" w:rsidRPr="00DF235F">
        <w:t>2016</w:t>
      </w:r>
      <w:r w:rsidRPr="00DF235F">
        <w:t>_</w:t>
      </w:r>
      <w:r w:rsidR="00FC54CA" w:rsidRPr="00DF235F">
        <w:t>43</w:t>
      </w:r>
      <w:r w:rsidR="00C7795F" w:rsidRPr="00DF235F">
        <w:t xml:space="preserve"> </w:t>
      </w:r>
      <w:r w:rsidRPr="00DF235F">
        <w:t xml:space="preserve">onderworpen zijn aan de verplichting om de verkorte vragenlijst </w:t>
      </w:r>
      <w:r w:rsidR="00065A49" w:rsidRPr="00DF235F">
        <w:t>te</w:t>
      </w:r>
      <w:r w:rsidR="00065A49" w:rsidRPr="00922DE6">
        <w:t xml:space="preserve"> beantwoorden </w:t>
      </w:r>
      <w:r w:rsidRPr="00922DE6">
        <w:t xml:space="preserve">die bij deze circulaire is gevoegd; </w:t>
      </w:r>
    </w:p>
    <w:p w:rsidR="00CE7E73" w:rsidRPr="00922DE6" w:rsidRDefault="00CE7E73" w:rsidP="00DF235F">
      <w:pPr>
        <w:pStyle w:val="IntroductionInleiding"/>
        <w:jc w:val="both"/>
      </w:pPr>
      <w:r w:rsidRPr="00922DE6">
        <w:t>-</w:t>
      </w:r>
      <w:r w:rsidRPr="00922DE6">
        <w:tab/>
        <w:t>de vereffeningsinstellingen, met inbegrip van de Europese en niet-Europese bijkantoren.</w:t>
      </w:r>
    </w:p>
    <w:p w:rsidR="00CE7E73" w:rsidRPr="00922DE6" w:rsidRDefault="00CE7E73" w:rsidP="00DF235F">
      <w:pPr>
        <w:pStyle w:val="Sous-titreOndertitel"/>
        <w:jc w:val="both"/>
        <w:rPr>
          <w:lang w:val="nl-BE"/>
        </w:rPr>
      </w:pPr>
      <w:r w:rsidRPr="00922DE6">
        <w:rPr>
          <w:lang w:val="nl-BE"/>
        </w:rPr>
        <w:t>Samenvatting/Doelstelling</w:t>
      </w:r>
    </w:p>
    <w:p w:rsidR="00CE7E73" w:rsidRPr="00922DE6" w:rsidRDefault="00CE7E73" w:rsidP="00DF235F">
      <w:pPr>
        <w:pStyle w:val="IntroductionInleiding"/>
        <w:jc w:val="both"/>
      </w:pPr>
      <w:r w:rsidRPr="00922DE6">
        <w:t xml:space="preserve">Met deze circulaire biedt de Nationale Bank van België aan de financiële instellingen gedetailleerde informatie </w:t>
      </w:r>
      <w:proofErr w:type="gramStart"/>
      <w:r w:rsidRPr="00922DE6">
        <w:t>omtrent</w:t>
      </w:r>
      <w:proofErr w:type="gramEnd"/>
      <w:r w:rsidRPr="00922DE6">
        <w:t xml:space="preserve"> de periodieke vragenlijst met betrekking</w:t>
      </w:r>
      <w:r w:rsidRPr="00922DE6">
        <w:rPr>
          <w:szCs w:val="22"/>
        </w:rPr>
        <w:t xml:space="preserve"> tot de bestrijding van het witwassen van geld en de financiering van terrorisme die ze jaarlijks zullen gehouden zijn in te vullen</w:t>
      </w:r>
      <w:r w:rsidRPr="00922DE6">
        <w:t xml:space="preserve">. Deze vragenlijst beoogt aan de Bank systematische en gestandaardiseerde informatie te verstrekken die haar in staat moet stellen haar risicogeoriënteerde benadering te versterken in de uitoefening van haar wettelijke toezichtsbevoegdheden </w:t>
      </w:r>
      <w:proofErr w:type="gramStart"/>
      <w:r w:rsidRPr="00922DE6">
        <w:t>inzake</w:t>
      </w:r>
      <w:proofErr w:type="gramEnd"/>
      <w:r w:rsidRPr="00922DE6">
        <w:t xml:space="preserve"> de bestrijding van </w:t>
      </w:r>
      <w:r w:rsidRPr="00922DE6">
        <w:rPr>
          <w:szCs w:val="22"/>
        </w:rPr>
        <w:t>het witwassen van geld en de financiering van terrorisme</w:t>
      </w:r>
      <w:r w:rsidRPr="00922DE6">
        <w:t>.</w:t>
      </w:r>
    </w:p>
    <w:p w:rsidR="00B00D0B" w:rsidRPr="00922DE6" w:rsidRDefault="00B00D0B" w:rsidP="00DF235F">
      <w:pPr>
        <w:pStyle w:val="Sous-titreOndertitel"/>
        <w:jc w:val="both"/>
        <w:rPr>
          <w:lang w:val="nl-BE"/>
        </w:rPr>
      </w:pPr>
      <w:r w:rsidRPr="00922DE6">
        <w:rPr>
          <w:lang w:val="nl-BE"/>
        </w:rPr>
        <w:t>Structuur</w:t>
      </w:r>
    </w:p>
    <w:p w:rsidR="00B00D0B" w:rsidRPr="00922DE6" w:rsidRDefault="00B00D0B" w:rsidP="00DF235F">
      <w:pPr>
        <w:pStyle w:val="ListParagraph"/>
        <w:numPr>
          <w:ilvl w:val="0"/>
          <w:numId w:val="31"/>
        </w:numPr>
        <w:jc w:val="both"/>
        <w:rPr>
          <w:rFonts w:ascii="Arial" w:hAnsi="Arial" w:cs="Arial"/>
          <w:i/>
          <w:sz w:val="22"/>
          <w:szCs w:val="22"/>
          <w:lang w:val="nl-BE"/>
        </w:rPr>
      </w:pPr>
      <w:r w:rsidRPr="00922DE6">
        <w:rPr>
          <w:rFonts w:ascii="Arial" w:hAnsi="Arial" w:cs="Arial"/>
          <w:i/>
          <w:sz w:val="22"/>
          <w:szCs w:val="22"/>
          <w:lang w:val="nl-BE"/>
        </w:rPr>
        <w:t>Achtergrond</w:t>
      </w:r>
    </w:p>
    <w:p w:rsidR="00B00D0B" w:rsidRPr="00922DE6" w:rsidRDefault="00FA30BC" w:rsidP="00DF235F">
      <w:pPr>
        <w:pStyle w:val="ListParagraph"/>
        <w:numPr>
          <w:ilvl w:val="0"/>
          <w:numId w:val="31"/>
        </w:numPr>
        <w:jc w:val="both"/>
        <w:rPr>
          <w:rFonts w:ascii="Arial" w:hAnsi="Arial" w:cs="Arial"/>
          <w:i/>
          <w:sz w:val="22"/>
          <w:szCs w:val="22"/>
          <w:lang w:val="nl-BE"/>
        </w:rPr>
      </w:pPr>
      <w:r w:rsidRPr="00922DE6">
        <w:rPr>
          <w:rFonts w:ascii="Arial" w:hAnsi="Arial" w:cs="Arial"/>
          <w:i/>
          <w:sz w:val="22"/>
          <w:szCs w:val="22"/>
          <w:lang w:val="nl-BE"/>
        </w:rPr>
        <w:t>Geactualiseerde versie van de periodieke vragenlijst</w:t>
      </w:r>
    </w:p>
    <w:p w:rsidR="00B00D0B" w:rsidRPr="00922DE6" w:rsidRDefault="00FA30BC" w:rsidP="00DF235F">
      <w:pPr>
        <w:pStyle w:val="ListParagraph"/>
        <w:numPr>
          <w:ilvl w:val="0"/>
          <w:numId w:val="31"/>
        </w:numPr>
        <w:jc w:val="both"/>
        <w:rPr>
          <w:rFonts w:ascii="Arial" w:hAnsi="Arial" w:cs="Arial"/>
          <w:i/>
          <w:sz w:val="22"/>
          <w:szCs w:val="22"/>
          <w:lang w:val="nl-BE"/>
        </w:rPr>
      </w:pPr>
      <w:r w:rsidRPr="00922DE6">
        <w:rPr>
          <w:rFonts w:ascii="Arial" w:hAnsi="Arial" w:cs="Arial"/>
          <w:i/>
          <w:sz w:val="22"/>
          <w:szCs w:val="22"/>
          <w:lang w:val="nl-BE"/>
        </w:rPr>
        <w:t>Timing</w:t>
      </w:r>
    </w:p>
    <w:p w:rsidR="00B00D0B" w:rsidRPr="00922DE6" w:rsidRDefault="00FA30BC" w:rsidP="00DF235F">
      <w:pPr>
        <w:pStyle w:val="ListParagraph"/>
        <w:numPr>
          <w:ilvl w:val="0"/>
          <w:numId w:val="31"/>
        </w:numPr>
        <w:ind w:left="714" w:hanging="357"/>
        <w:jc w:val="both"/>
        <w:rPr>
          <w:rFonts w:ascii="Arial" w:hAnsi="Arial" w:cs="Arial"/>
          <w:i/>
          <w:sz w:val="22"/>
          <w:szCs w:val="22"/>
          <w:lang w:val="nl-BE"/>
        </w:rPr>
      </w:pPr>
      <w:r w:rsidRPr="00922DE6">
        <w:rPr>
          <w:rFonts w:ascii="Arial" w:hAnsi="Arial" w:cs="Arial"/>
          <w:i/>
          <w:sz w:val="22"/>
          <w:szCs w:val="22"/>
          <w:lang w:val="nl-BE"/>
        </w:rPr>
        <w:t>Praktisch</w:t>
      </w:r>
    </w:p>
    <w:p w:rsidR="00B00D0B" w:rsidRPr="00922DE6" w:rsidRDefault="00B00D0B" w:rsidP="00DF235F">
      <w:pPr>
        <w:spacing w:after="260"/>
        <w:jc w:val="both"/>
        <w:rPr>
          <w:lang w:val="nl-BE"/>
        </w:rPr>
      </w:pPr>
    </w:p>
    <w:p w:rsidR="00CE7E73" w:rsidRPr="00922DE6" w:rsidRDefault="00C758D3" w:rsidP="00DF235F">
      <w:pPr>
        <w:tabs>
          <w:tab w:val="clear" w:pos="284"/>
        </w:tabs>
        <w:spacing w:line="240" w:lineRule="auto"/>
        <w:jc w:val="both"/>
        <w:rPr>
          <w:lang w:val="nl-BE"/>
        </w:rPr>
      </w:pPr>
      <w:r w:rsidRPr="00922DE6">
        <w:rPr>
          <w:lang w:val="nl-BE"/>
        </w:rPr>
        <w:br w:type="page"/>
      </w:r>
      <w:r w:rsidRPr="00922DE6">
        <w:rPr>
          <w:lang w:val="nl-BE"/>
        </w:rPr>
        <w:lastRenderedPageBreak/>
        <w:t>Geachte mevrouw</w:t>
      </w:r>
    </w:p>
    <w:p w:rsidR="00CE7E73" w:rsidRPr="00922DE6" w:rsidRDefault="00C758D3" w:rsidP="00DF235F">
      <w:pPr>
        <w:jc w:val="both"/>
        <w:rPr>
          <w:lang w:val="nl-BE"/>
        </w:rPr>
      </w:pPr>
      <w:r w:rsidRPr="00922DE6">
        <w:rPr>
          <w:lang w:val="nl-BE"/>
        </w:rPr>
        <w:t>Geachte heer</w:t>
      </w:r>
    </w:p>
    <w:p w:rsidR="00CE7E73" w:rsidRPr="00922DE6" w:rsidRDefault="00CE7E73" w:rsidP="00DF235F">
      <w:pPr>
        <w:jc w:val="both"/>
        <w:rPr>
          <w:lang w:val="nl-BE"/>
        </w:rPr>
      </w:pPr>
    </w:p>
    <w:p w:rsidR="00EE3D5C" w:rsidRPr="00922DE6" w:rsidRDefault="00CD78D1" w:rsidP="00DF235F">
      <w:pPr>
        <w:spacing w:after="120"/>
        <w:jc w:val="both"/>
        <w:rPr>
          <w:lang w:val="nl-BE"/>
        </w:rPr>
      </w:pPr>
      <w:r w:rsidRPr="00922DE6">
        <w:rPr>
          <w:lang w:val="nl-BE"/>
        </w:rPr>
        <w:t xml:space="preserve">Met deze </w:t>
      </w:r>
      <w:r w:rsidR="00CC52EC" w:rsidRPr="00922DE6">
        <w:rPr>
          <w:lang w:val="nl-BE"/>
        </w:rPr>
        <w:t xml:space="preserve">circulaire </w:t>
      </w:r>
      <w:r w:rsidR="00065A49" w:rsidRPr="00922DE6">
        <w:rPr>
          <w:lang w:val="nl-BE"/>
        </w:rPr>
        <w:t>bezorgen</w:t>
      </w:r>
      <w:r w:rsidR="00CC52EC" w:rsidRPr="00922DE6">
        <w:rPr>
          <w:lang w:val="nl-BE"/>
        </w:rPr>
        <w:t xml:space="preserve"> wij u de nieuwe </w:t>
      </w:r>
      <w:r w:rsidRPr="00922DE6">
        <w:rPr>
          <w:lang w:val="nl-BE"/>
        </w:rPr>
        <w:t>periodieke vragenlijst met betrekking tot de bestrijding van het witwassen van geld en de financ</w:t>
      </w:r>
      <w:r w:rsidR="00EE3D5C" w:rsidRPr="00922DE6">
        <w:rPr>
          <w:lang w:val="nl-BE"/>
        </w:rPr>
        <w:t>iering van het terrorisme.</w:t>
      </w:r>
    </w:p>
    <w:p w:rsidR="00CC52EC" w:rsidRPr="00922DE6" w:rsidRDefault="00CC52EC" w:rsidP="00DF235F">
      <w:pPr>
        <w:spacing w:after="120"/>
        <w:jc w:val="both"/>
        <w:rPr>
          <w:lang w:val="nl-BE"/>
        </w:rPr>
      </w:pPr>
      <w:r w:rsidRPr="00922DE6">
        <w:rPr>
          <w:lang w:val="nl-BE"/>
        </w:rPr>
        <w:t xml:space="preserve">Deze circulaire vervangt met </w:t>
      </w:r>
      <w:r w:rsidR="003A2ABA" w:rsidRPr="00922DE6">
        <w:rPr>
          <w:lang w:val="nl-BE"/>
        </w:rPr>
        <w:t>onmiddellijke</w:t>
      </w:r>
      <w:r w:rsidRPr="00922DE6">
        <w:rPr>
          <w:lang w:val="nl-BE"/>
        </w:rPr>
        <w:t xml:space="preserve"> ingang de circulaire </w:t>
      </w:r>
      <w:r w:rsidR="00922DE6">
        <w:rPr>
          <w:lang w:val="nl-BE"/>
        </w:rPr>
        <w:t>NBB_</w:t>
      </w:r>
      <w:r w:rsidR="0051510C">
        <w:rPr>
          <w:lang w:val="nl-BE"/>
        </w:rPr>
        <w:t>2015</w:t>
      </w:r>
      <w:r w:rsidR="00922DE6">
        <w:rPr>
          <w:lang w:val="nl-BE"/>
        </w:rPr>
        <w:t>_</w:t>
      </w:r>
      <w:r w:rsidR="0051510C">
        <w:rPr>
          <w:lang w:val="nl-BE"/>
        </w:rPr>
        <w:t>26</w:t>
      </w:r>
      <w:r w:rsidR="0051510C" w:rsidRPr="00922DE6">
        <w:rPr>
          <w:lang w:val="nl-BE"/>
        </w:rPr>
        <w:t xml:space="preserve"> </w:t>
      </w:r>
      <w:r w:rsidRPr="00922DE6">
        <w:rPr>
          <w:lang w:val="nl-BE"/>
        </w:rPr>
        <w:t xml:space="preserve">over hetzelfde onderwerp. De wijzigingen hebben voornamelijk betrekking op de te rapporteren gegevens. </w:t>
      </w:r>
    </w:p>
    <w:p w:rsidR="00071268" w:rsidRPr="00922DE6" w:rsidRDefault="00071268" w:rsidP="00DF235F">
      <w:pPr>
        <w:spacing w:after="120"/>
        <w:jc w:val="both"/>
        <w:rPr>
          <w:lang w:val="nl-BE"/>
        </w:rPr>
      </w:pPr>
    </w:p>
    <w:p w:rsidR="008E697E" w:rsidRPr="00922DE6" w:rsidRDefault="008E697E" w:rsidP="00DF235F">
      <w:pPr>
        <w:pStyle w:val="ListParagraph"/>
        <w:numPr>
          <w:ilvl w:val="0"/>
          <w:numId w:val="32"/>
        </w:numPr>
        <w:spacing w:line="264" w:lineRule="atLeast"/>
        <w:ind w:left="714" w:hanging="357"/>
        <w:jc w:val="both"/>
        <w:rPr>
          <w:u w:val="single"/>
          <w:lang w:val="nl-BE"/>
        </w:rPr>
      </w:pPr>
      <w:r w:rsidRPr="00922DE6">
        <w:rPr>
          <w:rFonts w:ascii="Arial" w:hAnsi="Arial"/>
          <w:u w:val="single"/>
          <w:lang w:val="nl-BE"/>
        </w:rPr>
        <w:t>Achtergrond</w:t>
      </w:r>
    </w:p>
    <w:p w:rsidR="008E697E" w:rsidRPr="00922DE6" w:rsidRDefault="008E697E" w:rsidP="00DF235F">
      <w:pPr>
        <w:jc w:val="both"/>
        <w:rPr>
          <w:lang w:val="nl-BE"/>
        </w:rPr>
      </w:pPr>
    </w:p>
    <w:p w:rsidR="00CE7E73" w:rsidRPr="00922DE6" w:rsidRDefault="00CE7E73" w:rsidP="00DF235F">
      <w:pPr>
        <w:spacing w:after="120"/>
        <w:jc w:val="both"/>
        <w:rPr>
          <w:lang w:val="nl-BE"/>
        </w:rPr>
      </w:pPr>
      <w:r w:rsidRPr="00922DE6">
        <w:rPr>
          <w:lang w:val="nl-BE"/>
        </w:rPr>
        <w:t xml:space="preserve">De "internationale normen ter bestrijding van het witwassen van geld en de financiering van terrorisme en proliferatie (de FATF-aanbevelingen)", die werden goedgekeurd in februari 2012, </w:t>
      </w:r>
      <w:r w:rsidR="00071268" w:rsidRPr="00922DE6">
        <w:rPr>
          <w:lang w:val="nl-BE"/>
        </w:rPr>
        <w:t>benadrukken in sterke mate</w:t>
      </w:r>
      <w:r w:rsidRPr="00922DE6">
        <w:rPr>
          <w:lang w:val="nl-BE"/>
        </w:rPr>
        <w:t xml:space="preserve"> de tenuitvoerlegging van een risicogeoriënteerde benadering. </w:t>
      </w:r>
    </w:p>
    <w:p w:rsidR="00CE7E73" w:rsidRPr="00922DE6" w:rsidRDefault="00B37500" w:rsidP="00DF235F">
      <w:pPr>
        <w:spacing w:after="120"/>
        <w:jc w:val="both"/>
        <w:rPr>
          <w:lang w:val="nl-BE"/>
        </w:rPr>
      </w:pPr>
      <w:r w:rsidRPr="00922DE6">
        <w:rPr>
          <w:lang w:val="nl-BE"/>
        </w:rPr>
        <w:t>D</w:t>
      </w:r>
      <w:r w:rsidR="00CE7E73" w:rsidRPr="00922DE6">
        <w:rPr>
          <w:lang w:val="nl-BE"/>
        </w:rPr>
        <w:t>eze internationale normen verplicht</w:t>
      </w:r>
      <w:r w:rsidRPr="00922DE6">
        <w:rPr>
          <w:lang w:val="nl-BE"/>
        </w:rPr>
        <w:t>en</w:t>
      </w:r>
      <w:r w:rsidR="00CE7E73" w:rsidRPr="00922DE6">
        <w:rPr>
          <w:lang w:val="nl-BE"/>
        </w:rPr>
        <w:t xml:space="preserve"> de betrokken </w:t>
      </w:r>
      <w:proofErr w:type="spellStart"/>
      <w:r w:rsidRPr="00922DE6">
        <w:rPr>
          <w:lang w:val="nl-BE"/>
        </w:rPr>
        <w:t>toezicht</w:t>
      </w:r>
      <w:r w:rsidR="00071268" w:rsidRPr="00922DE6">
        <w:rPr>
          <w:lang w:val="nl-BE"/>
        </w:rPr>
        <w:t>s</w:t>
      </w:r>
      <w:r w:rsidR="00CE7E73" w:rsidRPr="00922DE6">
        <w:rPr>
          <w:lang w:val="nl-BE"/>
        </w:rPr>
        <w:t>autoriteiten</w:t>
      </w:r>
      <w:proofErr w:type="spellEnd"/>
      <w:r w:rsidR="00CE7E73" w:rsidRPr="00922DE6">
        <w:rPr>
          <w:lang w:val="nl-BE"/>
        </w:rPr>
        <w:t xml:space="preserve"> om </w:t>
      </w:r>
      <w:r w:rsidRPr="00922DE6">
        <w:rPr>
          <w:lang w:val="nl-BE"/>
        </w:rPr>
        <w:t xml:space="preserve">over een </w:t>
      </w:r>
      <w:proofErr w:type="spellStart"/>
      <w:r w:rsidR="00CE7E73" w:rsidRPr="00922DE6">
        <w:rPr>
          <w:lang w:val="nl-BE"/>
        </w:rPr>
        <w:t>toezichtsmodel</w:t>
      </w:r>
      <w:proofErr w:type="spellEnd"/>
      <w:r w:rsidR="00CE7E73" w:rsidRPr="00922DE6">
        <w:rPr>
          <w:lang w:val="nl-BE"/>
        </w:rPr>
        <w:t xml:space="preserve"> </w:t>
      </w:r>
      <w:r w:rsidRPr="00922DE6">
        <w:rPr>
          <w:lang w:val="nl-BE"/>
        </w:rPr>
        <w:t>te beschikken</w:t>
      </w:r>
      <w:r w:rsidR="00CE7E73" w:rsidRPr="00922DE6">
        <w:rPr>
          <w:lang w:val="nl-BE"/>
        </w:rPr>
        <w:t xml:space="preserve"> voor de bestrijding van het witwassen van geld of de financiering van terrorisme of proliferatie </w:t>
      </w:r>
      <w:r w:rsidRPr="00922DE6">
        <w:rPr>
          <w:lang w:val="nl-BE"/>
        </w:rPr>
        <w:t>d</w:t>
      </w:r>
      <w:r w:rsidR="009F77A3" w:rsidRPr="00922DE6">
        <w:rPr>
          <w:lang w:val="nl-BE"/>
        </w:rPr>
        <w:t>at</w:t>
      </w:r>
      <w:r w:rsidRPr="00922DE6">
        <w:rPr>
          <w:lang w:val="nl-BE"/>
        </w:rPr>
        <w:t xml:space="preserve"> hen toelaat hun toezicht</w:t>
      </w:r>
      <w:r w:rsidR="00071268" w:rsidRPr="00922DE6">
        <w:rPr>
          <w:lang w:val="nl-BE"/>
        </w:rPr>
        <w:t>s</w:t>
      </w:r>
      <w:r w:rsidRPr="00922DE6">
        <w:rPr>
          <w:lang w:val="nl-BE"/>
        </w:rPr>
        <w:t>bevoegdheden ui</w:t>
      </w:r>
      <w:r w:rsidR="00071268" w:rsidRPr="00922DE6">
        <w:rPr>
          <w:lang w:val="nl-BE"/>
        </w:rPr>
        <w:t>t</w:t>
      </w:r>
      <w:r w:rsidRPr="00922DE6">
        <w:rPr>
          <w:lang w:val="nl-BE"/>
        </w:rPr>
        <w:t xml:space="preserve"> te oefenen op basis van de risico</w:t>
      </w:r>
      <w:r w:rsidR="00071268" w:rsidRPr="00922DE6">
        <w:rPr>
          <w:lang w:val="nl-BE"/>
        </w:rPr>
        <w:t>’</w:t>
      </w:r>
      <w:r w:rsidRPr="00922DE6">
        <w:rPr>
          <w:lang w:val="nl-BE"/>
        </w:rPr>
        <w:t xml:space="preserve">s </w:t>
      </w:r>
      <w:r w:rsidR="00071268" w:rsidRPr="00922DE6">
        <w:rPr>
          <w:lang w:val="nl-BE"/>
        </w:rPr>
        <w:t>waaraan de financiële instellingen onderhevig zijn</w:t>
      </w:r>
      <w:r w:rsidR="00CE7E73" w:rsidRPr="00922DE6">
        <w:rPr>
          <w:lang w:val="nl-BE"/>
        </w:rPr>
        <w:t xml:space="preserve">. </w:t>
      </w:r>
    </w:p>
    <w:p w:rsidR="00CE7E73" w:rsidRPr="00922DE6" w:rsidRDefault="00CE7E73" w:rsidP="00DF235F">
      <w:pPr>
        <w:spacing w:after="120"/>
        <w:jc w:val="both"/>
        <w:rPr>
          <w:lang w:val="nl-BE"/>
        </w:rPr>
      </w:pPr>
      <w:r w:rsidRPr="00922DE6">
        <w:rPr>
          <w:lang w:val="nl-BE"/>
        </w:rPr>
        <w:t xml:space="preserve">In deze context acht de Nationale Bank van België het noodzakelijk dat ze </w:t>
      </w:r>
      <w:r w:rsidR="009F77A3" w:rsidRPr="00922DE6">
        <w:rPr>
          <w:lang w:val="nl-BE"/>
        </w:rPr>
        <w:t xml:space="preserve">kan </w:t>
      </w:r>
      <w:r w:rsidRPr="00922DE6">
        <w:rPr>
          <w:lang w:val="nl-BE"/>
        </w:rPr>
        <w:t>beschik</w:t>
      </w:r>
      <w:r w:rsidR="009F77A3" w:rsidRPr="00922DE6">
        <w:rPr>
          <w:lang w:val="nl-BE"/>
        </w:rPr>
        <w:t>ken</w:t>
      </w:r>
      <w:r w:rsidRPr="00922DE6">
        <w:rPr>
          <w:lang w:val="nl-BE"/>
        </w:rPr>
        <w:t xml:space="preserve"> over meer systematische informatie met betrekking tot de situatie </w:t>
      </w:r>
      <w:proofErr w:type="gramStart"/>
      <w:r w:rsidRPr="00922DE6">
        <w:rPr>
          <w:lang w:val="nl-BE"/>
        </w:rPr>
        <w:t>ter zake</w:t>
      </w:r>
      <w:proofErr w:type="gramEnd"/>
      <w:r w:rsidRPr="00922DE6">
        <w:rPr>
          <w:lang w:val="nl-BE"/>
        </w:rPr>
        <w:t xml:space="preserve"> van alle financiële instellingen onder toezicht, en dat ze deze informatie verkrijgt volgens modaliteiten die een vergelijking tussen de financiële instellingen </w:t>
      </w:r>
      <w:r w:rsidR="00E2656A" w:rsidRPr="00922DE6">
        <w:rPr>
          <w:lang w:val="nl-BE"/>
        </w:rPr>
        <w:t xml:space="preserve">onderling </w:t>
      </w:r>
      <w:r w:rsidRPr="00922DE6">
        <w:rPr>
          <w:lang w:val="nl-BE"/>
        </w:rPr>
        <w:t>alsook in de tijd mogelijk maken.</w:t>
      </w:r>
      <w:r w:rsidR="00BC768A" w:rsidRPr="00922DE6">
        <w:rPr>
          <w:lang w:val="nl-BE"/>
        </w:rPr>
        <w:t xml:space="preserve"> </w:t>
      </w:r>
    </w:p>
    <w:p w:rsidR="009C55FF" w:rsidRPr="00922DE6" w:rsidRDefault="00CE7E73" w:rsidP="00DF235F">
      <w:pPr>
        <w:tabs>
          <w:tab w:val="clear" w:pos="284"/>
        </w:tabs>
        <w:autoSpaceDE w:val="0"/>
        <w:autoSpaceDN w:val="0"/>
        <w:adjustRightInd w:val="0"/>
        <w:spacing w:after="120"/>
        <w:jc w:val="both"/>
        <w:rPr>
          <w:lang w:val="nl-BE"/>
        </w:rPr>
      </w:pPr>
      <w:r w:rsidRPr="00922DE6">
        <w:rPr>
          <w:lang w:val="nl-BE"/>
        </w:rPr>
        <w:t xml:space="preserve">Hiertoe, en in nauw overleg met Assuralia en Febelfin, heeft de Bank een elektronische vragenlijst uitgewerkt met betrekking tot de bestrijding van het witwassen van geld of de financiering van terrorisme, die door de financiële instellingen jaarlijks moet worden ingevuld. Het dient opgemerkt dat alle financiële instellingen die onderworpen zijn aan de wet van 11 januari 1993 en die vallen onder de toezichtsbevoegdheden van de Bank, betrokken zijn, met inbegrip van de bijkantoren van zowel Europese als niet-Europese financiële instellingen. </w:t>
      </w:r>
    </w:p>
    <w:p w:rsidR="00CE7E73" w:rsidRPr="00922DE6" w:rsidRDefault="00BC768A" w:rsidP="00DF235F">
      <w:pPr>
        <w:tabs>
          <w:tab w:val="clear" w:pos="284"/>
        </w:tabs>
        <w:autoSpaceDE w:val="0"/>
        <w:autoSpaceDN w:val="0"/>
        <w:adjustRightInd w:val="0"/>
        <w:spacing w:after="120"/>
        <w:jc w:val="both"/>
        <w:rPr>
          <w:lang w:val="nl-BE"/>
        </w:rPr>
      </w:pPr>
      <w:r w:rsidRPr="00922DE6">
        <w:rPr>
          <w:lang w:val="nl-BE"/>
        </w:rPr>
        <w:t>Gelet op de specifieke kenmerken van</w:t>
      </w:r>
      <w:r w:rsidRPr="00922DE6">
        <w:rPr>
          <w:rFonts w:cs="Arial"/>
          <w:i/>
          <w:iCs/>
          <w:sz w:val="21"/>
          <w:szCs w:val="21"/>
          <w:lang w:val="nl-BE" w:eastAsia="nl-BE"/>
        </w:rPr>
        <w:t xml:space="preserve"> </w:t>
      </w:r>
      <w:r w:rsidRPr="00922DE6">
        <w:rPr>
          <w:lang w:val="nl-BE"/>
        </w:rPr>
        <w:t>betalingsinstellingen en instellingen voor elektronisch geld aan</w:t>
      </w:r>
      <w:r w:rsidR="00E2656A" w:rsidRPr="00922DE6">
        <w:rPr>
          <w:lang w:val="nl-BE"/>
        </w:rPr>
        <w:t xml:space="preserve"> </w:t>
      </w:r>
      <w:proofErr w:type="gramStart"/>
      <w:r w:rsidR="00E2656A" w:rsidRPr="00922DE6">
        <w:rPr>
          <w:lang w:val="nl-BE"/>
        </w:rPr>
        <w:t>dewelke</w:t>
      </w:r>
      <w:proofErr w:type="gramEnd"/>
      <w:r w:rsidRPr="00922DE6">
        <w:rPr>
          <w:lang w:val="nl-BE"/>
        </w:rPr>
        <w:t xml:space="preserve"> in andere lidstaten van de Europese Economische Ruimte een vergunning is verleend en die in België gevestigd zijn </w:t>
      </w:r>
      <w:r w:rsidR="00065A49" w:rsidRPr="00922DE6">
        <w:rPr>
          <w:lang w:val="nl-BE"/>
        </w:rPr>
        <w:t>via</w:t>
      </w:r>
      <w:r w:rsidRPr="00922DE6">
        <w:rPr>
          <w:lang w:val="nl-BE"/>
        </w:rPr>
        <w:t xml:space="preserve"> de </w:t>
      </w:r>
      <w:r w:rsidR="009C55FF" w:rsidRPr="00922DE6">
        <w:rPr>
          <w:lang w:val="nl-BE"/>
        </w:rPr>
        <w:t>oprichting</w:t>
      </w:r>
      <w:r w:rsidRPr="00922DE6">
        <w:rPr>
          <w:lang w:val="nl-BE"/>
        </w:rPr>
        <w:t xml:space="preserve"> van een </w:t>
      </w:r>
      <w:r w:rsidR="009C55FF" w:rsidRPr="00922DE6">
        <w:rPr>
          <w:lang w:val="nl-BE"/>
        </w:rPr>
        <w:t>beperkt</w:t>
      </w:r>
      <w:r w:rsidRPr="00922DE6">
        <w:rPr>
          <w:lang w:val="nl-BE"/>
        </w:rPr>
        <w:t xml:space="preserve"> netwerk van agenten, alsook </w:t>
      </w:r>
      <w:r w:rsidR="009C55FF" w:rsidRPr="00922DE6">
        <w:rPr>
          <w:lang w:val="nl-BE"/>
        </w:rPr>
        <w:t xml:space="preserve">van betalingsinstellingen en instellingen voor elektronisch geld die, </w:t>
      </w:r>
      <w:r w:rsidR="00065A49" w:rsidRPr="00922DE6">
        <w:rPr>
          <w:lang w:val="nl-BE"/>
        </w:rPr>
        <w:t>met</w:t>
      </w:r>
      <w:r w:rsidR="009C55FF" w:rsidRPr="00922DE6">
        <w:rPr>
          <w:lang w:val="nl-BE"/>
        </w:rPr>
        <w:t xml:space="preserve"> toepassing van</w:t>
      </w:r>
      <w:r w:rsidR="002C01F3" w:rsidRPr="00922DE6">
        <w:rPr>
          <w:lang w:val="nl-BE"/>
        </w:rPr>
        <w:t xml:space="preserve"> de</w:t>
      </w:r>
      <w:r w:rsidR="009C55FF" w:rsidRPr="00922DE6">
        <w:rPr>
          <w:lang w:val="nl-BE"/>
        </w:rPr>
        <w:t xml:space="preserve"> artikel</w:t>
      </w:r>
      <w:r w:rsidR="002C01F3" w:rsidRPr="00922DE6">
        <w:rPr>
          <w:lang w:val="nl-BE"/>
        </w:rPr>
        <w:t>en</w:t>
      </w:r>
      <w:r w:rsidR="009C55FF" w:rsidRPr="00922DE6">
        <w:rPr>
          <w:lang w:val="nl-BE"/>
        </w:rPr>
        <w:t xml:space="preserve"> 48 en 105 van de wet van 21 december 2009, </w:t>
      </w:r>
      <w:r w:rsidR="00065A49" w:rsidRPr="00922DE6">
        <w:rPr>
          <w:lang w:val="nl-BE"/>
        </w:rPr>
        <w:t xml:space="preserve">vrijgesteld zijn </w:t>
      </w:r>
      <w:r w:rsidR="002C01F3" w:rsidRPr="00922DE6">
        <w:rPr>
          <w:lang w:val="nl-BE"/>
        </w:rPr>
        <w:t>van</w:t>
      </w:r>
      <w:r w:rsidR="009C55FF" w:rsidRPr="00922DE6">
        <w:rPr>
          <w:lang w:val="nl-BE"/>
        </w:rPr>
        <w:t xml:space="preserve"> de toepassing van de bepalingen van deze wet, worden deze instellingen onderworpen aan de verplichting om </w:t>
      </w:r>
      <w:r w:rsidR="00BB75F0" w:rsidRPr="00922DE6">
        <w:rPr>
          <w:lang w:val="nl-BE"/>
        </w:rPr>
        <w:t>de</w:t>
      </w:r>
      <w:r w:rsidR="009C55FF" w:rsidRPr="00922DE6">
        <w:rPr>
          <w:lang w:val="nl-BE"/>
        </w:rPr>
        <w:t xml:space="preserve"> </w:t>
      </w:r>
      <w:r w:rsidR="009C55FF" w:rsidRPr="00922DE6">
        <w:rPr>
          <w:rFonts w:cs="Arial"/>
          <w:sz w:val="19"/>
          <w:szCs w:val="19"/>
          <w:lang w:val="nl-BE" w:eastAsia="nl-BE"/>
        </w:rPr>
        <w:t xml:space="preserve">verkorte </w:t>
      </w:r>
      <w:r w:rsidR="00BB75F0" w:rsidRPr="00922DE6">
        <w:rPr>
          <w:rFonts w:cs="Arial"/>
          <w:sz w:val="19"/>
          <w:szCs w:val="19"/>
          <w:lang w:val="nl-BE" w:eastAsia="nl-BE"/>
        </w:rPr>
        <w:t xml:space="preserve">versie van </w:t>
      </w:r>
      <w:r w:rsidR="00065A49" w:rsidRPr="00922DE6">
        <w:rPr>
          <w:rFonts w:cs="Arial"/>
          <w:sz w:val="19"/>
          <w:szCs w:val="19"/>
          <w:lang w:val="nl-BE" w:eastAsia="nl-BE"/>
        </w:rPr>
        <w:t xml:space="preserve">de </w:t>
      </w:r>
      <w:r w:rsidR="009C55FF" w:rsidRPr="00922DE6">
        <w:rPr>
          <w:rFonts w:cs="Arial"/>
          <w:sz w:val="19"/>
          <w:szCs w:val="19"/>
          <w:lang w:val="nl-BE" w:eastAsia="nl-BE"/>
        </w:rPr>
        <w:t xml:space="preserve">vragenlijst te </w:t>
      </w:r>
      <w:r w:rsidR="009C55FF" w:rsidRPr="004430BF">
        <w:rPr>
          <w:rFonts w:cs="Arial"/>
          <w:sz w:val="19"/>
          <w:szCs w:val="19"/>
          <w:lang w:val="nl-BE" w:eastAsia="nl-BE"/>
        </w:rPr>
        <w:t xml:space="preserve">beantwoorden </w:t>
      </w:r>
      <w:r w:rsidR="00BB75F0" w:rsidRPr="004430BF">
        <w:rPr>
          <w:rFonts w:cs="Arial"/>
          <w:sz w:val="19"/>
          <w:szCs w:val="19"/>
          <w:lang w:val="nl-BE" w:eastAsia="nl-BE"/>
        </w:rPr>
        <w:t xml:space="preserve">in overeenstemming met </w:t>
      </w:r>
      <w:r w:rsidR="004430BF">
        <w:rPr>
          <w:rFonts w:cs="Arial"/>
          <w:sz w:val="19"/>
          <w:szCs w:val="19"/>
          <w:lang w:val="nl-BE" w:eastAsia="nl-BE"/>
        </w:rPr>
        <w:t>c</w:t>
      </w:r>
      <w:r w:rsidR="009C55FF" w:rsidRPr="004430BF">
        <w:rPr>
          <w:rFonts w:cs="Arial"/>
          <w:sz w:val="19"/>
          <w:szCs w:val="19"/>
          <w:lang w:val="nl-BE" w:eastAsia="nl-BE"/>
        </w:rPr>
        <w:t xml:space="preserve">irculaire </w:t>
      </w:r>
      <w:r w:rsidR="00BB75F0" w:rsidRPr="004430BF">
        <w:rPr>
          <w:rFonts w:cs="Arial"/>
          <w:sz w:val="19"/>
          <w:szCs w:val="19"/>
          <w:lang w:val="nl-BE" w:eastAsia="nl-BE"/>
        </w:rPr>
        <w:t>NBB_</w:t>
      </w:r>
      <w:r w:rsidR="0051510C" w:rsidRPr="004430BF">
        <w:rPr>
          <w:rFonts w:cs="Arial"/>
          <w:sz w:val="19"/>
          <w:szCs w:val="19"/>
          <w:lang w:val="nl-BE" w:eastAsia="nl-BE"/>
        </w:rPr>
        <w:t>2016</w:t>
      </w:r>
      <w:r w:rsidR="00BB75F0" w:rsidRPr="004430BF">
        <w:rPr>
          <w:rFonts w:cs="Arial"/>
          <w:sz w:val="19"/>
          <w:szCs w:val="19"/>
          <w:lang w:val="nl-BE" w:eastAsia="nl-BE"/>
        </w:rPr>
        <w:t>_</w:t>
      </w:r>
      <w:r w:rsidR="00FC54CA" w:rsidRPr="004430BF">
        <w:rPr>
          <w:rFonts w:cs="Arial"/>
          <w:sz w:val="19"/>
          <w:szCs w:val="19"/>
          <w:lang w:val="nl-BE" w:eastAsia="nl-BE"/>
        </w:rPr>
        <w:t>43</w:t>
      </w:r>
      <w:r w:rsidR="0051510C" w:rsidRPr="004430BF">
        <w:rPr>
          <w:rFonts w:cs="Arial"/>
          <w:sz w:val="19"/>
          <w:szCs w:val="19"/>
          <w:lang w:val="nl-BE" w:eastAsia="nl-BE"/>
        </w:rPr>
        <w:t xml:space="preserve"> </w:t>
      </w:r>
      <w:r w:rsidR="009C55FF" w:rsidRPr="004430BF">
        <w:rPr>
          <w:rFonts w:cs="Arial"/>
          <w:sz w:val="19"/>
          <w:szCs w:val="19"/>
          <w:lang w:val="nl-BE" w:eastAsia="nl-BE"/>
        </w:rPr>
        <w:t xml:space="preserve">van </w:t>
      </w:r>
      <w:r w:rsidR="00FC54CA" w:rsidRPr="004430BF">
        <w:rPr>
          <w:rFonts w:cs="Arial"/>
          <w:sz w:val="19"/>
          <w:szCs w:val="19"/>
          <w:lang w:val="nl-BE" w:eastAsia="nl-BE"/>
        </w:rPr>
        <w:t>26</w:t>
      </w:r>
      <w:r w:rsidR="0051510C" w:rsidRPr="004430BF">
        <w:rPr>
          <w:rFonts w:cs="Arial"/>
          <w:sz w:val="19"/>
          <w:szCs w:val="19"/>
          <w:lang w:val="nl-BE" w:eastAsia="nl-BE"/>
        </w:rPr>
        <w:t xml:space="preserve"> </w:t>
      </w:r>
      <w:r w:rsidR="009A5F8F" w:rsidRPr="004430BF">
        <w:rPr>
          <w:rFonts w:cs="Arial"/>
          <w:sz w:val="19"/>
          <w:szCs w:val="19"/>
          <w:lang w:val="nl-BE" w:eastAsia="nl-BE"/>
        </w:rPr>
        <w:t>oktober</w:t>
      </w:r>
      <w:r w:rsidR="009C55FF" w:rsidRPr="004430BF">
        <w:rPr>
          <w:rFonts w:cs="Arial"/>
          <w:sz w:val="19"/>
          <w:szCs w:val="19"/>
          <w:lang w:val="nl-BE" w:eastAsia="nl-BE"/>
        </w:rPr>
        <w:t xml:space="preserve"> </w:t>
      </w:r>
      <w:r w:rsidR="00FC54CA" w:rsidRPr="004430BF">
        <w:rPr>
          <w:rFonts w:cs="Arial"/>
          <w:sz w:val="19"/>
          <w:szCs w:val="19"/>
          <w:lang w:val="nl-BE" w:eastAsia="nl-BE"/>
        </w:rPr>
        <w:t>2016</w:t>
      </w:r>
      <w:r w:rsidR="009C55FF" w:rsidRPr="004430BF">
        <w:rPr>
          <w:rFonts w:cs="Arial"/>
          <w:sz w:val="19"/>
          <w:szCs w:val="19"/>
          <w:lang w:val="nl-BE" w:eastAsia="nl-BE"/>
        </w:rPr>
        <w:t>.</w:t>
      </w:r>
    </w:p>
    <w:p w:rsidR="00CE7E73" w:rsidRPr="00922DE6" w:rsidRDefault="00BB75F0" w:rsidP="00DF235F">
      <w:pPr>
        <w:spacing w:after="120"/>
        <w:jc w:val="both"/>
        <w:rPr>
          <w:lang w:val="nl-BE"/>
        </w:rPr>
      </w:pPr>
      <w:r w:rsidRPr="00922DE6">
        <w:rPr>
          <w:lang w:val="nl-BE"/>
        </w:rPr>
        <w:t>De hierbij gevoegde vragenlijst</w:t>
      </w:r>
      <w:r w:rsidR="00CE7E73" w:rsidRPr="00922DE6">
        <w:rPr>
          <w:lang w:val="nl-BE"/>
        </w:rPr>
        <w:t xml:space="preserve"> wordt aangevuld met een "methodologische nota" die een nadere omschrijving geeft van de doelstellingen en modaliteiten. </w:t>
      </w:r>
    </w:p>
    <w:p w:rsidR="00A63EBB" w:rsidRPr="00922DE6" w:rsidRDefault="00A63EBB" w:rsidP="00DF235F">
      <w:pPr>
        <w:jc w:val="both"/>
        <w:rPr>
          <w:lang w:val="nl-BE"/>
        </w:rPr>
      </w:pPr>
    </w:p>
    <w:p w:rsidR="00A63EBB" w:rsidRPr="00922DE6" w:rsidRDefault="00A63EBB" w:rsidP="00DF235F">
      <w:pPr>
        <w:pStyle w:val="ListParagraph"/>
        <w:numPr>
          <w:ilvl w:val="0"/>
          <w:numId w:val="32"/>
        </w:numPr>
        <w:spacing w:line="264" w:lineRule="atLeast"/>
        <w:ind w:left="714" w:hanging="357"/>
        <w:jc w:val="both"/>
        <w:rPr>
          <w:u w:val="single"/>
          <w:lang w:val="nl-BE"/>
        </w:rPr>
      </w:pPr>
      <w:r w:rsidRPr="00922DE6">
        <w:rPr>
          <w:rFonts w:ascii="Arial" w:hAnsi="Arial"/>
          <w:u w:val="single"/>
          <w:lang w:val="nl-BE"/>
        </w:rPr>
        <w:t xml:space="preserve">Geactualiseerde versie van de </w:t>
      </w:r>
      <w:r w:rsidR="00FA30BC" w:rsidRPr="00922DE6">
        <w:rPr>
          <w:rFonts w:ascii="Arial" w:hAnsi="Arial"/>
          <w:u w:val="single"/>
          <w:lang w:val="nl-BE"/>
        </w:rPr>
        <w:t>periodieke</w:t>
      </w:r>
      <w:r w:rsidRPr="00922DE6">
        <w:rPr>
          <w:rFonts w:ascii="Arial" w:hAnsi="Arial"/>
          <w:u w:val="single"/>
          <w:lang w:val="nl-BE"/>
        </w:rPr>
        <w:t xml:space="preserve"> vragenlijst</w:t>
      </w:r>
    </w:p>
    <w:p w:rsidR="008E697E" w:rsidRPr="00922DE6" w:rsidRDefault="008E697E" w:rsidP="00DF235F">
      <w:pPr>
        <w:jc w:val="both"/>
        <w:rPr>
          <w:u w:val="single"/>
          <w:lang w:val="nl-BE"/>
        </w:rPr>
      </w:pPr>
    </w:p>
    <w:p w:rsidR="00A63EBB" w:rsidRPr="00922DE6" w:rsidRDefault="00922DE6" w:rsidP="00DF235F">
      <w:pPr>
        <w:spacing w:after="120"/>
        <w:jc w:val="both"/>
        <w:rPr>
          <w:lang w:val="nl-BE"/>
        </w:rPr>
      </w:pPr>
      <w:r>
        <w:rPr>
          <w:lang w:val="nl-BE"/>
        </w:rPr>
        <w:t xml:space="preserve">De voorbije jaren heeft de Bank </w:t>
      </w:r>
      <w:proofErr w:type="gramStart"/>
      <w:r>
        <w:rPr>
          <w:lang w:val="nl-BE"/>
        </w:rPr>
        <w:t>reeds</w:t>
      </w:r>
      <w:proofErr w:type="gramEnd"/>
      <w:r>
        <w:rPr>
          <w:lang w:val="nl-BE"/>
        </w:rPr>
        <w:t xml:space="preserve"> </w:t>
      </w:r>
      <w:r w:rsidR="00FB2E7E">
        <w:rPr>
          <w:lang w:val="nl-BE"/>
        </w:rPr>
        <w:t xml:space="preserve">drie </w:t>
      </w:r>
      <w:r>
        <w:rPr>
          <w:lang w:val="nl-BE"/>
        </w:rPr>
        <w:t>elektronische vragenlijsten toegestuurd aan de financiële instellingen. Een eerste versie van de vragenlijst werd gevoegd bij de circulaire NBB_2013_10 van 25</w:t>
      </w:r>
      <w:r w:rsidR="004430BF">
        <w:rPr>
          <w:lang w:val="nl-BE"/>
        </w:rPr>
        <w:t> </w:t>
      </w:r>
      <w:r>
        <w:rPr>
          <w:lang w:val="nl-BE"/>
        </w:rPr>
        <w:t>september 2013</w:t>
      </w:r>
      <w:r w:rsidR="0051510C">
        <w:rPr>
          <w:lang w:val="nl-BE"/>
        </w:rPr>
        <w:t xml:space="preserve">, </w:t>
      </w:r>
      <w:r>
        <w:rPr>
          <w:lang w:val="nl-BE"/>
        </w:rPr>
        <w:t>een tweede versie van de vragenlijst werd gevoegd bij de circulaire 2014_11 van 14</w:t>
      </w:r>
      <w:r w:rsidR="004430BF">
        <w:rPr>
          <w:lang w:val="nl-BE"/>
        </w:rPr>
        <w:t> </w:t>
      </w:r>
      <w:r>
        <w:rPr>
          <w:lang w:val="nl-BE"/>
        </w:rPr>
        <w:t>oktober 2014</w:t>
      </w:r>
      <w:r w:rsidR="0051510C">
        <w:rPr>
          <w:lang w:val="nl-BE"/>
        </w:rPr>
        <w:t xml:space="preserve"> en een derde versie van de vragenlijst werd gevoegd bij de circulaire 2015_26 van 7</w:t>
      </w:r>
      <w:r w:rsidR="004430BF">
        <w:rPr>
          <w:lang w:val="nl-BE"/>
        </w:rPr>
        <w:t> </w:t>
      </w:r>
      <w:r w:rsidR="0051510C">
        <w:rPr>
          <w:lang w:val="nl-BE"/>
        </w:rPr>
        <w:t>oktober 2015</w:t>
      </w:r>
      <w:r>
        <w:rPr>
          <w:lang w:val="nl-BE"/>
        </w:rPr>
        <w:t xml:space="preserve">. </w:t>
      </w:r>
      <w:r w:rsidR="00A63EBB" w:rsidRPr="00922DE6">
        <w:rPr>
          <w:lang w:val="nl-BE"/>
        </w:rPr>
        <w:t>De financiële instellingen dienden deze elektronische vragenlijst</w:t>
      </w:r>
      <w:r>
        <w:rPr>
          <w:lang w:val="nl-BE"/>
        </w:rPr>
        <w:t xml:space="preserve"> telkens</w:t>
      </w:r>
      <w:r w:rsidR="00A63EBB" w:rsidRPr="00922DE6">
        <w:rPr>
          <w:lang w:val="nl-BE"/>
        </w:rPr>
        <w:t xml:space="preserve"> in te vullen op grond van de situatie</w:t>
      </w:r>
      <w:r w:rsidR="006C2BE7" w:rsidRPr="00922DE6">
        <w:rPr>
          <w:lang w:val="nl-BE"/>
        </w:rPr>
        <w:t xml:space="preserve"> (o.a. de interne procedures)</w:t>
      </w:r>
      <w:r w:rsidR="00A63EBB" w:rsidRPr="00922DE6">
        <w:rPr>
          <w:lang w:val="nl-BE"/>
        </w:rPr>
        <w:t xml:space="preserve"> </w:t>
      </w:r>
      <w:r w:rsidR="006C2BE7" w:rsidRPr="00922DE6">
        <w:rPr>
          <w:lang w:val="nl-BE"/>
        </w:rPr>
        <w:t xml:space="preserve">op 31 december </w:t>
      </w:r>
      <w:r>
        <w:rPr>
          <w:lang w:val="nl-BE"/>
        </w:rPr>
        <w:t xml:space="preserve">van, </w:t>
      </w:r>
      <w:proofErr w:type="gramStart"/>
      <w:r>
        <w:rPr>
          <w:lang w:val="nl-BE"/>
        </w:rPr>
        <w:t>respectievelijk</w:t>
      </w:r>
      <w:proofErr w:type="gramEnd"/>
      <w:r>
        <w:rPr>
          <w:lang w:val="nl-BE"/>
        </w:rPr>
        <w:t>, 2013</w:t>
      </w:r>
      <w:r w:rsidR="0051510C">
        <w:rPr>
          <w:lang w:val="nl-BE"/>
        </w:rPr>
        <w:t>,</w:t>
      </w:r>
      <w:r>
        <w:rPr>
          <w:lang w:val="nl-BE"/>
        </w:rPr>
        <w:t xml:space="preserve"> 2014</w:t>
      </w:r>
      <w:r w:rsidR="0051510C">
        <w:rPr>
          <w:lang w:val="nl-BE"/>
        </w:rPr>
        <w:t xml:space="preserve"> en 2015</w:t>
      </w:r>
      <w:r w:rsidR="006C2BE7" w:rsidRPr="00922DE6">
        <w:rPr>
          <w:lang w:val="nl-BE"/>
        </w:rPr>
        <w:t xml:space="preserve">. </w:t>
      </w:r>
    </w:p>
    <w:p w:rsidR="006C7EBD" w:rsidRPr="00922DE6" w:rsidRDefault="006C7EBD" w:rsidP="00DF235F">
      <w:pPr>
        <w:jc w:val="both"/>
        <w:rPr>
          <w:lang w:val="nl-BE"/>
        </w:rPr>
      </w:pPr>
    </w:p>
    <w:p w:rsidR="003F42E4" w:rsidRPr="00B81D96" w:rsidRDefault="006C2BE7" w:rsidP="00DF235F">
      <w:pPr>
        <w:jc w:val="both"/>
        <w:rPr>
          <w:rFonts w:cs="Arial"/>
          <w:lang w:val="nl-BE"/>
        </w:rPr>
      </w:pPr>
      <w:r w:rsidRPr="00922DE6">
        <w:rPr>
          <w:lang w:val="nl-BE"/>
        </w:rPr>
        <w:t xml:space="preserve">Als bijlage bij onderhavige circulaire voegt de Bank </w:t>
      </w:r>
      <w:r w:rsidR="00745825" w:rsidRPr="00922DE6">
        <w:rPr>
          <w:lang w:val="nl-BE"/>
        </w:rPr>
        <w:t>nu een nieuwe</w:t>
      </w:r>
      <w:r w:rsidR="00922DE6">
        <w:rPr>
          <w:lang w:val="nl-BE"/>
        </w:rPr>
        <w:t xml:space="preserve"> </w:t>
      </w:r>
      <w:r w:rsidR="00745825" w:rsidRPr="00922DE6">
        <w:rPr>
          <w:lang w:val="nl-BE"/>
        </w:rPr>
        <w:t xml:space="preserve">versie van de vragenlijst. </w:t>
      </w:r>
      <w:r w:rsidR="0051510C">
        <w:rPr>
          <w:lang w:val="nl-BE"/>
        </w:rPr>
        <w:t>De eerste zes hoofdstukken van de vragenlijst bleven ongewijzigd</w:t>
      </w:r>
      <w:r w:rsidR="00FE5A0E">
        <w:rPr>
          <w:lang w:val="nl-BE"/>
        </w:rPr>
        <w:t xml:space="preserve"> ten opzichte van de vragenlijst die begin 2016 door de instellingen moest worden beantwoord</w:t>
      </w:r>
      <w:r w:rsidR="0051510C">
        <w:rPr>
          <w:lang w:val="nl-BE"/>
        </w:rPr>
        <w:t xml:space="preserve">. Het hoofdstuk 7 ‘Cijfergegevens’, dat vorig jaar voor het </w:t>
      </w:r>
      <w:r w:rsidR="0051510C">
        <w:rPr>
          <w:lang w:val="nl-BE"/>
        </w:rPr>
        <w:lastRenderedPageBreak/>
        <w:t xml:space="preserve">eerst in de vragenlijst werd geïntroduceerd, verdwijnt en dient </w:t>
      </w:r>
      <w:r w:rsidR="00FB2E7E">
        <w:rPr>
          <w:lang w:val="nl-BE"/>
        </w:rPr>
        <w:t>begin 2017</w:t>
      </w:r>
      <w:r w:rsidR="0051510C">
        <w:rPr>
          <w:lang w:val="nl-BE"/>
        </w:rPr>
        <w:t xml:space="preserve"> dus niet te worden beantwoord </w:t>
      </w:r>
      <w:r w:rsidR="00933582">
        <w:rPr>
          <w:lang w:val="nl-BE"/>
        </w:rPr>
        <w:t xml:space="preserve">als afzonderlijk hoofdstuk </w:t>
      </w:r>
      <w:r w:rsidR="00FB2E7E">
        <w:rPr>
          <w:lang w:val="nl-BE"/>
        </w:rPr>
        <w:t>van</w:t>
      </w:r>
      <w:r w:rsidR="00933582">
        <w:rPr>
          <w:lang w:val="nl-BE"/>
        </w:rPr>
        <w:t xml:space="preserve"> de periodieke vragenlijst</w:t>
      </w:r>
      <w:r w:rsidR="0051510C">
        <w:rPr>
          <w:lang w:val="nl-BE"/>
        </w:rPr>
        <w:t xml:space="preserve">. </w:t>
      </w:r>
      <w:r w:rsidR="00FB2E7E">
        <w:rPr>
          <w:lang w:val="nl-BE"/>
        </w:rPr>
        <w:t xml:space="preserve">Dit heeft echter niet tot gevolg dat de financiële instellingen zullen worden vrijgesteld van de verplichting om de Bank bepaalde cijfergegevens mee te delen in de loop van 2017. </w:t>
      </w:r>
      <w:r w:rsidR="00FB2E7E">
        <w:rPr>
          <w:rFonts w:cs="Arial"/>
          <w:lang w:val="nl-BE"/>
        </w:rPr>
        <w:t xml:space="preserve">De </w:t>
      </w:r>
      <w:r w:rsidR="0060096B">
        <w:rPr>
          <w:rFonts w:cs="Arial"/>
          <w:lang w:val="nl-BE"/>
        </w:rPr>
        <w:t>informatie die in 2016 werd opgevraagd in het nu geschrapte hoofdstuk 7,</w:t>
      </w:r>
      <w:r w:rsidR="00FB2E7E">
        <w:rPr>
          <w:rFonts w:cs="Arial"/>
          <w:lang w:val="nl-BE"/>
        </w:rPr>
        <w:t xml:space="preserve"> zal door de Bank</w:t>
      </w:r>
      <w:r w:rsidR="00933582">
        <w:rPr>
          <w:rFonts w:cs="Arial"/>
          <w:lang w:val="nl-BE"/>
        </w:rPr>
        <w:t xml:space="preserve"> in 2017 immers worden </w:t>
      </w:r>
      <w:r w:rsidR="00FB2E7E">
        <w:rPr>
          <w:rFonts w:cs="Arial"/>
          <w:lang w:val="nl-BE"/>
        </w:rPr>
        <w:t>opgevraagd via</w:t>
      </w:r>
      <w:r w:rsidR="00933582">
        <w:rPr>
          <w:rFonts w:cs="Arial"/>
          <w:lang w:val="nl-BE"/>
        </w:rPr>
        <w:t xml:space="preserve"> een nieuw formaat dat door de financiële instellingen als addendum bij het jaarlijkse witwasverslag zal </w:t>
      </w:r>
      <w:r w:rsidR="0060096B">
        <w:rPr>
          <w:rFonts w:cs="Arial"/>
          <w:lang w:val="nl-BE"/>
        </w:rPr>
        <w:t xml:space="preserve">moeten worden </w:t>
      </w:r>
      <w:r w:rsidR="00933582">
        <w:rPr>
          <w:rFonts w:cs="Arial"/>
          <w:lang w:val="nl-BE"/>
        </w:rPr>
        <w:t xml:space="preserve">gevoegd. Bovendien zal </w:t>
      </w:r>
      <w:r w:rsidR="0060096B">
        <w:rPr>
          <w:rFonts w:cs="Arial"/>
          <w:lang w:val="nl-BE"/>
        </w:rPr>
        <w:t>in</w:t>
      </w:r>
      <w:r w:rsidR="00FB2E7E">
        <w:rPr>
          <w:rFonts w:cs="Arial"/>
          <w:lang w:val="nl-BE"/>
        </w:rPr>
        <w:t xml:space="preserve"> dit addendum </w:t>
      </w:r>
      <w:r w:rsidR="00933582">
        <w:rPr>
          <w:rFonts w:cs="Arial"/>
          <w:lang w:val="nl-BE"/>
        </w:rPr>
        <w:t xml:space="preserve">ook nog bijkomende informatie </w:t>
      </w:r>
      <w:r w:rsidR="00FB2E7E">
        <w:rPr>
          <w:rFonts w:cs="Arial"/>
          <w:lang w:val="nl-BE"/>
        </w:rPr>
        <w:t>worden opgevraagd</w:t>
      </w:r>
      <w:r w:rsidR="00933582">
        <w:rPr>
          <w:rFonts w:cs="Arial"/>
          <w:lang w:val="nl-BE"/>
        </w:rPr>
        <w:t xml:space="preserve"> over de door de </w:t>
      </w:r>
      <w:r w:rsidR="005E63E5">
        <w:rPr>
          <w:rFonts w:cs="Arial"/>
          <w:lang w:val="nl-BE"/>
        </w:rPr>
        <w:t xml:space="preserve">financiële </w:t>
      </w:r>
      <w:r w:rsidR="00933582">
        <w:rPr>
          <w:rFonts w:cs="Arial"/>
          <w:lang w:val="nl-BE"/>
        </w:rPr>
        <w:t xml:space="preserve">instellingen </w:t>
      </w:r>
      <w:r w:rsidR="00FB2E7E">
        <w:rPr>
          <w:rFonts w:cs="Arial"/>
          <w:lang w:val="nl-BE"/>
        </w:rPr>
        <w:t xml:space="preserve">in België </w:t>
      </w:r>
      <w:r w:rsidR="00933582">
        <w:rPr>
          <w:rFonts w:cs="Arial"/>
          <w:lang w:val="nl-BE"/>
        </w:rPr>
        <w:t>uitge</w:t>
      </w:r>
      <w:r w:rsidR="005E63E5">
        <w:rPr>
          <w:rFonts w:cs="Arial"/>
          <w:lang w:val="nl-BE"/>
        </w:rPr>
        <w:t>oefende</w:t>
      </w:r>
      <w:r w:rsidR="00933582">
        <w:rPr>
          <w:rFonts w:cs="Arial"/>
          <w:lang w:val="nl-BE"/>
        </w:rPr>
        <w:t xml:space="preserve"> activiteiten. De Bank zal de financiële instellingen </w:t>
      </w:r>
      <w:r w:rsidR="00FB2E7E">
        <w:rPr>
          <w:rFonts w:cs="Arial"/>
          <w:lang w:val="nl-BE"/>
        </w:rPr>
        <w:t xml:space="preserve">later dit jaar, via een afzonderlijke circulaire, meer toelichting verschaffen over deze nieuwe rapporteringsverplichting, met inbegrip van alle praktische modaliteiten. </w:t>
      </w:r>
    </w:p>
    <w:p w:rsidR="00FB2E7E" w:rsidRDefault="00FB2E7E" w:rsidP="00DF235F">
      <w:pPr>
        <w:spacing w:after="120"/>
        <w:jc w:val="both"/>
        <w:rPr>
          <w:lang w:val="nl-BE"/>
        </w:rPr>
      </w:pPr>
    </w:p>
    <w:p w:rsidR="001917CC" w:rsidRPr="00922DE6" w:rsidRDefault="00933582" w:rsidP="00DF235F">
      <w:pPr>
        <w:spacing w:after="120"/>
        <w:jc w:val="both"/>
        <w:rPr>
          <w:lang w:val="nl-BE"/>
        </w:rPr>
      </w:pPr>
      <w:r>
        <w:rPr>
          <w:lang w:val="nl-BE"/>
        </w:rPr>
        <w:t>Zoals in de voorgaande jaren al steeds het geval was, zal de Bank h</w:t>
      </w:r>
      <w:r w:rsidR="009D12DE" w:rsidRPr="00922DE6">
        <w:rPr>
          <w:lang w:val="nl-BE"/>
        </w:rPr>
        <w:t>et elektronisch</w:t>
      </w:r>
      <w:r w:rsidR="006B63A2" w:rsidRPr="00922DE6">
        <w:rPr>
          <w:lang w:val="nl-BE"/>
        </w:rPr>
        <w:t>e</w:t>
      </w:r>
      <w:r w:rsidR="009D12DE" w:rsidRPr="00922DE6">
        <w:rPr>
          <w:lang w:val="nl-BE"/>
        </w:rPr>
        <w:t xml:space="preserve"> formulier </w:t>
      </w:r>
      <w:r w:rsidR="000214CC" w:rsidRPr="00922DE6">
        <w:rPr>
          <w:lang w:val="nl-BE"/>
        </w:rPr>
        <w:t xml:space="preserve">dat moet worden gebruikt om te antwoorden op de geactualiseerde vragenlijst via </w:t>
      </w:r>
      <w:proofErr w:type="spellStart"/>
      <w:r w:rsidR="000214CC" w:rsidRPr="00922DE6">
        <w:rPr>
          <w:lang w:val="nl-BE"/>
        </w:rPr>
        <w:t>OneGate</w:t>
      </w:r>
      <w:proofErr w:type="spellEnd"/>
      <w:r w:rsidR="000214CC" w:rsidRPr="00922DE6">
        <w:rPr>
          <w:lang w:val="nl-BE"/>
        </w:rPr>
        <w:t xml:space="preserve"> beschikbaar </w:t>
      </w:r>
      <w:r>
        <w:rPr>
          <w:lang w:val="nl-BE"/>
        </w:rPr>
        <w:t>stellen in de eerste dagen van 2017</w:t>
      </w:r>
      <w:r w:rsidR="001917CC" w:rsidRPr="00922DE6">
        <w:rPr>
          <w:lang w:val="nl-BE"/>
        </w:rPr>
        <w:t xml:space="preserve">. </w:t>
      </w:r>
      <w:r w:rsidR="000214CC" w:rsidRPr="00922DE6">
        <w:rPr>
          <w:lang w:val="nl-BE"/>
        </w:rPr>
        <w:t>Dit formulier zal de mogelijkheid bevatten om de antwoorden die in 201</w:t>
      </w:r>
      <w:r>
        <w:rPr>
          <w:lang w:val="nl-BE"/>
        </w:rPr>
        <w:t>6</w:t>
      </w:r>
      <w:r w:rsidR="000214CC" w:rsidRPr="00922DE6">
        <w:rPr>
          <w:lang w:val="nl-BE"/>
        </w:rPr>
        <w:t xml:space="preserve"> werden ingegeven opnieuw te gebruiken voor het invullen van de vragenlijst van 201</w:t>
      </w:r>
      <w:r>
        <w:rPr>
          <w:lang w:val="nl-BE"/>
        </w:rPr>
        <w:t>7</w:t>
      </w:r>
      <w:r w:rsidR="000214CC" w:rsidRPr="00922DE6">
        <w:rPr>
          <w:lang w:val="nl-BE"/>
        </w:rPr>
        <w:t>.</w:t>
      </w:r>
      <w:r w:rsidR="009D12DE" w:rsidRPr="00922DE6">
        <w:rPr>
          <w:lang w:val="nl-BE"/>
        </w:rPr>
        <w:t xml:space="preserve"> Het spreekt vanzelf dat het gebruik </w:t>
      </w:r>
      <w:r w:rsidR="001917CC" w:rsidRPr="00922DE6">
        <w:rPr>
          <w:lang w:val="nl-BE"/>
        </w:rPr>
        <w:t xml:space="preserve">van deze functionaliteit de financiële instelling niet ontheft van de verplichting om de juistheid </w:t>
      </w:r>
      <w:r w:rsidR="000214CC" w:rsidRPr="00922DE6">
        <w:rPr>
          <w:lang w:val="nl-BE"/>
        </w:rPr>
        <w:t xml:space="preserve">van </w:t>
      </w:r>
      <w:r w:rsidR="001917CC" w:rsidRPr="00922DE6">
        <w:rPr>
          <w:lang w:val="nl-BE"/>
        </w:rPr>
        <w:t xml:space="preserve">elk antwoord </w:t>
      </w:r>
      <w:r w:rsidR="000214CC" w:rsidRPr="00922DE6">
        <w:rPr>
          <w:lang w:val="nl-BE"/>
        </w:rPr>
        <w:t xml:space="preserve">opnieuw </w:t>
      </w:r>
      <w:r w:rsidR="001917CC" w:rsidRPr="00922DE6">
        <w:rPr>
          <w:lang w:val="nl-BE"/>
        </w:rPr>
        <w:t xml:space="preserve">te verifiëren. </w:t>
      </w:r>
    </w:p>
    <w:p w:rsidR="00A45189" w:rsidRPr="00922DE6" w:rsidRDefault="00A45189" w:rsidP="00DF235F">
      <w:pPr>
        <w:jc w:val="both"/>
        <w:rPr>
          <w:lang w:val="nl-BE"/>
        </w:rPr>
      </w:pPr>
    </w:p>
    <w:p w:rsidR="00A63EBB" w:rsidRPr="00922DE6" w:rsidRDefault="004C4FEE" w:rsidP="00DF235F">
      <w:pPr>
        <w:pStyle w:val="ListParagraph"/>
        <w:numPr>
          <w:ilvl w:val="0"/>
          <w:numId w:val="32"/>
        </w:numPr>
        <w:spacing w:line="264" w:lineRule="atLeast"/>
        <w:ind w:left="714" w:hanging="357"/>
        <w:jc w:val="both"/>
        <w:rPr>
          <w:lang w:val="nl-BE"/>
        </w:rPr>
      </w:pPr>
      <w:r w:rsidRPr="00922DE6">
        <w:rPr>
          <w:rFonts w:ascii="Arial" w:hAnsi="Arial"/>
          <w:u w:val="single"/>
          <w:lang w:val="nl-BE"/>
        </w:rPr>
        <w:t>Timing</w:t>
      </w:r>
    </w:p>
    <w:p w:rsidR="004C4FEE" w:rsidRPr="00922DE6" w:rsidRDefault="004C4FEE" w:rsidP="00DF235F">
      <w:pPr>
        <w:jc w:val="both"/>
        <w:rPr>
          <w:lang w:val="nl-BE"/>
        </w:rPr>
      </w:pPr>
    </w:p>
    <w:p w:rsidR="00CE7E73" w:rsidRPr="00922DE6" w:rsidRDefault="00CE7E73" w:rsidP="00DF235F">
      <w:pPr>
        <w:spacing w:after="120"/>
        <w:jc w:val="both"/>
        <w:rPr>
          <w:lang w:val="nl-BE"/>
        </w:rPr>
      </w:pPr>
      <w:r w:rsidRPr="00922DE6">
        <w:rPr>
          <w:lang w:val="nl-BE"/>
        </w:rPr>
        <w:t xml:space="preserve">De antwoorden op de vragenlijst dienen </w:t>
      </w:r>
      <w:r w:rsidR="006B63A2" w:rsidRPr="00922DE6">
        <w:rPr>
          <w:lang w:val="nl-BE"/>
        </w:rPr>
        <w:t xml:space="preserve">in OneGate </w:t>
      </w:r>
      <w:r w:rsidRPr="00922DE6">
        <w:rPr>
          <w:lang w:val="nl-BE"/>
        </w:rPr>
        <w:t>te worden aangeleverd tussen 1 januari en 2</w:t>
      </w:r>
      <w:r w:rsidR="00933582">
        <w:rPr>
          <w:lang w:val="nl-BE"/>
        </w:rPr>
        <w:t>8</w:t>
      </w:r>
      <w:r w:rsidRPr="00922DE6">
        <w:rPr>
          <w:lang w:val="nl-BE"/>
        </w:rPr>
        <w:t xml:space="preserve"> februari </w:t>
      </w:r>
      <w:r w:rsidR="004E501F" w:rsidRPr="00922DE6">
        <w:rPr>
          <w:lang w:val="nl-BE"/>
        </w:rPr>
        <w:t>201</w:t>
      </w:r>
      <w:r w:rsidR="00933582">
        <w:rPr>
          <w:lang w:val="nl-BE"/>
        </w:rPr>
        <w:t>7</w:t>
      </w:r>
      <w:r w:rsidRPr="00922DE6">
        <w:rPr>
          <w:lang w:val="nl-BE"/>
        </w:rPr>
        <w:t xml:space="preserve">, op grond van de situatie </w:t>
      </w:r>
      <w:r w:rsidR="004E501F">
        <w:rPr>
          <w:lang w:val="nl-BE"/>
        </w:rPr>
        <w:t xml:space="preserve">(o.a. de stand van de interne procedures) </w:t>
      </w:r>
      <w:r w:rsidRPr="00922DE6">
        <w:rPr>
          <w:lang w:val="nl-BE"/>
        </w:rPr>
        <w:t xml:space="preserve">op </w:t>
      </w:r>
      <w:r w:rsidRPr="00922DE6">
        <w:rPr>
          <w:b/>
          <w:u w:val="single"/>
          <w:lang w:val="nl-BE"/>
        </w:rPr>
        <w:t>31 december 201</w:t>
      </w:r>
      <w:r w:rsidR="00933582">
        <w:rPr>
          <w:b/>
          <w:u w:val="single"/>
          <w:lang w:val="nl-BE"/>
        </w:rPr>
        <w:t>6</w:t>
      </w:r>
      <w:r w:rsidRPr="00922DE6">
        <w:rPr>
          <w:lang w:val="nl-BE"/>
        </w:rPr>
        <w:t xml:space="preserve">. </w:t>
      </w:r>
    </w:p>
    <w:p w:rsidR="004C4FEE" w:rsidRPr="00922DE6" w:rsidRDefault="004C4FEE" w:rsidP="00DF235F">
      <w:pPr>
        <w:jc w:val="both"/>
        <w:rPr>
          <w:lang w:val="nl-BE"/>
        </w:rPr>
      </w:pPr>
    </w:p>
    <w:p w:rsidR="004C4FEE" w:rsidRPr="00922DE6" w:rsidRDefault="004C4FEE" w:rsidP="00DF235F">
      <w:pPr>
        <w:pStyle w:val="ListParagraph"/>
        <w:numPr>
          <w:ilvl w:val="0"/>
          <w:numId w:val="32"/>
        </w:numPr>
        <w:spacing w:line="264" w:lineRule="atLeast"/>
        <w:ind w:left="714" w:hanging="357"/>
        <w:jc w:val="both"/>
        <w:rPr>
          <w:u w:val="single"/>
          <w:lang w:val="nl-BE"/>
        </w:rPr>
      </w:pPr>
      <w:r w:rsidRPr="00922DE6">
        <w:rPr>
          <w:rFonts w:ascii="Arial" w:hAnsi="Arial"/>
          <w:u w:val="single"/>
          <w:lang w:val="nl-BE"/>
        </w:rPr>
        <w:t>Praktisch</w:t>
      </w:r>
    </w:p>
    <w:p w:rsidR="004C4FEE" w:rsidRPr="00922DE6" w:rsidRDefault="004C4FEE" w:rsidP="00DF235F">
      <w:pPr>
        <w:jc w:val="both"/>
        <w:rPr>
          <w:lang w:val="nl-BE"/>
        </w:rPr>
      </w:pPr>
    </w:p>
    <w:p w:rsidR="00626AC5" w:rsidRPr="00922DE6" w:rsidRDefault="00CE7E73" w:rsidP="00DF235F">
      <w:pPr>
        <w:spacing w:after="120"/>
        <w:jc w:val="both"/>
        <w:rPr>
          <w:lang w:val="nl-BE"/>
        </w:rPr>
      </w:pPr>
      <w:r w:rsidRPr="00922DE6">
        <w:rPr>
          <w:lang w:val="nl-BE"/>
        </w:rPr>
        <w:t>Om u in staat te stellen vanaf heden de vereiste informatie te verzamelen om de vragenlijst binnen de gestelde termijnen te kunnen beantwoorden, worden de vragenlijst en de methodologische nota u als bijlage in papiervorm toegezonden</w:t>
      </w:r>
      <w:r w:rsidR="004C4FEE" w:rsidRPr="00922DE6">
        <w:rPr>
          <w:lang w:val="nl-BE"/>
        </w:rPr>
        <w:t>.</w:t>
      </w:r>
      <w:r w:rsidR="00626AC5" w:rsidRPr="00922DE6">
        <w:rPr>
          <w:lang w:val="nl-BE"/>
        </w:rPr>
        <w:t xml:space="preserve"> </w:t>
      </w:r>
    </w:p>
    <w:p w:rsidR="004C4FEE" w:rsidRPr="00922DE6" w:rsidRDefault="00626AC5" w:rsidP="00DF235F">
      <w:pPr>
        <w:spacing w:after="120"/>
        <w:jc w:val="both"/>
        <w:rPr>
          <w:lang w:val="nl-BE"/>
        </w:rPr>
      </w:pPr>
      <w:r w:rsidRPr="00922DE6">
        <w:rPr>
          <w:lang w:val="nl-BE"/>
        </w:rPr>
        <w:t xml:space="preserve">Een Engelse versie van deze circulaire, de methodologische nota en de vragenlijst is beschikbaar op de website van de Bank. </w:t>
      </w:r>
    </w:p>
    <w:p w:rsidR="00CE7E73" w:rsidRPr="00922DE6" w:rsidRDefault="00CE7E73" w:rsidP="00DF235F">
      <w:pPr>
        <w:spacing w:after="120"/>
        <w:jc w:val="both"/>
        <w:rPr>
          <w:lang w:val="nl-BE"/>
        </w:rPr>
      </w:pPr>
      <w:r w:rsidRPr="00922DE6">
        <w:rPr>
          <w:lang w:val="nl-BE"/>
        </w:rPr>
        <w:t xml:space="preserve">Voor alle vragen in verband met deze vragenlijst verzoeken wij u contact op te nemen met het </w:t>
      </w:r>
      <w:r w:rsidR="00933582">
        <w:rPr>
          <w:lang w:val="nl-BE"/>
        </w:rPr>
        <w:t xml:space="preserve">nieuwe </w:t>
      </w:r>
      <w:proofErr w:type="spellStart"/>
      <w:r w:rsidR="00933582">
        <w:rPr>
          <w:lang w:val="nl-BE"/>
        </w:rPr>
        <w:t>toezichtsteam</w:t>
      </w:r>
      <w:proofErr w:type="spellEnd"/>
      <w:r w:rsidR="00933582">
        <w:rPr>
          <w:lang w:val="nl-BE"/>
        </w:rPr>
        <w:t xml:space="preserve"> anti-witwassen en anti-terrorismefinanciering</w:t>
      </w:r>
      <w:r w:rsidR="00933582" w:rsidRPr="00922DE6">
        <w:rPr>
          <w:lang w:val="nl-BE"/>
        </w:rPr>
        <w:t xml:space="preserve"> </w:t>
      </w:r>
      <w:r w:rsidR="00933582">
        <w:rPr>
          <w:lang w:val="nl-BE"/>
        </w:rPr>
        <w:t xml:space="preserve">via het e-mailadres </w:t>
      </w:r>
      <w:hyperlink r:id="rId10" w:history="1">
        <w:r w:rsidR="00933582" w:rsidRPr="00BF6291">
          <w:rPr>
            <w:rStyle w:val="Hyperlink"/>
            <w:lang w:val="nl-BE"/>
          </w:rPr>
          <w:t>supervision.ta.aml@nbb.be</w:t>
        </w:r>
      </w:hyperlink>
      <w:r w:rsidR="00933582">
        <w:rPr>
          <w:lang w:val="nl-BE"/>
        </w:rPr>
        <w:t xml:space="preserve">. </w:t>
      </w:r>
    </w:p>
    <w:p w:rsidR="00CE7E73" w:rsidRPr="00922DE6" w:rsidRDefault="00931DA1" w:rsidP="00DF235F">
      <w:pPr>
        <w:spacing w:after="120"/>
        <w:jc w:val="both"/>
        <w:rPr>
          <w:lang w:val="nl-BE"/>
        </w:rPr>
      </w:pPr>
      <w:r w:rsidRPr="00922DE6">
        <w:rPr>
          <w:lang w:val="nl-BE"/>
        </w:rPr>
        <w:t>Hoogachtend</w:t>
      </w:r>
    </w:p>
    <w:p w:rsidR="00CE7E73" w:rsidRPr="00922DE6" w:rsidRDefault="00CE7E73" w:rsidP="00DF235F">
      <w:pPr>
        <w:spacing w:after="120"/>
        <w:jc w:val="both"/>
        <w:rPr>
          <w:lang w:val="nl-BE"/>
        </w:rPr>
      </w:pPr>
    </w:p>
    <w:p w:rsidR="00CE7E73" w:rsidRDefault="00CE7E73" w:rsidP="00DF235F">
      <w:pPr>
        <w:spacing w:after="120"/>
        <w:jc w:val="both"/>
        <w:rPr>
          <w:lang w:val="nl-BE"/>
        </w:rPr>
      </w:pPr>
    </w:p>
    <w:p w:rsidR="004430BF" w:rsidRDefault="004430BF" w:rsidP="00DF235F">
      <w:pPr>
        <w:spacing w:after="120"/>
        <w:jc w:val="both"/>
        <w:rPr>
          <w:lang w:val="nl-BE"/>
        </w:rPr>
      </w:pPr>
    </w:p>
    <w:p w:rsidR="004430BF" w:rsidRPr="00922DE6" w:rsidRDefault="004430BF" w:rsidP="00DF235F">
      <w:pPr>
        <w:spacing w:after="120"/>
        <w:jc w:val="both"/>
        <w:rPr>
          <w:lang w:val="nl-BE"/>
        </w:rPr>
      </w:pPr>
    </w:p>
    <w:p w:rsidR="00CE7E73" w:rsidRPr="00922DE6" w:rsidRDefault="004E501F" w:rsidP="00DF235F">
      <w:pPr>
        <w:jc w:val="both"/>
        <w:rPr>
          <w:lang w:val="nl-BE"/>
        </w:rPr>
      </w:pPr>
      <w:r>
        <w:rPr>
          <w:lang w:val="nl-BE"/>
        </w:rPr>
        <w:t>Jan Smets</w:t>
      </w:r>
    </w:p>
    <w:p w:rsidR="00B614D1" w:rsidRPr="00922DE6" w:rsidRDefault="00C758D3" w:rsidP="00DF235F">
      <w:pPr>
        <w:spacing w:after="120"/>
        <w:jc w:val="both"/>
        <w:rPr>
          <w:lang w:val="nl-BE"/>
        </w:rPr>
      </w:pPr>
      <w:r w:rsidRPr="00922DE6">
        <w:rPr>
          <w:lang w:val="nl-BE"/>
        </w:rPr>
        <w:t>Gouverneur</w:t>
      </w:r>
    </w:p>
    <w:p w:rsidR="00D04768" w:rsidRPr="00922DE6" w:rsidRDefault="00D04768" w:rsidP="00DF235F">
      <w:pPr>
        <w:spacing w:before="240" w:after="120"/>
        <w:jc w:val="both"/>
        <w:rPr>
          <w:i/>
          <w:lang w:val="nl-BE"/>
        </w:rPr>
      </w:pPr>
      <w:r w:rsidRPr="00922DE6">
        <w:rPr>
          <w:i/>
          <w:lang w:val="nl-BE"/>
        </w:rPr>
        <w:t>Bijlagen: 2</w:t>
      </w:r>
    </w:p>
    <w:sectPr w:rsidR="00D04768" w:rsidRPr="00922DE6" w:rsidSect="00931DA1">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73" w:rsidRDefault="00CE7E73">
      <w:r>
        <w:separator/>
      </w:r>
    </w:p>
  </w:endnote>
  <w:endnote w:type="continuationSeparator" w:id="0">
    <w:p w:rsidR="00CE7E73" w:rsidRDefault="00CE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76" w:rsidRPr="00CE7E73" w:rsidRDefault="00CE7E73" w:rsidP="00E87276">
    <w:pPr>
      <w:pStyle w:val="Footer"/>
      <w:pBdr>
        <w:top w:val="single" w:sz="4" w:space="1" w:color="auto"/>
      </w:pBdr>
      <w:rPr>
        <w:b/>
        <w:sz w:val="16"/>
        <w:szCs w:val="16"/>
        <w:lang w:val="nl-BE"/>
      </w:rPr>
    </w:pPr>
    <w:r w:rsidRPr="00E40F33">
      <w:rPr>
        <w:b/>
        <w:sz w:val="16"/>
        <w:szCs w:val="16"/>
        <w:lang w:val="nl-BE"/>
      </w:rPr>
      <w:t>Circulaire</w:t>
    </w:r>
    <w:r w:rsidRPr="00E40F33">
      <w:rPr>
        <w:rFonts w:cs="Arial"/>
        <w:b/>
        <w:sz w:val="16"/>
        <w:szCs w:val="16"/>
        <w:lang w:val="nl-BE"/>
      </w:rPr>
      <w:t> </w:t>
    </w:r>
    <w:r w:rsidRPr="00E40F33">
      <w:rPr>
        <w:rFonts w:cs="Arial"/>
        <w:b/>
        <w:sz w:val="16"/>
        <w:szCs w:val="16"/>
        <w:lang w:val="nl-BE"/>
      </w:rPr>
      <w:t>–</w:t>
    </w:r>
    <w:r w:rsidRPr="00E40F33">
      <w:rPr>
        <w:rFonts w:cs="Arial"/>
        <w:b/>
        <w:sz w:val="16"/>
        <w:szCs w:val="16"/>
        <w:lang w:val="nl-BE"/>
      </w:rPr>
      <w:t> </w:t>
    </w:r>
    <w:r w:rsidRPr="00E40F33">
      <w:rPr>
        <w:b/>
        <w:sz w:val="16"/>
        <w:szCs w:val="16"/>
        <w:lang w:val="nl-BE"/>
      </w:rPr>
      <w:t xml:space="preserve">Blz. </w:t>
    </w:r>
    <w:r w:rsidR="00F9150A" w:rsidRPr="00E40F33">
      <w:rPr>
        <w:b/>
        <w:sz w:val="16"/>
        <w:szCs w:val="16"/>
        <w:lang w:val="nl-BE"/>
      </w:rPr>
      <w:fldChar w:fldCharType="begin"/>
    </w:r>
    <w:r w:rsidRPr="00E40F33">
      <w:rPr>
        <w:b/>
        <w:sz w:val="16"/>
        <w:szCs w:val="16"/>
        <w:lang w:val="nl-BE"/>
      </w:rPr>
      <w:instrText xml:space="preserve"> PAGE   </w:instrText>
    </w:r>
    <w:r w:rsidR="00F9150A" w:rsidRPr="00E40F33">
      <w:rPr>
        <w:b/>
        <w:sz w:val="16"/>
        <w:szCs w:val="16"/>
        <w:lang w:val="nl-BE"/>
      </w:rPr>
      <w:fldChar w:fldCharType="separate"/>
    </w:r>
    <w:r w:rsidR="004D74B4">
      <w:rPr>
        <w:b/>
        <w:noProof/>
        <w:sz w:val="16"/>
        <w:szCs w:val="16"/>
        <w:lang w:val="nl-BE"/>
      </w:rPr>
      <w:t>2</w:t>
    </w:r>
    <w:r w:rsidR="00F9150A" w:rsidRPr="00E40F33">
      <w:rPr>
        <w:b/>
        <w:sz w:val="16"/>
        <w:szCs w:val="16"/>
        <w:lang w:val="nl-BE"/>
      </w:rPr>
      <w:fldChar w:fldCharType="end"/>
    </w:r>
    <w:r w:rsidRPr="00E40F33">
      <w:rPr>
        <w:b/>
        <w:sz w:val="16"/>
        <w:szCs w:val="16"/>
        <w:lang w:val="nl-BE"/>
      </w:rPr>
      <w:t>/</w:t>
    </w:r>
    <w:r w:rsidR="00F9150A" w:rsidRPr="00E40F33">
      <w:rPr>
        <w:b/>
        <w:sz w:val="16"/>
        <w:szCs w:val="16"/>
        <w:lang w:val="nl-BE"/>
      </w:rPr>
      <w:fldChar w:fldCharType="begin"/>
    </w:r>
    <w:r w:rsidRPr="00E40F33">
      <w:rPr>
        <w:b/>
        <w:sz w:val="16"/>
        <w:szCs w:val="16"/>
        <w:lang w:val="nl-BE"/>
      </w:rPr>
      <w:instrText xml:space="preserve"> NUMPAGES   </w:instrText>
    </w:r>
    <w:r w:rsidR="00F9150A" w:rsidRPr="00E40F33">
      <w:rPr>
        <w:b/>
        <w:sz w:val="16"/>
        <w:szCs w:val="16"/>
        <w:lang w:val="nl-BE"/>
      </w:rPr>
      <w:fldChar w:fldCharType="separate"/>
    </w:r>
    <w:r w:rsidR="004D74B4">
      <w:rPr>
        <w:b/>
        <w:noProof/>
        <w:sz w:val="16"/>
        <w:szCs w:val="16"/>
        <w:lang w:val="nl-BE"/>
      </w:rPr>
      <w:t>3</w:t>
    </w:r>
    <w:r w:rsidR="00F9150A" w:rsidRPr="00E40F33">
      <w:rPr>
        <w:b/>
        <w:sz w:val="16"/>
        <w:szCs w:val="16"/>
        <w:lang w:val="nl-BE"/>
      </w:rPr>
      <w:fldChar w:fldCharType="end"/>
    </w:r>
    <w:r w:rsidRPr="00E40F33">
      <w:rPr>
        <w:b/>
        <w:sz w:val="16"/>
        <w:szCs w:val="16"/>
        <w:lang w:val="nl-BE"/>
      </w:rPr>
      <w:tab/>
    </w:r>
    <w:r w:rsidR="004430BF" w:rsidRPr="00DF235F">
      <w:rPr>
        <w:sz w:val="14"/>
        <w:szCs w:val="16"/>
        <w:lang w:val="nl-BE"/>
      </w:rPr>
      <w:t>NBB_2016_42 – 26 oktober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CE7E73" w:rsidRDefault="00CE7E73" w:rsidP="00F64E38">
    <w:pPr>
      <w:pStyle w:val="Footer"/>
      <w:pBdr>
        <w:top w:val="single" w:sz="4" w:space="1" w:color="auto"/>
      </w:pBdr>
      <w:rPr>
        <w:b/>
        <w:sz w:val="16"/>
        <w:szCs w:val="14"/>
        <w:lang w:val="nl-BE"/>
      </w:rPr>
    </w:pPr>
    <w:r>
      <w:rPr>
        <w:b/>
        <w:sz w:val="16"/>
        <w:szCs w:val="14"/>
        <w:lang w:val="nl-BE"/>
      </w:rPr>
      <w:tab/>
    </w:r>
    <w:r w:rsidR="004430BF" w:rsidRPr="00DF235F">
      <w:rPr>
        <w:sz w:val="14"/>
        <w:szCs w:val="16"/>
        <w:lang w:val="nl-BE"/>
      </w:rPr>
      <w:t>NBB_2016_42 – 26 oktober 2016</w:t>
    </w:r>
    <w:r w:rsidRPr="00E40F33">
      <w:rPr>
        <w:b/>
        <w:sz w:val="16"/>
        <w:szCs w:val="14"/>
        <w:lang w:val="nl-BE"/>
      </w:rPr>
      <w:tab/>
      <w:t>Circulaire</w:t>
    </w:r>
    <w:r w:rsidRPr="00E40F33">
      <w:rPr>
        <w:rFonts w:cs="Arial"/>
        <w:b/>
        <w:sz w:val="16"/>
        <w:szCs w:val="14"/>
        <w:lang w:val="nl-BE"/>
      </w:rPr>
      <w:t> </w:t>
    </w:r>
    <w:r w:rsidRPr="00E40F33">
      <w:rPr>
        <w:rFonts w:cs="Arial"/>
        <w:b/>
        <w:sz w:val="16"/>
        <w:szCs w:val="14"/>
        <w:lang w:val="nl-BE"/>
      </w:rPr>
      <w:t>–</w:t>
    </w:r>
    <w:r w:rsidRPr="00E40F33">
      <w:rPr>
        <w:rFonts w:cs="Arial"/>
        <w:b/>
        <w:sz w:val="16"/>
        <w:szCs w:val="14"/>
        <w:lang w:val="nl-BE"/>
      </w:rPr>
      <w:t> </w:t>
    </w:r>
    <w:r w:rsidRPr="00E40F33">
      <w:rPr>
        <w:b/>
        <w:sz w:val="16"/>
        <w:szCs w:val="14"/>
        <w:lang w:val="nl-BE"/>
      </w:rPr>
      <w:t xml:space="preserve">Blz. </w:t>
    </w:r>
    <w:r w:rsidR="00F9150A" w:rsidRPr="00E40F33">
      <w:rPr>
        <w:b/>
        <w:sz w:val="16"/>
        <w:szCs w:val="14"/>
        <w:lang w:val="nl-BE"/>
      </w:rPr>
      <w:fldChar w:fldCharType="begin"/>
    </w:r>
    <w:r w:rsidRPr="00E40F33">
      <w:rPr>
        <w:b/>
        <w:sz w:val="16"/>
        <w:szCs w:val="14"/>
        <w:lang w:val="nl-BE"/>
      </w:rPr>
      <w:instrText xml:space="preserve"> PAGE   </w:instrText>
    </w:r>
    <w:r w:rsidR="00F9150A" w:rsidRPr="00E40F33">
      <w:rPr>
        <w:b/>
        <w:sz w:val="16"/>
        <w:szCs w:val="14"/>
        <w:lang w:val="nl-BE"/>
      </w:rPr>
      <w:fldChar w:fldCharType="separate"/>
    </w:r>
    <w:r w:rsidR="004D74B4">
      <w:rPr>
        <w:b/>
        <w:noProof/>
        <w:sz w:val="16"/>
        <w:szCs w:val="14"/>
        <w:lang w:val="nl-BE"/>
      </w:rPr>
      <w:t>3</w:t>
    </w:r>
    <w:r w:rsidR="00F9150A" w:rsidRPr="00E40F33">
      <w:rPr>
        <w:b/>
        <w:sz w:val="16"/>
        <w:szCs w:val="14"/>
        <w:lang w:val="nl-BE"/>
      </w:rPr>
      <w:fldChar w:fldCharType="end"/>
    </w:r>
    <w:r w:rsidRPr="00E40F33">
      <w:rPr>
        <w:b/>
        <w:sz w:val="16"/>
        <w:szCs w:val="14"/>
        <w:lang w:val="nl-BE"/>
      </w:rPr>
      <w:t>/</w:t>
    </w:r>
    <w:r w:rsidR="00F9150A" w:rsidRPr="00E40F33">
      <w:rPr>
        <w:b/>
        <w:sz w:val="16"/>
        <w:szCs w:val="14"/>
        <w:lang w:val="nl-BE"/>
      </w:rPr>
      <w:fldChar w:fldCharType="begin"/>
    </w:r>
    <w:r w:rsidRPr="00E40F33">
      <w:rPr>
        <w:b/>
        <w:sz w:val="16"/>
        <w:szCs w:val="14"/>
        <w:lang w:val="nl-BE"/>
      </w:rPr>
      <w:instrText xml:space="preserve"> NUMPAGES   </w:instrText>
    </w:r>
    <w:r w:rsidR="00F9150A" w:rsidRPr="00E40F33">
      <w:rPr>
        <w:b/>
        <w:sz w:val="16"/>
        <w:szCs w:val="14"/>
        <w:lang w:val="nl-BE"/>
      </w:rPr>
      <w:fldChar w:fldCharType="separate"/>
    </w:r>
    <w:r w:rsidR="004D74B4">
      <w:rPr>
        <w:b/>
        <w:noProof/>
        <w:sz w:val="16"/>
        <w:szCs w:val="14"/>
        <w:lang w:val="nl-BE"/>
      </w:rPr>
      <w:t>3</w:t>
    </w:r>
    <w:r w:rsidR="00F9150A" w:rsidRPr="00E40F33">
      <w:rPr>
        <w:b/>
        <w:sz w:val="16"/>
        <w:szCs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CE7E73" w:rsidRDefault="00CE7E73" w:rsidP="00CB2202">
    <w:pPr>
      <w:pStyle w:val="Footer"/>
      <w:pBdr>
        <w:top w:val="single" w:sz="4" w:space="1" w:color="auto"/>
      </w:pBdr>
      <w:rPr>
        <w:b/>
        <w:sz w:val="16"/>
        <w:szCs w:val="16"/>
        <w:lang w:val="nl-BE"/>
      </w:rPr>
    </w:pPr>
    <w:r>
      <w:rPr>
        <w:b/>
        <w:sz w:val="16"/>
        <w:szCs w:val="16"/>
        <w:lang w:val="nl-BE"/>
      </w:rPr>
      <w:tab/>
    </w:r>
    <w:r w:rsidR="00E36567" w:rsidRPr="00DF235F">
      <w:rPr>
        <w:sz w:val="14"/>
        <w:szCs w:val="16"/>
        <w:lang w:val="nl-BE"/>
      </w:rPr>
      <w:t>NBB_201</w:t>
    </w:r>
    <w:r w:rsidR="00933582" w:rsidRPr="00DF235F">
      <w:rPr>
        <w:sz w:val="14"/>
        <w:szCs w:val="16"/>
        <w:lang w:val="nl-BE"/>
      </w:rPr>
      <w:t>6</w:t>
    </w:r>
    <w:r w:rsidR="00EA3F1D" w:rsidRPr="00DF235F">
      <w:rPr>
        <w:sz w:val="14"/>
        <w:szCs w:val="16"/>
        <w:lang w:val="nl-BE"/>
      </w:rPr>
      <w:t>_</w:t>
    </w:r>
    <w:r w:rsidR="00DF235F" w:rsidRPr="00DF235F">
      <w:rPr>
        <w:sz w:val="14"/>
        <w:szCs w:val="16"/>
        <w:lang w:val="nl-BE"/>
      </w:rPr>
      <w:t>42 – 26 oktober 2016</w:t>
    </w:r>
    <w:r w:rsidRPr="00E40F33">
      <w:rPr>
        <w:b/>
        <w:sz w:val="16"/>
        <w:szCs w:val="16"/>
        <w:lang w:val="nl-BE"/>
      </w:rPr>
      <w:tab/>
      <w:t>Circulaire</w:t>
    </w:r>
    <w:r w:rsidRPr="00E40F33">
      <w:rPr>
        <w:rFonts w:cs="Arial"/>
        <w:b/>
        <w:sz w:val="16"/>
        <w:szCs w:val="16"/>
        <w:lang w:val="nl-BE"/>
      </w:rPr>
      <w:t> </w:t>
    </w:r>
    <w:r w:rsidRPr="00E40F33">
      <w:rPr>
        <w:rFonts w:cs="Arial"/>
        <w:b/>
        <w:sz w:val="16"/>
        <w:szCs w:val="16"/>
        <w:lang w:val="nl-BE"/>
      </w:rPr>
      <w:t>–</w:t>
    </w:r>
    <w:r w:rsidRPr="00E40F33">
      <w:rPr>
        <w:rFonts w:cs="Arial"/>
        <w:b/>
        <w:sz w:val="16"/>
        <w:szCs w:val="16"/>
        <w:lang w:val="nl-BE"/>
      </w:rPr>
      <w:t> </w:t>
    </w:r>
    <w:r w:rsidRPr="00E40F33">
      <w:rPr>
        <w:b/>
        <w:sz w:val="16"/>
        <w:szCs w:val="16"/>
        <w:lang w:val="nl-BE"/>
      </w:rPr>
      <w:t xml:space="preserve">Blz. </w:t>
    </w:r>
    <w:r w:rsidR="00F9150A" w:rsidRPr="00E40F33">
      <w:rPr>
        <w:b/>
        <w:sz w:val="16"/>
        <w:szCs w:val="16"/>
        <w:lang w:val="nl-BE"/>
      </w:rPr>
      <w:fldChar w:fldCharType="begin"/>
    </w:r>
    <w:r w:rsidRPr="00E40F33">
      <w:rPr>
        <w:b/>
        <w:sz w:val="16"/>
        <w:szCs w:val="16"/>
        <w:lang w:val="nl-BE"/>
      </w:rPr>
      <w:instrText xml:space="preserve"> PAGE   </w:instrText>
    </w:r>
    <w:r w:rsidR="00F9150A" w:rsidRPr="00E40F33">
      <w:rPr>
        <w:b/>
        <w:sz w:val="16"/>
        <w:szCs w:val="16"/>
        <w:lang w:val="nl-BE"/>
      </w:rPr>
      <w:fldChar w:fldCharType="separate"/>
    </w:r>
    <w:r w:rsidR="004D74B4">
      <w:rPr>
        <w:b/>
        <w:noProof/>
        <w:sz w:val="16"/>
        <w:szCs w:val="16"/>
        <w:lang w:val="nl-BE"/>
      </w:rPr>
      <w:t>1</w:t>
    </w:r>
    <w:r w:rsidR="00F9150A" w:rsidRPr="00E40F33">
      <w:rPr>
        <w:b/>
        <w:sz w:val="16"/>
        <w:szCs w:val="16"/>
        <w:lang w:val="nl-BE"/>
      </w:rPr>
      <w:fldChar w:fldCharType="end"/>
    </w:r>
    <w:r w:rsidRPr="00E40F33">
      <w:rPr>
        <w:b/>
        <w:sz w:val="16"/>
        <w:szCs w:val="16"/>
        <w:lang w:val="nl-BE"/>
      </w:rPr>
      <w:t>/</w:t>
    </w:r>
    <w:r w:rsidR="00F9150A" w:rsidRPr="00E40F33">
      <w:rPr>
        <w:b/>
        <w:sz w:val="16"/>
        <w:szCs w:val="16"/>
        <w:lang w:val="nl-BE"/>
      </w:rPr>
      <w:fldChar w:fldCharType="begin"/>
    </w:r>
    <w:r w:rsidRPr="00E40F33">
      <w:rPr>
        <w:b/>
        <w:sz w:val="16"/>
        <w:szCs w:val="16"/>
        <w:lang w:val="nl-BE"/>
      </w:rPr>
      <w:instrText xml:space="preserve"> NUMPAGES   </w:instrText>
    </w:r>
    <w:r w:rsidR="00F9150A" w:rsidRPr="00E40F33">
      <w:rPr>
        <w:b/>
        <w:sz w:val="16"/>
        <w:szCs w:val="16"/>
        <w:lang w:val="nl-BE"/>
      </w:rPr>
      <w:fldChar w:fldCharType="separate"/>
    </w:r>
    <w:r w:rsidR="004D74B4">
      <w:rPr>
        <w:b/>
        <w:noProof/>
        <w:sz w:val="16"/>
        <w:szCs w:val="16"/>
        <w:lang w:val="nl-BE"/>
      </w:rPr>
      <w:t>3</w:t>
    </w:r>
    <w:r w:rsidR="00F9150A" w:rsidRPr="00E40F33">
      <w:rPr>
        <w:b/>
        <w:sz w:val="16"/>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73" w:rsidRPr="00117F31" w:rsidRDefault="00CE7E73" w:rsidP="00117F31">
      <w:pPr>
        <w:pStyle w:val="Footer"/>
      </w:pPr>
    </w:p>
  </w:footnote>
  <w:footnote w:type="continuationSeparator" w:id="0">
    <w:p w:rsidR="00CE7E73" w:rsidRPr="00117F31" w:rsidRDefault="00CE7E73" w:rsidP="00117F31">
      <w:pPr>
        <w:pStyle w:val="Footer"/>
      </w:pPr>
    </w:p>
  </w:footnote>
  <w:footnote w:type="continuationNotice" w:id="1">
    <w:p w:rsidR="00CE7E73" w:rsidRDefault="00CE7E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E829D6">
    <w:pPr>
      <w:pStyle w:val="Header"/>
      <w:tabs>
        <w:tab w:val="clear" w:pos="4394"/>
        <w:tab w:val="center" w:pos="4395"/>
      </w:tabs>
      <w:rPr>
        <w:lang w:val="nl-BE"/>
      </w:rPr>
    </w:pPr>
  </w:p>
  <w:p w:rsidR="00450949" w:rsidRPr="00BF29ED" w:rsidRDefault="00450949"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D850C8">
    <w:pPr>
      <w:pStyle w:val="Header"/>
      <w:rPr>
        <w:lang w:val="nl-BE"/>
      </w:rPr>
    </w:pPr>
  </w:p>
  <w:p w:rsidR="00450949" w:rsidRPr="00D850C8" w:rsidRDefault="00450949" w:rsidP="00D850C8">
    <w:pPr>
      <w:pStyle w:val="Header"/>
      <w:rPr>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5F" w:rsidRDefault="00DF2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3">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2834419"/>
    <w:multiLevelType w:val="hybridMultilevel"/>
    <w:tmpl w:val="600640F6"/>
    <w:lvl w:ilvl="0" w:tplc="AF8E66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565392"/>
    <w:multiLevelType w:val="hybridMultilevel"/>
    <w:tmpl w:val="8A5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7">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8">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9">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0">
    <w:nsid w:val="3B741BD0"/>
    <w:multiLevelType w:val="hybridMultilevel"/>
    <w:tmpl w:val="3F2868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E5166D7"/>
    <w:multiLevelType w:val="hybridMultilevel"/>
    <w:tmpl w:val="56D0C27C"/>
    <w:lvl w:ilvl="0" w:tplc="35C897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8">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4EE3C9C"/>
    <w:multiLevelType w:val="hybridMultilevel"/>
    <w:tmpl w:val="19F4F6B8"/>
    <w:lvl w:ilvl="0" w:tplc="91AACE0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F920C4"/>
    <w:multiLevelType w:val="hybridMultilevel"/>
    <w:tmpl w:val="8A40273A"/>
    <w:lvl w:ilvl="0" w:tplc="7A045E3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5">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8"/>
  </w:num>
  <w:num w:numId="12">
    <w:abstractNumId w:val="23"/>
  </w:num>
  <w:num w:numId="13">
    <w:abstractNumId w:val="33"/>
  </w:num>
  <w:num w:numId="14">
    <w:abstractNumId w:val="25"/>
  </w:num>
  <w:num w:numId="15">
    <w:abstractNumId w:val="21"/>
  </w:num>
  <w:num w:numId="16">
    <w:abstractNumId w:val="13"/>
  </w:num>
  <w:num w:numId="17">
    <w:abstractNumId w:val="34"/>
  </w:num>
  <w:num w:numId="18">
    <w:abstractNumId w:val="12"/>
  </w:num>
  <w:num w:numId="19">
    <w:abstractNumId w:val="16"/>
  </w:num>
  <w:num w:numId="20">
    <w:abstractNumId w:val="35"/>
  </w:num>
  <w:num w:numId="21">
    <w:abstractNumId w:val="11"/>
  </w:num>
  <w:num w:numId="22">
    <w:abstractNumId w:val="26"/>
  </w:num>
  <w:num w:numId="23">
    <w:abstractNumId w:val="31"/>
  </w:num>
  <w:num w:numId="24">
    <w:abstractNumId w:val="18"/>
  </w:num>
  <w:num w:numId="25">
    <w:abstractNumId w:val="17"/>
  </w:num>
  <w:num w:numId="26">
    <w:abstractNumId w:val="27"/>
  </w:num>
  <w:num w:numId="27">
    <w:abstractNumId w:val="10"/>
  </w:num>
  <w:num w:numId="28">
    <w:abstractNumId w:val="19"/>
  </w:num>
  <w:num w:numId="29">
    <w:abstractNumId w:val="32"/>
  </w:num>
  <w:num w:numId="30">
    <w:abstractNumId w:val="24"/>
  </w:num>
  <w:num w:numId="31">
    <w:abstractNumId w:val="15"/>
  </w:num>
  <w:num w:numId="32">
    <w:abstractNumId w:val="29"/>
  </w:num>
  <w:num w:numId="33">
    <w:abstractNumId w:val="22"/>
  </w:num>
  <w:num w:numId="34">
    <w:abstractNumId w:val="30"/>
  </w:num>
  <w:num w:numId="35">
    <w:abstractNumId w:val="1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7505">
      <o:colormenu v:ext="edit" fillcolor="none" strokecolor="none"/>
    </o:shapedefaults>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70"/>
    <w:rsid w:val="00020EA2"/>
    <w:rsid w:val="000214CC"/>
    <w:rsid w:val="00024A9E"/>
    <w:rsid w:val="000327D2"/>
    <w:rsid w:val="0003333C"/>
    <w:rsid w:val="00036E81"/>
    <w:rsid w:val="0004319E"/>
    <w:rsid w:val="0004570B"/>
    <w:rsid w:val="00051F2C"/>
    <w:rsid w:val="00053EEF"/>
    <w:rsid w:val="00062C1B"/>
    <w:rsid w:val="00064AC6"/>
    <w:rsid w:val="00065A49"/>
    <w:rsid w:val="00071268"/>
    <w:rsid w:val="00082FA7"/>
    <w:rsid w:val="000869C2"/>
    <w:rsid w:val="00090275"/>
    <w:rsid w:val="00097598"/>
    <w:rsid w:val="000A1DA9"/>
    <w:rsid w:val="000B6441"/>
    <w:rsid w:val="000C35AA"/>
    <w:rsid w:val="000C37AB"/>
    <w:rsid w:val="000D10C0"/>
    <w:rsid w:val="000D2AF0"/>
    <w:rsid w:val="000D405E"/>
    <w:rsid w:val="000E0090"/>
    <w:rsid w:val="000E2A68"/>
    <w:rsid w:val="000F1EB6"/>
    <w:rsid w:val="000F6883"/>
    <w:rsid w:val="000F7268"/>
    <w:rsid w:val="000F7C34"/>
    <w:rsid w:val="001126F5"/>
    <w:rsid w:val="00114821"/>
    <w:rsid w:val="0011532A"/>
    <w:rsid w:val="00117F31"/>
    <w:rsid w:val="00124312"/>
    <w:rsid w:val="00124AA8"/>
    <w:rsid w:val="00132E70"/>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17CC"/>
    <w:rsid w:val="00197FEB"/>
    <w:rsid w:val="001A1D68"/>
    <w:rsid w:val="001A7DC7"/>
    <w:rsid w:val="001B4EEE"/>
    <w:rsid w:val="001B7F21"/>
    <w:rsid w:val="001D503F"/>
    <w:rsid w:val="001F137D"/>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A74CF"/>
    <w:rsid w:val="002B5743"/>
    <w:rsid w:val="002C01F3"/>
    <w:rsid w:val="002D5723"/>
    <w:rsid w:val="002D75B3"/>
    <w:rsid w:val="002E10A2"/>
    <w:rsid w:val="002E15B9"/>
    <w:rsid w:val="002E409B"/>
    <w:rsid w:val="002E5144"/>
    <w:rsid w:val="002F1611"/>
    <w:rsid w:val="003116AA"/>
    <w:rsid w:val="003135E6"/>
    <w:rsid w:val="003364D4"/>
    <w:rsid w:val="00336912"/>
    <w:rsid w:val="003419C5"/>
    <w:rsid w:val="00346C0D"/>
    <w:rsid w:val="00352B22"/>
    <w:rsid w:val="00353178"/>
    <w:rsid w:val="00353E3D"/>
    <w:rsid w:val="00354956"/>
    <w:rsid w:val="00362513"/>
    <w:rsid w:val="00365065"/>
    <w:rsid w:val="00365FFE"/>
    <w:rsid w:val="00370E00"/>
    <w:rsid w:val="00377371"/>
    <w:rsid w:val="003802EE"/>
    <w:rsid w:val="0038095A"/>
    <w:rsid w:val="00381F4A"/>
    <w:rsid w:val="00383392"/>
    <w:rsid w:val="00387716"/>
    <w:rsid w:val="00395A49"/>
    <w:rsid w:val="00397DDA"/>
    <w:rsid w:val="003A2ABA"/>
    <w:rsid w:val="003B1662"/>
    <w:rsid w:val="003B7866"/>
    <w:rsid w:val="003D7096"/>
    <w:rsid w:val="003E4928"/>
    <w:rsid w:val="003F2836"/>
    <w:rsid w:val="003F42E4"/>
    <w:rsid w:val="003F792F"/>
    <w:rsid w:val="004003CC"/>
    <w:rsid w:val="00407822"/>
    <w:rsid w:val="00412C56"/>
    <w:rsid w:val="00421255"/>
    <w:rsid w:val="0042595A"/>
    <w:rsid w:val="004275C8"/>
    <w:rsid w:val="004430BF"/>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C4FEE"/>
    <w:rsid w:val="004D12DD"/>
    <w:rsid w:val="004D74B4"/>
    <w:rsid w:val="004E136D"/>
    <w:rsid w:val="004E501F"/>
    <w:rsid w:val="004F04DA"/>
    <w:rsid w:val="004F0F6B"/>
    <w:rsid w:val="004F41BA"/>
    <w:rsid w:val="005033DA"/>
    <w:rsid w:val="0050792E"/>
    <w:rsid w:val="0051268A"/>
    <w:rsid w:val="0051510C"/>
    <w:rsid w:val="00542101"/>
    <w:rsid w:val="00552963"/>
    <w:rsid w:val="0055492B"/>
    <w:rsid w:val="00557A3F"/>
    <w:rsid w:val="0056043D"/>
    <w:rsid w:val="005616A3"/>
    <w:rsid w:val="00561A9A"/>
    <w:rsid w:val="005635DB"/>
    <w:rsid w:val="00567693"/>
    <w:rsid w:val="00571A24"/>
    <w:rsid w:val="00582D56"/>
    <w:rsid w:val="00592469"/>
    <w:rsid w:val="00592957"/>
    <w:rsid w:val="005932C7"/>
    <w:rsid w:val="0059396D"/>
    <w:rsid w:val="005A3DA7"/>
    <w:rsid w:val="005B4AD1"/>
    <w:rsid w:val="005B4C1C"/>
    <w:rsid w:val="005C1B25"/>
    <w:rsid w:val="005C3450"/>
    <w:rsid w:val="005C3F84"/>
    <w:rsid w:val="005E33F6"/>
    <w:rsid w:val="005E63E5"/>
    <w:rsid w:val="0060096B"/>
    <w:rsid w:val="006107D5"/>
    <w:rsid w:val="00610B4E"/>
    <w:rsid w:val="00611E02"/>
    <w:rsid w:val="00626AC5"/>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9769C"/>
    <w:rsid w:val="00697F48"/>
    <w:rsid w:val="006A3829"/>
    <w:rsid w:val="006B41A0"/>
    <w:rsid w:val="006B63A2"/>
    <w:rsid w:val="006B6BFC"/>
    <w:rsid w:val="006C2BE7"/>
    <w:rsid w:val="006C7EBD"/>
    <w:rsid w:val="006E7D13"/>
    <w:rsid w:val="00702DA6"/>
    <w:rsid w:val="00706B32"/>
    <w:rsid w:val="0071004E"/>
    <w:rsid w:val="00714070"/>
    <w:rsid w:val="007148AA"/>
    <w:rsid w:val="007233C5"/>
    <w:rsid w:val="00730DDA"/>
    <w:rsid w:val="00731681"/>
    <w:rsid w:val="00733829"/>
    <w:rsid w:val="00733DE9"/>
    <w:rsid w:val="00741E9C"/>
    <w:rsid w:val="00745387"/>
    <w:rsid w:val="00745527"/>
    <w:rsid w:val="00745825"/>
    <w:rsid w:val="007459B1"/>
    <w:rsid w:val="00750B57"/>
    <w:rsid w:val="00752FC4"/>
    <w:rsid w:val="007654E7"/>
    <w:rsid w:val="00766F4D"/>
    <w:rsid w:val="0077019B"/>
    <w:rsid w:val="00773E81"/>
    <w:rsid w:val="00785B6F"/>
    <w:rsid w:val="00787601"/>
    <w:rsid w:val="007961E7"/>
    <w:rsid w:val="00796920"/>
    <w:rsid w:val="00797BED"/>
    <w:rsid w:val="007A1C59"/>
    <w:rsid w:val="007A1F21"/>
    <w:rsid w:val="007A3EF3"/>
    <w:rsid w:val="007A552B"/>
    <w:rsid w:val="007A6D1E"/>
    <w:rsid w:val="007B25F7"/>
    <w:rsid w:val="007B6BBA"/>
    <w:rsid w:val="007B793B"/>
    <w:rsid w:val="007C6D45"/>
    <w:rsid w:val="007E0494"/>
    <w:rsid w:val="007E0667"/>
    <w:rsid w:val="007E6D91"/>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C4032"/>
    <w:rsid w:val="008C6233"/>
    <w:rsid w:val="008E1176"/>
    <w:rsid w:val="008E5948"/>
    <w:rsid w:val="008E6931"/>
    <w:rsid w:val="008E697E"/>
    <w:rsid w:val="0090354E"/>
    <w:rsid w:val="0090398E"/>
    <w:rsid w:val="00905D03"/>
    <w:rsid w:val="00914031"/>
    <w:rsid w:val="00917745"/>
    <w:rsid w:val="00922DE6"/>
    <w:rsid w:val="00931DA1"/>
    <w:rsid w:val="00932175"/>
    <w:rsid w:val="00933582"/>
    <w:rsid w:val="00935B26"/>
    <w:rsid w:val="00937808"/>
    <w:rsid w:val="00940C81"/>
    <w:rsid w:val="009425D7"/>
    <w:rsid w:val="00942B19"/>
    <w:rsid w:val="00942EE2"/>
    <w:rsid w:val="00943647"/>
    <w:rsid w:val="009466D6"/>
    <w:rsid w:val="00950C45"/>
    <w:rsid w:val="00954143"/>
    <w:rsid w:val="009600D3"/>
    <w:rsid w:val="00974952"/>
    <w:rsid w:val="00983714"/>
    <w:rsid w:val="00985229"/>
    <w:rsid w:val="00987DEA"/>
    <w:rsid w:val="00991E7A"/>
    <w:rsid w:val="009939BE"/>
    <w:rsid w:val="00994BF4"/>
    <w:rsid w:val="009A0346"/>
    <w:rsid w:val="009A140C"/>
    <w:rsid w:val="009A5F8F"/>
    <w:rsid w:val="009B1033"/>
    <w:rsid w:val="009B132A"/>
    <w:rsid w:val="009B1921"/>
    <w:rsid w:val="009B6FA0"/>
    <w:rsid w:val="009C0BC7"/>
    <w:rsid w:val="009C55FF"/>
    <w:rsid w:val="009D10D0"/>
    <w:rsid w:val="009D1225"/>
    <w:rsid w:val="009D12DE"/>
    <w:rsid w:val="009D15BD"/>
    <w:rsid w:val="009D277D"/>
    <w:rsid w:val="009D3040"/>
    <w:rsid w:val="009D3082"/>
    <w:rsid w:val="009D784B"/>
    <w:rsid w:val="009E0F00"/>
    <w:rsid w:val="009E2A0A"/>
    <w:rsid w:val="009E56DB"/>
    <w:rsid w:val="009F77A3"/>
    <w:rsid w:val="00A01013"/>
    <w:rsid w:val="00A01A73"/>
    <w:rsid w:val="00A06B19"/>
    <w:rsid w:val="00A11F91"/>
    <w:rsid w:val="00A122B7"/>
    <w:rsid w:val="00A141C9"/>
    <w:rsid w:val="00A147E1"/>
    <w:rsid w:val="00A16F91"/>
    <w:rsid w:val="00A17571"/>
    <w:rsid w:val="00A2514A"/>
    <w:rsid w:val="00A25A33"/>
    <w:rsid w:val="00A267AD"/>
    <w:rsid w:val="00A351FF"/>
    <w:rsid w:val="00A355E9"/>
    <w:rsid w:val="00A45189"/>
    <w:rsid w:val="00A51FAA"/>
    <w:rsid w:val="00A55A96"/>
    <w:rsid w:val="00A56340"/>
    <w:rsid w:val="00A605D0"/>
    <w:rsid w:val="00A621A5"/>
    <w:rsid w:val="00A62501"/>
    <w:rsid w:val="00A63EBB"/>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1616"/>
    <w:rsid w:val="00AF77D2"/>
    <w:rsid w:val="00B00D0B"/>
    <w:rsid w:val="00B04933"/>
    <w:rsid w:val="00B11BB2"/>
    <w:rsid w:val="00B144C0"/>
    <w:rsid w:val="00B32389"/>
    <w:rsid w:val="00B338D7"/>
    <w:rsid w:val="00B34FEF"/>
    <w:rsid w:val="00B352D4"/>
    <w:rsid w:val="00B37500"/>
    <w:rsid w:val="00B402AF"/>
    <w:rsid w:val="00B404A0"/>
    <w:rsid w:val="00B41942"/>
    <w:rsid w:val="00B44C6F"/>
    <w:rsid w:val="00B44D45"/>
    <w:rsid w:val="00B46BAE"/>
    <w:rsid w:val="00B52F2E"/>
    <w:rsid w:val="00B614D1"/>
    <w:rsid w:val="00B63B89"/>
    <w:rsid w:val="00B661C8"/>
    <w:rsid w:val="00B80CFD"/>
    <w:rsid w:val="00B81D96"/>
    <w:rsid w:val="00B860D6"/>
    <w:rsid w:val="00B908B1"/>
    <w:rsid w:val="00B92424"/>
    <w:rsid w:val="00B97B40"/>
    <w:rsid w:val="00BB75F0"/>
    <w:rsid w:val="00BC351F"/>
    <w:rsid w:val="00BC768A"/>
    <w:rsid w:val="00BD3170"/>
    <w:rsid w:val="00BD7A38"/>
    <w:rsid w:val="00BE0CD8"/>
    <w:rsid w:val="00BF29ED"/>
    <w:rsid w:val="00BF5C8A"/>
    <w:rsid w:val="00C0402A"/>
    <w:rsid w:val="00C0490F"/>
    <w:rsid w:val="00C079B3"/>
    <w:rsid w:val="00C24707"/>
    <w:rsid w:val="00C33CD7"/>
    <w:rsid w:val="00C34E1C"/>
    <w:rsid w:val="00C474DC"/>
    <w:rsid w:val="00C47857"/>
    <w:rsid w:val="00C508D9"/>
    <w:rsid w:val="00C5387A"/>
    <w:rsid w:val="00C563FE"/>
    <w:rsid w:val="00C61050"/>
    <w:rsid w:val="00C634C5"/>
    <w:rsid w:val="00C641E4"/>
    <w:rsid w:val="00C66480"/>
    <w:rsid w:val="00C753E9"/>
    <w:rsid w:val="00C758D3"/>
    <w:rsid w:val="00C7795F"/>
    <w:rsid w:val="00C81B69"/>
    <w:rsid w:val="00C84EA1"/>
    <w:rsid w:val="00C90176"/>
    <w:rsid w:val="00C9043A"/>
    <w:rsid w:val="00C94B35"/>
    <w:rsid w:val="00C961A9"/>
    <w:rsid w:val="00CA5A74"/>
    <w:rsid w:val="00CB2202"/>
    <w:rsid w:val="00CB30C8"/>
    <w:rsid w:val="00CB4A52"/>
    <w:rsid w:val="00CC0365"/>
    <w:rsid w:val="00CC4296"/>
    <w:rsid w:val="00CC52EC"/>
    <w:rsid w:val="00CD78D1"/>
    <w:rsid w:val="00CE59E6"/>
    <w:rsid w:val="00CE5D84"/>
    <w:rsid w:val="00CE7E73"/>
    <w:rsid w:val="00CF6318"/>
    <w:rsid w:val="00CF63B4"/>
    <w:rsid w:val="00D00492"/>
    <w:rsid w:val="00D04768"/>
    <w:rsid w:val="00D05113"/>
    <w:rsid w:val="00D0540B"/>
    <w:rsid w:val="00D06A39"/>
    <w:rsid w:val="00D20069"/>
    <w:rsid w:val="00D231CE"/>
    <w:rsid w:val="00D25CC0"/>
    <w:rsid w:val="00D2603A"/>
    <w:rsid w:val="00D2703D"/>
    <w:rsid w:val="00D32B1A"/>
    <w:rsid w:val="00D346B5"/>
    <w:rsid w:val="00D36C5D"/>
    <w:rsid w:val="00D423C7"/>
    <w:rsid w:val="00D527DE"/>
    <w:rsid w:val="00D556C0"/>
    <w:rsid w:val="00D60442"/>
    <w:rsid w:val="00D62D9B"/>
    <w:rsid w:val="00D63DA6"/>
    <w:rsid w:val="00D650B1"/>
    <w:rsid w:val="00D718C9"/>
    <w:rsid w:val="00D75B6C"/>
    <w:rsid w:val="00D82C98"/>
    <w:rsid w:val="00D850C8"/>
    <w:rsid w:val="00DB31C8"/>
    <w:rsid w:val="00DC0B0F"/>
    <w:rsid w:val="00DC1B28"/>
    <w:rsid w:val="00DC727C"/>
    <w:rsid w:val="00DD1D39"/>
    <w:rsid w:val="00DD2826"/>
    <w:rsid w:val="00DE1DFA"/>
    <w:rsid w:val="00DF235F"/>
    <w:rsid w:val="00DF3B32"/>
    <w:rsid w:val="00DF758C"/>
    <w:rsid w:val="00DF7D48"/>
    <w:rsid w:val="00E00AB0"/>
    <w:rsid w:val="00E03BE2"/>
    <w:rsid w:val="00E04E63"/>
    <w:rsid w:val="00E07CCE"/>
    <w:rsid w:val="00E13E2F"/>
    <w:rsid w:val="00E13E61"/>
    <w:rsid w:val="00E162FC"/>
    <w:rsid w:val="00E16B13"/>
    <w:rsid w:val="00E22E1D"/>
    <w:rsid w:val="00E2656A"/>
    <w:rsid w:val="00E26ABD"/>
    <w:rsid w:val="00E348BA"/>
    <w:rsid w:val="00E34A80"/>
    <w:rsid w:val="00E36567"/>
    <w:rsid w:val="00E36D9F"/>
    <w:rsid w:val="00E376C6"/>
    <w:rsid w:val="00E40F33"/>
    <w:rsid w:val="00E471A8"/>
    <w:rsid w:val="00E648C6"/>
    <w:rsid w:val="00E65C86"/>
    <w:rsid w:val="00E66CEF"/>
    <w:rsid w:val="00E73749"/>
    <w:rsid w:val="00E759E4"/>
    <w:rsid w:val="00E77B8A"/>
    <w:rsid w:val="00E829D6"/>
    <w:rsid w:val="00E87276"/>
    <w:rsid w:val="00E9511F"/>
    <w:rsid w:val="00E966D1"/>
    <w:rsid w:val="00EA2226"/>
    <w:rsid w:val="00EA33BE"/>
    <w:rsid w:val="00EA3F1D"/>
    <w:rsid w:val="00EB13F8"/>
    <w:rsid w:val="00EB28A5"/>
    <w:rsid w:val="00EB3741"/>
    <w:rsid w:val="00EB3F3D"/>
    <w:rsid w:val="00EB6DE0"/>
    <w:rsid w:val="00ED10C8"/>
    <w:rsid w:val="00ED1B50"/>
    <w:rsid w:val="00ED445E"/>
    <w:rsid w:val="00ED687C"/>
    <w:rsid w:val="00ED6928"/>
    <w:rsid w:val="00EE3C1C"/>
    <w:rsid w:val="00EE3D5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50A"/>
    <w:rsid w:val="00F917ED"/>
    <w:rsid w:val="00F97868"/>
    <w:rsid w:val="00FA14B8"/>
    <w:rsid w:val="00FA30BC"/>
    <w:rsid w:val="00FA56DE"/>
    <w:rsid w:val="00FB2E7E"/>
    <w:rsid w:val="00FB36A7"/>
    <w:rsid w:val="00FC54CA"/>
    <w:rsid w:val="00FE222C"/>
    <w:rsid w:val="00FE24A6"/>
    <w:rsid w:val="00FE5A0E"/>
    <w:rsid w:val="00FF53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50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styleId="ListParagraph">
    <w:name w:val="List Paragraph"/>
    <w:basedOn w:val="Normal"/>
    <w:uiPriority w:val="34"/>
    <w:qFormat/>
    <w:rsid w:val="00B00D0B"/>
    <w:pPr>
      <w:tabs>
        <w:tab w:val="clear" w:pos="284"/>
      </w:tabs>
      <w:overflowPunct w:val="0"/>
      <w:autoSpaceDE w:val="0"/>
      <w:autoSpaceDN w:val="0"/>
      <w:adjustRightInd w:val="0"/>
      <w:spacing w:line="240" w:lineRule="auto"/>
      <w:ind w:left="720"/>
      <w:contextualSpacing/>
      <w:textAlignment w:val="baseline"/>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styleId="ListParagraph">
    <w:name w:val="List Paragraph"/>
    <w:basedOn w:val="Normal"/>
    <w:uiPriority w:val="34"/>
    <w:qFormat/>
    <w:rsid w:val="00B00D0B"/>
    <w:pPr>
      <w:tabs>
        <w:tab w:val="clear" w:pos="284"/>
      </w:tabs>
      <w:overflowPunct w:val="0"/>
      <w:autoSpaceDE w:val="0"/>
      <w:autoSpaceDN w:val="0"/>
      <w:adjustRightInd w:val="0"/>
      <w:spacing w:line="240" w:lineRule="auto"/>
      <w:ind w:left="720"/>
      <w:contextualSpacing/>
      <w:textAlignment w:val="baseline"/>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upervision.ta.aml@nbb.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521C-5A9D-405F-BEAF-5D039623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3</Pages>
  <Words>1215</Words>
  <Characters>7328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Arys Viviane</cp:lastModifiedBy>
  <cp:revision>2</cp:revision>
  <cp:lastPrinted>2016-10-26T09:23:00Z</cp:lastPrinted>
  <dcterms:created xsi:type="dcterms:W3CDTF">2016-11-08T08:46:00Z</dcterms:created>
  <dcterms:modified xsi:type="dcterms:W3CDTF">2016-11-08T08:46:00Z</dcterms:modified>
</cp:coreProperties>
</file>