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113" w:type="dxa"/>
          <w:right w:w="0" w:type="dxa"/>
        </w:tblCellMar>
        <w:tblLook w:val="01E0" w:firstRow="1" w:lastRow="1" w:firstColumn="1" w:lastColumn="1" w:noHBand="0" w:noVBand="0"/>
      </w:tblPr>
      <w:tblGrid>
        <w:gridCol w:w="6067"/>
        <w:gridCol w:w="1644"/>
        <w:gridCol w:w="2212"/>
      </w:tblGrid>
      <w:tr w:rsidR="0005400B" w:rsidRPr="00214D28" w14:paraId="2DEB02D7" w14:textId="77777777" w:rsidTr="007B7965">
        <w:trPr>
          <w:cantSplit/>
          <w:trHeight w:hRule="exact" w:val="1077"/>
        </w:trPr>
        <w:tc>
          <w:tcPr>
            <w:tcW w:w="6067" w:type="dxa"/>
            <w:vAlign w:val="center"/>
          </w:tcPr>
          <w:p w14:paraId="2DEB02D1" w14:textId="77777777" w:rsidR="0005400B" w:rsidRPr="00214D28" w:rsidRDefault="0005400B" w:rsidP="007B7965">
            <w:pPr>
              <w:pStyle w:val="AdresseAdres"/>
              <w:spacing w:before="300"/>
            </w:pPr>
            <w:r>
              <w:t>Boulevard de Berlaimont 14 – BE-1000 Brussels</w:t>
            </w:r>
          </w:p>
          <w:p w14:paraId="2DEB02D2" w14:textId="6767D214" w:rsidR="0005400B" w:rsidRPr="00214D28" w:rsidRDefault="0005400B" w:rsidP="00C67902">
            <w:pPr>
              <w:pStyle w:val="AdresseAdres"/>
            </w:pPr>
            <w:r>
              <w:t xml:space="preserve">Phone +32 2 221 </w:t>
            </w:r>
            <w:r w:rsidR="00944B47">
              <w:t>3</w:t>
            </w:r>
            <w:r w:rsidR="00813726">
              <w:t>5</w:t>
            </w:r>
            <w:r w:rsidR="00944B47">
              <w:t xml:space="preserve"> </w:t>
            </w:r>
            <w:r w:rsidR="00813726">
              <w:t>88</w:t>
            </w:r>
            <w:r>
              <w:t xml:space="preserve"> – fax +32 2 221 </w:t>
            </w:r>
            <w:r w:rsidR="00944B47">
              <w:t>31 04</w:t>
            </w:r>
          </w:p>
          <w:p w14:paraId="2DEB02D3" w14:textId="77777777" w:rsidR="0005400B" w:rsidRPr="00214D28" w:rsidRDefault="0005400B" w:rsidP="00C67902">
            <w:pPr>
              <w:pStyle w:val="AdresseAdres"/>
            </w:pPr>
            <w:r>
              <w:t>Company number: 0203.201.340</w:t>
            </w:r>
          </w:p>
          <w:p w14:paraId="2DEB02D4" w14:textId="77777777" w:rsidR="0005400B" w:rsidRPr="00214D28" w:rsidRDefault="0005400B" w:rsidP="00C67902">
            <w:pPr>
              <w:pStyle w:val="AdresseAdres"/>
            </w:pPr>
            <w:r>
              <w:t>RPM (Trade Register) Brussels</w:t>
            </w:r>
          </w:p>
          <w:p w14:paraId="2DEB02D5" w14:textId="77777777" w:rsidR="0005400B" w:rsidRPr="00214D28" w:rsidRDefault="0005400B" w:rsidP="0005400B">
            <w:pPr>
              <w:pStyle w:val="AdresseAdres"/>
            </w:pPr>
            <w:r>
              <w:t>www.nbb.be</w:t>
            </w:r>
          </w:p>
        </w:tc>
        <w:tc>
          <w:tcPr>
            <w:tcW w:w="3856" w:type="dxa"/>
            <w:gridSpan w:val="2"/>
            <w:shd w:val="clear" w:color="auto" w:fill="auto"/>
            <w:vAlign w:val="center"/>
          </w:tcPr>
          <w:p w14:paraId="2DEB02D6" w14:textId="77777777" w:rsidR="0005400B" w:rsidRPr="00214D28" w:rsidRDefault="0005400B" w:rsidP="00682F2F">
            <w:pPr>
              <w:spacing w:line="260" w:lineRule="atLeast"/>
              <w:rPr>
                <w:sz w:val="16"/>
                <w:szCs w:val="16"/>
              </w:rPr>
            </w:pPr>
            <w:r>
              <w:rPr>
                <w:noProof/>
                <w:sz w:val="16"/>
                <w:szCs w:val="16"/>
                <w:lang w:val="en-US" w:eastAsia="en-US" w:bidi="ar-SA"/>
              </w:rPr>
              <w:drawing>
                <wp:inline distT="0" distB="0" distL="0" distR="0" wp14:anchorId="2DEB03C8" wp14:editId="2DEB03C9">
                  <wp:extent cx="2343150" cy="581025"/>
                  <wp:effectExtent l="19050" t="0" r="0" b="0"/>
                  <wp:docPr id="6"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2"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05400B" w:rsidRPr="00214D28" w14:paraId="2DEB02DA" w14:textId="77777777" w:rsidTr="00682F2F">
        <w:trPr>
          <w:cantSplit/>
          <w:trHeight w:hRule="exact" w:val="850"/>
        </w:trPr>
        <w:tc>
          <w:tcPr>
            <w:tcW w:w="6067" w:type="dxa"/>
            <w:shd w:val="clear" w:color="auto" w:fill="auto"/>
          </w:tcPr>
          <w:p w14:paraId="2DEB02D8" w14:textId="77777777" w:rsidR="0005400B" w:rsidRPr="00214D28" w:rsidRDefault="0005400B" w:rsidP="00682F2F">
            <w:pPr>
              <w:pStyle w:val="AdresseAdres"/>
              <w:tabs>
                <w:tab w:val="center" w:pos="4678"/>
                <w:tab w:val="right" w:pos="9356"/>
              </w:tabs>
              <w:spacing w:line="260" w:lineRule="atLeast"/>
              <w:rPr>
                <w:sz w:val="16"/>
              </w:rPr>
            </w:pPr>
          </w:p>
        </w:tc>
        <w:tc>
          <w:tcPr>
            <w:tcW w:w="3856" w:type="dxa"/>
            <w:gridSpan w:val="2"/>
            <w:shd w:val="clear" w:color="auto" w:fill="auto"/>
            <w:vAlign w:val="bottom"/>
          </w:tcPr>
          <w:p w14:paraId="2DEB02D9" w14:textId="7B3C9421" w:rsidR="0005400B" w:rsidRPr="00214D28" w:rsidRDefault="00813726" w:rsidP="007B7965">
            <w:pPr>
              <w:pStyle w:val="TitreTitel"/>
              <w:keepLines/>
              <w:tabs>
                <w:tab w:val="left" w:pos="284"/>
                <w:tab w:val="right" w:leader="dot" w:pos="9639"/>
              </w:tabs>
              <w:spacing w:after="170"/>
              <w:ind w:left="397" w:right="567" w:hanging="397"/>
            </w:pPr>
            <w:r>
              <w:t>Communication</w:t>
            </w:r>
          </w:p>
        </w:tc>
      </w:tr>
      <w:tr w:rsidR="0005400B" w:rsidRPr="00214D28" w14:paraId="2DEB02DD" w14:textId="77777777" w:rsidTr="007B7965">
        <w:trPr>
          <w:cantSplit/>
          <w:trHeight w:hRule="exact" w:val="794"/>
        </w:trPr>
        <w:tc>
          <w:tcPr>
            <w:tcW w:w="6067" w:type="dxa"/>
            <w:vMerge w:val="restart"/>
            <w:shd w:val="clear" w:color="auto" w:fill="auto"/>
          </w:tcPr>
          <w:p w14:paraId="2DEB02DB" w14:textId="77777777" w:rsidR="0005400B" w:rsidRPr="00214D28" w:rsidRDefault="0005400B" w:rsidP="00C67902">
            <w:pPr>
              <w:pStyle w:val="AdresseAdres"/>
            </w:pPr>
          </w:p>
        </w:tc>
        <w:tc>
          <w:tcPr>
            <w:tcW w:w="3856" w:type="dxa"/>
            <w:gridSpan w:val="2"/>
          </w:tcPr>
          <w:p w14:paraId="2DEB02DC" w14:textId="27005D0E" w:rsidR="0005400B" w:rsidRPr="00944B47" w:rsidRDefault="0005400B" w:rsidP="00427B82">
            <w:pPr>
              <w:spacing w:line="260" w:lineRule="atLeast"/>
            </w:pPr>
            <w:r w:rsidRPr="00944B47">
              <w:t xml:space="preserve">Brussels, </w:t>
            </w:r>
            <w:r w:rsidR="00427B82">
              <w:t>2 June</w:t>
            </w:r>
            <w:r w:rsidR="00813726">
              <w:t xml:space="preserve"> 2017</w:t>
            </w:r>
          </w:p>
        </w:tc>
      </w:tr>
      <w:tr w:rsidR="0005400B" w:rsidRPr="00214D28" w14:paraId="2DEB02E1" w14:textId="77777777" w:rsidTr="00682F2F">
        <w:trPr>
          <w:cantSplit/>
          <w:trHeight w:hRule="exact" w:val="198"/>
        </w:trPr>
        <w:tc>
          <w:tcPr>
            <w:tcW w:w="6067" w:type="dxa"/>
            <w:vMerge/>
          </w:tcPr>
          <w:p w14:paraId="2DEB02DE" w14:textId="77777777" w:rsidR="0005400B" w:rsidRPr="00214D28" w:rsidRDefault="0005400B" w:rsidP="00682F2F">
            <w:pPr>
              <w:spacing w:line="260" w:lineRule="atLeast"/>
            </w:pPr>
          </w:p>
        </w:tc>
        <w:tc>
          <w:tcPr>
            <w:tcW w:w="1644" w:type="dxa"/>
            <w:vAlign w:val="center"/>
          </w:tcPr>
          <w:p w14:paraId="2DEB02DF" w14:textId="77777777" w:rsidR="0005400B" w:rsidRPr="00944B47" w:rsidRDefault="0005400B" w:rsidP="00682F2F">
            <w:pPr>
              <w:pStyle w:val="BoiteVakje"/>
            </w:pPr>
          </w:p>
        </w:tc>
        <w:tc>
          <w:tcPr>
            <w:tcW w:w="2212" w:type="dxa"/>
            <w:vAlign w:val="center"/>
          </w:tcPr>
          <w:p w14:paraId="2DEB02E0" w14:textId="77777777" w:rsidR="0005400B" w:rsidRPr="00944B47" w:rsidRDefault="0005400B" w:rsidP="00682F2F">
            <w:pPr>
              <w:pStyle w:val="BoiteVakje"/>
              <w:rPr>
                <w:sz w:val="16"/>
                <w:szCs w:val="16"/>
              </w:rPr>
            </w:pPr>
          </w:p>
        </w:tc>
      </w:tr>
      <w:tr w:rsidR="0005400B" w:rsidRPr="00214D28" w14:paraId="2DEB02E5" w14:textId="77777777" w:rsidTr="00682F2F">
        <w:trPr>
          <w:cantSplit/>
          <w:trHeight w:hRule="exact" w:val="198"/>
        </w:trPr>
        <w:tc>
          <w:tcPr>
            <w:tcW w:w="6067" w:type="dxa"/>
            <w:vMerge/>
          </w:tcPr>
          <w:p w14:paraId="2DEB02E2" w14:textId="77777777" w:rsidR="0005400B" w:rsidRPr="00214D28" w:rsidRDefault="0005400B" w:rsidP="00682F2F">
            <w:pPr>
              <w:tabs>
                <w:tab w:val="left" w:pos="1276"/>
                <w:tab w:val="left" w:pos="2268"/>
              </w:tabs>
              <w:spacing w:line="260" w:lineRule="atLeast"/>
            </w:pPr>
          </w:p>
        </w:tc>
        <w:tc>
          <w:tcPr>
            <w:tcW w:w="1644" w:type="dxa"/>
            <w:vAlign w:val="center"/>
          </w:tcPr>
          <w:p w14:paraId="2DEB02E3" w14:textId="77777777" w:rsidR="0005400B" w:rsidRPr="00944B47" w:rsidRDefault="0005400B" w:rsidP="00682F2F">
            <w:pPr>
              <w:pStyle w:val="BoiteVakje"/>
            </w:pPr>
            <w:r w:rsidRPr="00944B47">
              <w:t xml:space="preserve">Reference: </w:t>
            </w:r>
            <w:r w:rsidRPr="00944B47">
              <w:rPr>
                <w:vanish/>
                <w:color w:val="FF0000"/>
              </w:rPr>
              <w:t>---------------&gt;</w:t>
            </w:r>
          </w:p>
        </w:tc>
        <w:tc>
          <w:tcPr>
            <w:tcW w:w="2212" w:type="dxa"/>
            <w:vAlign w:val="center"/>
          </w:tcPr>
          <w:p w14:paraId="2DEB02E4" w14:textId="7BBC6AB5" w:rsidR="0005400B" w:rsidRPr="00944B47" w:rsidRDefault="0005400B" w:rsidP="00944B47">
            <w:pPr>
              <w:pStyle w:val="BoitetexteVakjetekst"/>
            </w:pPr>
            <w:r w:rsidRPr="00944B47">
              <w:t>NBB_2017_</w:t>
            </w:r>
            <w:r w:rsidR="006E0715">
              <w:t>18</w:t>
            </w:r>
          </w:p>
        </w:tc>
      </w:tr>
      <w:tr w:rsidR="0005400B" w:rsidRPr="00214D28" w14:paraId="2DEB02E8" w14:textId="77777777" w:rsidTr="00682F2F">
        <w:trPr>
          <w:cantSplit/>
          <w:trHeight w:hRule="exact" w:val="198"/>
        </w:trPr>
        <w:tc>
          <w:tcPr>
            <w:tcW w:w="6067" w:type="dxa"/>
            <w:vMerge/>
          </w:tcPr>
          <w:p w14:paraId="2DEB02E6" w14:textId="77777777" w:rsidR="0005400B" w:rsidRPr="00214D28" w:rsidRDefault="0005400B" w:rsidP="00682F2F">
            <w:pPr>
              <w:spacing w:line="260" w:lineRule="atLeast"/>
            </w:pPr>
          </w:p>
        </w:tc>
        <w:tc>
          <w:tcPr>
            <w:tcW w:w="3856" w:type="dxa"/>
            <w:gridSpan w:val="2"/>
            <w:vAlign w:val="center"/>
          </w:tcPr>
          <w:p w14:paraId="2DEB02E7" w14:textId="77777777" w:rsidR="0005400B" w:rsidRPr="00214D28" w:rsidRDefault="0005400B" w:rsidP="00682F2F">
            <w:pPr>
              <w:pStyle w:val="BoiteVakje"/>
              <w:rPr>
                <w:sz w:val="16"/>
                <w:szCs w:val="16"/>
              </w:rPr>
            </w:pPr>
          </w:p>
        </w:tc>
      </w:tr>
      <w:tr w:rsidR="0005400B" w:rsidRPr="00214D28" w14:paraId="2DEB02EB" w14:textId="77777777" w:rsidTr="00487038">
        <w:trPr>
          <w:cantSplit/>
          <w:trHeight w:hRule="exact" w:val="198"/>
        </w:trPr>
        <w:tc>
          <w:tcPr>
            <w:tcW w:w="6067" w:type="dxa"/>
            <w:vMerge w:val="restart"/>
          </w:tcPr>
          <w:p w14:paraId="2DEB02E9" w14:textId="77777777" w:rsidR="0005400B" w:rsidRPr="00214D28" w:rsidRDefault="0005400B" w:rsidP="00487038">
            <w:pPr>
              <w:pStyle w:val="AdresseAdres"/>
            </w:pPr>
          </w:p>
        </w:tc>
        <w:tc>
          <w:tcPr>
            <w:tcW w:w="3856" w:type="dxa"/>
            <w:gridSpan w:val="2"/>
            <w:vAlign w:val="center"/>
          </w:tcPr>
          <w:p w14:paraId="2DEB02EA" w14:textId="77777777" w:rsidR="0005400B" w:rsidRPr="00214D28" w:rsidRDefault="00F50590" w:rsidP="00487038">
            <w:pPr>
              <w:pStyle w:val="BoiteVakje"/>
            </w:pPr>
            <w:r>
              <w:t xml:space="preserve">Contact persons: </w:t>
            </w:r>
            <w:r>
              <w:rPr>
                <w:vanish/>
                <w:color w:val="FF0000"/>
              </w:rPr>
              <w:t>mettez les noms ci-dessous</w:t>
            </w:r>
          </w:p>
        </w:tc>
      </w:tr>
      <w:tr w:rsidR="0005400B" w:rsidRPr="00214D28" w14:paraId="2DEB02EE" w14:textId="77777777" w:rsidTr="00487038">
        <w:trPr>
          <w:cantSplit/>
          <w:trHeight w:hRule="exact" w:val="57"/>
        </w:trPr>
        <w:tc>
          <w:tcPr>
            <w:tcW w:w="6067" w:type="dxa"/>
            <w:vMerge/>
          </w:tcPr>
          <w:p w14:paraId="2DEB02EC" w14:textId="77777777" w:rsidR="0005400B" w:rsidRPr="00214D28" w:rsidRDefault="0005400B" w:rsidP="00487038">
            <w:pPr>
              <w:spacing w:line="260" w:lineRule="atLeast"/>
            </w:pPr>
          </w:p>
        </w:tc>
        <w:tc>
          <w:tcPr>
            <w:tcW w:w="3856" w:type="dxa"/>
            <w:gridSpan w:val="2"/>
            <w:vAlign w:val="center"/>
          </w:tcPr>
          <w:p w14:paraId="2DEB02ED" w14:textId="77777777" w:rsidR="0005400B" w:rsidRPr="00214D28" w:rsidRDefault="0005400B" w:rsidP="00487038">
            <w:pPr>
              <w:pStyle w:val="BoiteVakje"/>
            </w:pPr>
          </w:p>
        </w:tc>
      </w:tr>
      <w:tr w:rsidR="0005400B" w:rsidRPr="00214D28" w14:paraId="2DEB02F1" w14:textId="77777777" w:rsidTr="00487038">
        <w:trPr>
          <w:cantSplit/>
          <w:trHeight w:val="198"/>
        </w:trPr>
        <w:tc>
          <w:tcPr>
            <w:tcW w:w="6067" w:type="dxa"/>
            <w:vMerge/>
          </w:tcPr>
          <w:p w14:paraId="2DEB02EF" w14:textId="77777777" w:rsidR="0005400B" w:rsidRPr="00214D28" w:rsidRDefault="0005400B" w:rsidP="00487038">
            <w:pPr>
              <w:spacing w:line="260" w:lineRule="atLeast"/>
            </w:pPr>
          </w:p>
        </w:tc>
        <w:tc>
          <w:tcPr>
            <w:tcW w:w="3856" w:type="dxa"/>
            <w:gridSpan w:val="2"/>
            <w:vAlign w:val="center"/>
          </w:tcPr>
          <w:p w14:paraId="2DEB02F0" w14:textId="2914238D" w:rsidR="0005400B" w:rsidRPr="00214D28" w:rsidRDefault="00813726" w:rsidP="00487038">
            <w:pPr>
              <w:pStyle w:val="BoiteVakje"/>
            </w:pPr>
            <w:r>
              <w:t xml:space="preserve">Nicolas </w:t>
            </w:r>
            <w:proofErr w:type="spellStart"/>
            <w:r>
              <w:t>Strypstein</w:t>
            </w:r>
            <w:proofErr w:type="spellEnd"/>
          </w:p>
        </w:tc>
      </w:tr>
      <w:tr w:rsidR="0005400B" w:rsidRPr="00214D28" w14:paraId="2DEB02F4" w14:textId="77777777" w:rsidTr="00487038">
        <w:trPr>
          <w:cantSplit/>
          <w:trHeight w:val="198"/>
        </w:trPr>
        <w:tc>
          <w:tcPr>
            <w:tcW w:w="6067" w:type="dxa"/>
            <w:vMerge/>
          </w:tcPr>
          <w:p w14:paraId="2DEB02F2" w14:textId="77777777" w:rsidR="0005400B" w:rsidRPr="00214D28" w:rsidRDefault="0005400B" w:rsidP="00487038">
            <w:pPr>
              <w:spacing w:line="260" w:lineRule="atLeast"/>
            </w:pPr>
          </w:p>
        </w:tc>
        <w:tc>
          <w:tcPr>
            <w:tcW w:w="3856" w:type="dxa"/>
            <w:gridSpan w:val="2"/>
            <w:vAlign w:val="center"/>
          </w:tcPr>
          <w:p w14:paraId="2DEB02F3" w14:textId="7EC7B720" w:rsidR="0005400B" w:rsidRPr="00214D28" w:rsidRDefault="0005400B" w:rsidP="00813726">
            <w:pPr>
              <w:pStyle w:val="BoiteVakje"/>
            </w:pPr>
            <w:r>
              <w:t xml:space="preserve">Phone +32 2 221 </w:t>
            </w:r>
            <w:r w:rsidR="00813726">
              <w:t>44 74</w:t>
            </w:r>
            <w:r>
              <w:t xml:space="preserve"> – fax +32 2 221 31 04</w:t>
            </w:r>
          </w:p>
        </w:tc>
      </w:tr>
      <w:tr w:rsidR="0005400B" w:rsidRPr="00214D28" w14:paraId="2DEB02F7" w14:textId="77777777" w:rsidTr="00487038">
        <w:trPr>
          <w:cantSplit/>
          <w:trHeight w:val="198"/>
        </w:trPr>
        <w:tc>
          <w:tcPr>
            <w:tcW w:w="6067" w:type="dxa"/>
            <w:vMerge/>
          </w:tcPr>
          <w:p w14:paraId="2DEB02F5" w14:textId="77777777" w:rsidR="0005400B" w:rsidRPr="00214D28" w:rsidRDefault="0005400B" w:rsidP="00487038">
            <w:pPr>
              <w:pStyle w:val="SujetOnderwerp"/>
              <w:rPr>
                <w:b w:val="0"/>
                <w:sz w:val="16"/>
              </w:rPr>
            </w:pPr>
          </w:p>
        </w:tc>
        <w:tc>
          <w:tcPr>
            <w:tcW w:w="3856" w:type="dxa"/>
            <w:gridSpan w:val="2"/>
            <w:vAlign w:val="center"/>
          </w:tcPr>
          <w:p w14:paraId="2DEB02F6" w14:textId="13B47C14" w:rsidR="0005400B" w:rsidRPr="00214D28" w:rsidRDefault="003311FF" w:rsidP="00813726">
            <w:pPr>
              <w:pStyle w:val="BoiteVakje"/>
              <w:rPr>
                <w:b/>
              </w:rPr>
            </w:pPr>
            <w:hyperlink r:id="rId13" w:history="1">
              <w:r w:rsidR="00813726" w:rsidRPr="00E90C74">
                <w:rPr>
                  <w:rStyle w:val="Hyperlink"/>
                </w:rPr>
                <w:t>nicolas.strypstein@nbb.be</w:t>
              </w:r>
            </w:hyperlink>
          </w:p>
        </w:tc>
      </w:tr>
      <w:tr w:rsidR="0005400B" w:rsidRPr="00214D28" w14:paraId="2DEB02FA" w14:textId="77777777" w:rsidTr="00487038">
        <w:trPr>
          <w:cantSplit/>
          <w:trHeight w:hRule="exact" w:val="57"/>
        </w:trPr>
        <w:tc>
          <w:tcPr>
            <w:tcW w:w="6067" w:type="dxa"/>
            <w:vMerge/>
          </w:tcPr>
          <w:p w14:paraId="2DEB02F8" w14:textId="77777777" w:rsidR="0005400B" w:rsidRPr="00214D28" w:rsidRDefault="0005400B" w:rsidP="00487038">
            <w:pPr>
              <w:pStyle w:val="SujetOnderwerp"/>
              <w:rPr>
                <w:b w:val="0"/>
                <w:sz w:val="16"/>
              </w:rPr>
            </w:pPr>
          </w:p>
        </w:tc>
        <w:tc>
          <w:tcPr>
            <w:tcW w:w="3856" w:type="dxa"/>
            <w:gridSpan w:val="2"/>
            <w:vAlign w:val="center"/>
          </w:tcPr>
          <w:p w14:paraId="2DEB02F9" w14:textId="77777777" w:rsidR="0005400B" w:rsidRPr="00214D28" w:rsidRDefault="0005400B" w:rsidP="00487038">
            <w:pPr>
              <w:pStyle w:val="BoiteVakje"/>
              <w:rPr>
                <w:b/>
              </w:rPr>
            </w:pPr>
          </w:p>
        </w:tc>
      </w:tr>
      <w:tr w:rsidR="0005400B" w:rsidRPr="00214D28" w14:paraId="2DEB02FD" w14:textId="77777777" w:rsidTr="00487038">
        <w:trPr>
          <w:cantSplit/>
          <w:trHeight w:hRule="exact" w:val="198"/>
        </w:trPr>
        <w:tc>
          <w:tcPr>
            <w:tcW w:w="6067" w:type="dxa"/>
            <w:vMerge/>
            <w:vAlign w:val="center"/>
          </w:tcPr>
          <w:p w14:paraId="2DEB02FB" w14:textId="77777777" w:rsidR="0005400B" w:rsidRPr="00214D28" w:rsidRDefault="0005400B" w:rsidP="00487038">
            <w:pPr>
              <w:pStyle w:val="SujetOnderwerp"/>
              <w:rPr>
                <w:b w:val="0"/>
                <w:sz w:val="16"/>
              </w:rPr>
            </w:pPr>
          </w:p>
        </w:tc>
        <w:tc>
          <w:tcPr>
            <w:tcW w:w="3856" w:type="dxa"/>
            <w:gridSpan w:val="2"/>
            <w:vAlign w:val="center"/>
          </w:tcPr>
          <w:p w14:paraId="2DEB02FC" w14:textId="04A4A9AC" w:rsidR="0005400B" w:rsidRPr="00214D28" w:rsidRDefault="0005400B" w:rsidP="00487038">
            <w:pPr>
              <w:pStyle w:val="BoiteVakje"/>
              <w:rPr>
                <w:b/>
              </w:rPr>
            </w:pPr>
          </w:p>
        </w:tc>
      </w:tr>
      <w:tr w:rsidR="0005400B" w:rsidRPr="00214D28" w14:paraId="2DEB0300" w14:textId="77777777" w:rsidTr="00487038">
        <w:trPr>
          <w:cantSplit/>
          <w:trHeight w:hRule="exact" w:val="198"/>
        </w:trPr>
        <w:tc>
          <w:tcPr>
            <w:tcW w:w="6067" w:type="dxa"/>
            <w:vMerge/>
            <w:vAlign w:val="center"/>
          </w:tcPr>
          <w:p w14:paraId="2DEB02FE" w14:textId="77777777" w:rsidR="0005400B" w:rsidRPr="00214D28" w:rsidRDefault="0005400B" w:rsidP="00487038">
            <w:pPr>
              <w:pStyle w:val="SujetOnderwerp"/>
              <w:rPr>
                <w:b w:val="0"/>
                <w:sz w:val="16"/>
              </w:rPr>
            </w:pPr>
          </w:p>
        </w:tc>
        <w:tc>
          <w:tcPr>
            <w:tcW w:w="3856" w:type="dxa"/>
            <w:gridSpan w:val="2"/>
            <w:vAlign w:val="center"/>
          </w:tcPr>
          <w:p w14:paraId="2DEB02FF" w14:textId="3C0DEFF8" w:rsidR="0005400B" w:rsidRPr="00214D28" w:rsidRDefault="0005400B" w:rsidP="0005400B">
            <w:pPr>
              <w:pStyle w:val="BoiteVakje"/>
              <w:rPr>
                <w:b/>
              </w:rPr>
            </w:pPr>
          </w:p>
        </w:tc>
      </w:tr>
      <w:tr w:rsidR="0005400B" w:rsidRPr="00214D28" w14:paraId="2DEB0303" w14:textId="77777777" w:rsidTr="00263F49">
        <w:trPr>
          <w:cantSplit/>
          <w:trHeight w:hRule="exact" w:val="68"/>
        </w:trPr>
        <w:tc>
          <w:tcPr>
            <w:tcW w:w="6067" w:type="dxa"/>
            <w:vMerge/>
            <w:vAlign w:val="center"/>
          </w:tcPr>
          <w:p w14:paraId="2DEB0301" w14:textId="77777777" w:rsidR="0005400B" w:rsidRPr="00214D28" w:rsidRDefault="0005400B" w:rsidP="00487038">
            <w:pPr>
              <w:pStyle w:val="SujetOnderwerp"/>
              <w:rPr>
                <w:b w:val="0"/>
                <w:sz w:val="16"/>
              </w:rPr>
            </w:pPr>
          </w:p>
        </w:tc>
        <w:tc>
          <w:tcPr>
            <w:tcW w:w="3856" w:type="dxa"/>
            <w:gridSpan w:val="2"/>
            <w:vAlign w:val="center"/>
          </w:tcPr>
          <w:p w14:paraId="2DEB0302" w14:textId="7DBBD7AE" w:rsidR="0005400B" w:rsidRPr="00214D28" w:rsidRDefault="0005400B" w:rsidP="00F50590">
            <w:pPr>
              <w:pStyle w:val="BoiteVakje"/>
              <w:rPr>
                <w:b/>
              </w:rPr>
            </w:pPr>
          </w:p>
        </w:tc>
      </w:tr>
      <w:tr w:rsidR="00813726" w:rsidRPr="00214D28" w14:paraId="2DEB0305" w14:textId="77777777" w:rsidTr="004E6FD5">
        <w:trPr>
          <w:cantSplit/>
          <w:trHeight w:hRule="exact" w:val="1191"/>
        </w:trPr>
        <w:tc>
          <w:tcPr>
            <w:tcW w:w="9923" w:type="dxa"/>
            <w:gridSpan w:val="3"/>
            <w:tcMar>
              <w:top w:w="113" w:type="dxa"/>
            </w:tcMar>
            <w:vAlign w:val="bottom"/>
          </w:tcPr>
          <w:p w14:paraId="2DEB0304" w14:textId="175C877D" w:rsidR="00813726" w:rsidRPr="00214D28" w:rsidRDefault="006E0715" w:rsidP="00944B47">
            <w:pPr>
              <w:pStyle w:val="SujetOnderwerp"/>
              <w:jc w:val="both"/>
            </w:pPr>
            <w:r>
              <w:t>Communication on the procedures to be followed by insurance or reinsurance companies governed by Belgian law that wish to take up an insurance or reinsurance activity abroad (in another Member State of the EEA or in a third country)</w:t>
            </w:r>
          </w:p>
        </w:tc>
      </w:tr>
      <w:tr w:rsidR="00813726" w:rsidRPr="00214D28" w14:paraId="2DEB0307" w14:textId="77777777" w:rsidTr="0005400B">
        <w:trPr>
          <w:cantSplit/>
          <w:trHeight w:hRule="exact" w:val="397"/>
        </w:trPr>
        <w:tc>
          <w:tcPr>
            <w:tcW w:w="9923" w:type="dxa"/>
            <w:gridSpan w:val="3"/>
            <w:vAlign w:val="center"/>
          </w:tcPr>
          <w:p w14:paraId="2DEB0306" w14:textId="6A269A85" w:rsidR="00813726" w:rsidRPr="00214D28" w:rsidRDefault="008F2C39" w:rsidP="00707C96">
            <w:r>
              <w:rPr>
                <w:lang w:val="fr-BE"/>
              </w:rPr>
              <w:t>« </w:t>
            </w:r>
            <w:r>
              <w:rPr>
                <w:i/>
                <w:iCs/>
                <w:lang w:val="fr-BE"/>
              </w:rPr>
              <w:t xml:space="preserve">This </w:t>
            </w:r>
            <w:proofErr w:type="spellStart"/>
            <w:r>
              <w:rPr>
                <w:i/>
                <w:iCs/>
                <w:lang w:val="fr-BE"/>
              </w:rPr>
              <w:t>is</w:t>
            </w:r>
            <w:proofErr w:type="spellEnd"/>
            <w:r>
              <w:rPr>
                <w:i/>
                <w:iCs/>
                <w:lang w:val="fr-BE"/>
              </w:rPr>
              <w:t xml:space="preserve"> a </w:t>
            </w:r>
            <w:proofErr w:type="spellStart"/>
            <w:r>
              <w:rPr>
                <w:i/>
                <w:iCs/>
                <w:lang w:val="fr-BE"/>
              </w:rPr>
              <w:t>courtesy</w:t>
            </w:r>
            <w:proofErr w:type="spellEnd"/>
            <w:r>
              <w:rPr>
                <w:i/>
                <w:iCs/>
                <w:lang w:val="fr-BE"/>
              </w:rPr>
              <w:t xml:space="preserve"> translation. </w:t>
            </w:r>
            <w:proofErr w:type="spellStart"/>
            <w:r>
              <w:rPr>
                <w:i/>
                <w:iCs/>
                <w:lang w:val="fr-BE"/>
              </w:rPr>
              <w:t>Only</w:t>
            </w:r>
            <w:proofErr w:type="spellEnd"/>
            <w:r>
              <w:rPr>
                <w:i/>
                <w:iCs/>
                <w:lang w:val="fr-BE"/>
              </w:rPr>
              <w:t xml:space="preserve"> the Dutch and French version have </w:t>
            </w:r>
            <w:proofErr w:type="spellStart"/>
            <w:r>
              <w:rPr>
                <w:i/>
                <w:iCs/>
                <w:lang w:val="fr-BE"/>
              </w:rPr>
              <w:t>legal</w:t>
            </w:r>
            <w:proofErr w:type="spellEnd"/>
            <w:r>
              <w:rPr>
                <w:i/>
                <w:iCs/>
                <w:lang w:val="fr-BE"/>
              </w:rPr>
              <w:t xml:space="preserve"> value </w:t>
            </w:r>
            <w:r>
              <w:rPr>
                <w:lang w:val="fr-BE"/>
              </w:rPr>
              <w:t>».</w:t>
            </w:r>
          </w:p>
        </w:tc>
      </w:tr>
    </w:tbl>
    <w:p w14:paraId="5C3E71E9" w14:textId="77777777" w:rsidR="00DA1BBF" w:rsidRPr="006E0715" w:rsidRDefault="00DA1BBF" w:rsidP="006E0715">
      <w:pPr>
        <w:spacing w:before="240" w:line="240" w:lineRule="atLeast"/>
        <w:jc w:val="both"/>
        <w:rPr>
          <w:rFonts w:cs="Arial"/>
          <w:i/>
          <w:sz w:val="22"/>
          <w:szCs w:val="22"/>
          <w:u w:val="single"/>
          <w:lang w:val="fr-BE" w:eastAsia="en-US" w:bidi="ar-SA"/>
        </w:rPr>
      </w:pPr>
      <w:r w:rsidRPr="006E0715">
        <w:rPr>
          <w:rFonts w:cs="Arial"/>
          <w:i/>
          <w:sz w:val="22"/>
          <w:szCs w:val="22"/>
          <w:u w:val="single"/>
          <w:lang w:val="fr-BE" w:eastAsia="en-US" w:bidi="ar-SA"/>
        </w:rPr>
        <w:t>Scope</w:t>
      </w:r>
    </w:p>
    <w:p w14:paraId="62A4DE12" w14:textId="1303C18A" w:rsidR="00DA1BBF" w:rsidRPr="006E0715" w:rsidRDefault="00DA1BBF" w:rsidP="006E0715">
      <w:pPr>
        <w:pStyle w:val="ListParagraph"/>
        <w:tabs>
          <w:tab w:val="clear" w:pos="284"/>
        </w:tabs>
        <w:spacing w:before="240" w:after="200" w:line="240" w:lineRule="atLeast"/>
        <w:ind w:left="360" w:hanging="360"/>
        <w:jc w:val="both"/>
        <w:rPr>
          <w:rFonts w:eastAsiaTheme="minorHAnsi" w:cs="Arial"/>
          <w:i/>
          <w:sz w:val="22"/>
          <w:szCs w:val="22"/>
          <w:lang w:val="fr-BE" w:eastAsia="en-US" w:bidi="ar-SA"/>
        </w:rPr>
      </w:pPr>
      <w:r w:rsidRPr="006E0715">
        <w:rPr>
          <w:rFonts w:eastAsiaTheme="minorHAnsi" w:cs="Arial"/>
          <w:i/>
          <w:sz w:val="22"/>
          <w:szCs w:val="22"/>
          <w:lang w:val="fr-BE" w:eastAsia="en-US" w:bidi="ar-SA"/>
        </w:rPr>
        <w:t xml:space="preserve">- </w:t>
      </w:r>
      <w:r w:rsidR="006E0715">
        <w:rPr>
          <w:rFonts w:eastAsiaTheme="minorHAnsi" w:cs="Arial"/>
          <w:i/>
          <w:sz w:val="22"/>
          <w:szCs w:val="22"/>
          <w:lang w:val="fr-BE" w:eastAsia="en-US" w:bidi="ar-SA"/>
        </w:rPr>
        <w:tab/>
      </w:r>
      <w:proofErr w:type="spellStart"/>
      <w:r w:rsidRPr="006E0715">
        <w:rPr>
          <w:rFonts w:eastAsiaTheme="minorHAnsi" w:cs="Arial"/>
          <w:i/>
          <w:sz w:val="22"/>
          <w:szCs w:val="22"/>
          <w:lang w:val="fr-BE" w:eastAsia="en-US" w:bidi="ar-SA"/>
        </w:rPr>
        <w:t>Insurance</w:t>
      </w:r>
      <w:proofErr w:type="spellEnd"/>
      <w:r w:rsidRPr="006E0715">
        <w:rPr>
          <w:rFonts w:eastAsiaTheme="minorHAnsi" w:cs="Arial"/>
          <w:i/>
          <w:sz w:val="22"/>
          <w:szCs w:val="22"/>
          <w:lang w:val="fr-BE" w:eastAsia="en-US" w:bidi="ar-SA"/>
        </w:rPr>
        <w:t xml:space="preserve"> and </w:t>
      </w:r>
      <w:proofErr w:type="spellStart"/>
      <w:r w:rsidRPr="006E0715">
        <w:rPr>
          <w:rFonts w:eastAsiaTheme="minorHAnsi" w:cs="Arial"/>
          <w:i/>
          <w:sz w:val="22"/>
          <w:szCs w:val="22"/>
          <w:lang w:val="fr-BE" w:eastAsia="en-US" w:bidi="ar-SA"/>
        </w:rPr>
        <w:t>reinsurance</w:t>
      </w:r>
      <w:proofErr w:type="spellEnd"/>
      <w:r w:rsidRPr="006E0715">
        <w:rPr>
          <w:rFonts w:eastAsiaTheme="minorHAnsi" w:cs="Arial"/>
          <w:i/>
          <w:sz w:val="22"/>
          <w:szCs w:val="22"/>
          <w:lang w:val="fr-BE" w:eastAsia="en-US" w:bidi="ar-SA"/>
        </w:rPr>
        <w:t xml:space="preserve"> </w:t>
      </w:r>
      <w:proofErr w:type="spellStart"/>
      <w:r w:rsidRPr="006E0715">
        <w:rPr>
          <w:rFonts w:eastAsiaTheme="minorHAnsi" w:cs="Arial"/>
          <w:i/>
          <w:sz w:val="22"/>
          <w:szCs w:val="22"/>
          <w:lang w:val="fr-BE" w:eastAsia="en-US" w:bidi="ar-SA"/>
        </w:rPr>
        <w:t>companies</w:t>
      </w:r>
      <w:proofErr w:type="spellEnd"/>
      <w:r w:rsidRPr="006E0715">
        <w:rPr>
          <w:rFonts w:eastAsiaTheme="minorHAnsi" w:cs="Arial"/>
          <w:i/>
          <w:sz w:val="22"/>
          <w:szCs w:val="22"/>
          <w:lang w:val="fr-BE" w:eastAsia="en-US" w:bidi="ar-SA"/>
        </w:rPr>
        <w:t xml:space="preserve"> governed by Belgian law that are subject to the Law of 13 March 2016 on the legal status and supervision of insurance or reinsurance companies (with the exception of the insurance companies referred to in Articles 275, 276 or 294 of the aforementioned Law of 13 March 2016) </w:t>
      </w:r>
    </w:p>
    <w:p w14:paraId="1C95BE4C" w14:textId="77777777" w:rsidR="006E0715" w:rsidRPr="00105E90" w:rsidRDefault="006E0715" w:rsidP="006E0715">
      <w:pPr>
        <w:spacing w:before="240" w:line="240" w:lineRule="atLeast"/>
        <w:jc w:val="both"/>
        <w:rPr>
          <w:rFonts w:cs="Arial"/>
          <w:i/>
          <w:sz w:val="22"/>
          <w:szCs w:val="22"/>
          <w:u w:val="single"/>
          <w:lang w:val="fr-BE"/>
        </w:rPr>
      </w:pPr>
      <w:r w:rsidRPr="00105E90">
        <w:rPr>
          <w:rFonts w:cs="Arial"/>
          <w:i/>
          <w:sz w:val="22"/>
          <w:szCs w:val="22"/>
          <w:u w:val="single"/>
          <w:lang w:val="fr-BE"/>
        </w:rPr>
        <w:t xml:space="preserve">Résumé/Objectif </w:t>
      </w:r>
    </w:p>
    <w:p w14:paraId="2A56D517" w14:textId="77777777" w:rsidR="00DA1BBF" w:rsidRPr="006E0715" w:rsidRDefault="00DA1BBF" w:rsidP="006E0715">
      <w:pPr>
        <w:spacing w:before="240" w:line="240" w:lineRule="atLeast"/>
        <w:jc w:val="both"/>
        <w:rPr>
          <w:rFonts w:cs="Arial"/>
          <w:i/>
          <w:sz w:val="22"/>
          <w:szCs w:val="22"/>
          <w:lang w:val="fr-BE" w:eastAsia="en-US" w:bidi="ar-SA"/>
        </w:rPr>
      </w:pPr>
      <w:r w:rsidRPr="006E0715">
        <w:rPr>
          <w:rFonts w:cs="Arial"/>
          <w:i/>
          <w:sz w:val="22"/>
          <w:szCs w:val="22"/>
          <w:lang w:val="fr-BE" w:eastAsia="en-US" w:bidi="ar-SA"/>
        </w:rPr>
        <w:t>This Communication sets out the conditions and describes the procedures to be followed by insurance or reinsurance companies governed by Belgian law that wish to take up an activity in the territory of another Member State of the European Economic Area or in a third country which is not a Member State of this Area, through a branch or under the freedom to provide services. It also specifies the information to be supplied to the National Bank of Belgium in the event of the establishment or acquisition of a subsidiary abroad.</w:t>
      </w:r>
    </w:p>
    <w:p w14:paraId="1B2CDD16" w14:textId="77777777" w:rsidR="00DA1BBF" w:rsidRPr="006E0715" w:rsidRDefault="00DA1BBF" w:rsidP="006E0715">
      <w:pPr>
        <w:spacing w:before="240" w:line="240" w:lineRule="atLeast"/>
        <w:jc w:val="both"/>
        <w:rPr>
          <w:rFonts w:cs="Arial"/>
          <w:i/>
          <w:sz w:val="22"/>
          <w:szCs w:val="22"/>
          <w:u w:val="single"/>
          <w:lang w:val="fr-BE" w:eastAsia="en-US" w:bidi="ar-SA"/>
        </w:rPr>
      </w:pPr>
      <w:proofErr w:type="spellStart"/>
      <w:r w:rsidRPr="006E0715">
        <w:rPr>
          <w:rFonts w:cs="Arial"/>
          <w:i/>
          <w:sz w:val="22"/>
          <w:szCs w:val="22"/>
          <w:u w:val="single"/>
          <w:lang w:val="fr-BE" w:eastAsia="en-US" w:bidi="ar-SA"/>
        </w:rPr>
        <w:t>Legal</w:t>
      </w:r>
      <w:proofErr w:type="spellEnd"/>
      <w:r w:rsidRPr="006E0715">
        <w:rPr>
          <w:rFonts w:cs="Arial"/>
          <w:i/>
          <w:sz w:val="22"/>
          <w:szCs w:val="22"/>
          <w:u w:val="single"/>
          <w:lang w:val="fr-BE" w:eastAsia="en-US" w:bidi="ar-SA"/>
        </w:rPr>
        <w:t xml:space="preserve"> </w:t>
      </w:r>
      <w:proofErr w:type="spellStart"/>
      <w:r w:rsidRPr="006E0715">
        <w:rPr>
          <w:rFonts w:cs="Arial"/>
          <w:i/>
          <w:sz w:val="22"/>
          <w:szCs w:val="22"/>
          <w:u w:val="single"/>
          <w:lang w:val="fr-BE" w:eastAsia="en-US" w:bidi="ar-SA"/>
        </w:rPr>
        <w:t>references</w:t>
      </w:r>
      <w:proofErr w:type="spellEnd"/>
    </w:p>
    <w:p w14:paraId="232A574E" w14:textId="77777777" w:rsidR="00DA1BBF" w:rsidRPr="006E0715" w:rsidRDefault="00DA1BBF" w:rsidP="006E0715">
      <w:pPr>
        <w:spacing w:before="240" w:line="240" w:lineRule="atLeast"/>
        <w:jc w:val="both"/>
        <w:rPr>
          <w:rFonts w:cs="Arial"/>
          <w:i/>
          <w:sz w:val="22"/>
          <w:szCs w:val="22"/>
          <w:lang w:val="fr-BE" w:eastAsia="en-US" w:bidi="ar-SA"/>
        </w:rPr>
      </w:pPr>
      <w:r w:rsidRPr="006E0715">
        <w:rPr>
          <w:rFonts w:cs="Arial"/>
          <w:i/>
          <w:sz w:val="22"/>
          <w:szCs w:val="22"/>
          <w:lang w:val="fr-BE" w:eastAsia="en-US" w:bidi="ar-SA"/>
        </w:rPr>
        <w:t>Law of 13 March 2016 on the legal status and supervision of insurance or reinsurance companies, Articles 107 to 122.</w:t>
      </w:r>
    </w:p>
    <w:p w14:paraId="5D85F171" w14:textId="77777777" w:rsidR="00DA1BBF" w:rsidRPr="006E0715" w:rsidRDefault="00DA1BBF" w:rsidP="006E0715">
      <w:pPr>
        <w:spacing w:before="240" w:line="240" w:lineRule="atLeast"/>
        <w:jc w:val="both"/>
        <w:rPr>
          <w:rFonts w:cs="Arial"/>
          <w:i/>
          <w:sz w:val="22"/>
          <w:szCs w:val="22"/>
          <w:u w:val="single"/>
          <w:lang w:val="fr-BE" w:eastAsia="en-US" w:bidi="ar-SA"/>
        </w:rPr>
      </w:pPr>
      <w:r w:rsidRPr="006E0715">
        <w:rPr>
          <w:rFonts w:cs="Arial"/>
          <w:i/>
          <w:sz w:val="22"/>
          <w:szCs w:val="22"/>
          <w:u w:val="single"/>
          <w:lang w:val="fr-BE" w:eastAsia="en-US" w:bidi="ar-SA"/>
        </w:rPr>
        <w:t>Structure</w:t>
      </w:r>
    </w:p>
    <w:p w14:paraId="768C6E17" w14:textId="77777777" w:rsidR="00DA1BBF" w:rsidRPr="006E0715" w:rsidRDefault="00DA1BBF" w:rsidP="006E0715">
      <w:pPr>
        <w:pStyle w:val="ListParagraph"/>
        <w:numPr>
          <w:ilvl w:val="0"/>
          <w:numId w:val="43"/>
        </w:numPr>
        <w:tabs>
          <w:tab w:val="clear" w:pos="284"/>
        </w:tabs>
        <w:spacing w:before="120" w:line="240" w:lineRule="atLeast"/>
        <w:contextualSpacing w:val="0"/>
        <w:jc w:val="both"/>
        <w:rPr>
          <w:rFonts w:eastAsiaTheme="minorHAnsi" w:cs="Arial"/>
          <w:i/>
          <w:sz w:val="22"/>
          <w:szCs w:val="22"/>
          <w:lang w:val="fr-BE" w:eastAsia="en-US" w:bidi="ar-SA"/>
        </w:rPr>
      </w:pPr>
      <w:r w:rsidRPr="006E0715">
        <w:rPr>
          <w:rFonts w:eastAsiaTheme="minorHAnsi" w:cs="Arial"/>
          <w:i/>
          <w:sz w:val="22"/>
          <w:szCs w:val="22"/>
          <w:lang w:val="fr-BE" w:eastAsia="en-US" w:bidi="ar-SA"/>
        </w:rPr>
        <w:t>Objective</w:t>
      </w:r>
    </w:p>
    <w:p w14:paraId="046853BB" w14:textId="77777777" w:rsidR="00DA1BBF" w:rsidRPr="006E0715" w:rsidRDefault="00DA1BBF" w:rsidP="006E0715">
      <w:pPr>
        <w:pStyle w:val="ListParagraph"/>
        <w:numPr>
          <w:ilvl w:val="0"/>
          <w:numId w:val="43"/>
        </w:numPr>
        <w:tabs>
          <w:tab w:val="clear" w:pos="284"/>
        </w:tabs>
        <w:spacing w:before="120" w:line="240" w:lineRule="atLeast"/>
        <w:contextualSpacing w:val="0"/>
        <w:jc w:val="both"/>
        <w:rPr>
          <w:rFonts w:eastAsiaTheme="minorHAnsi" w:cs="Arial"/>
          <w:i/>
          <w:sz w:val="22"/>
          <w:szCs w:val="22"/>
          <w:lang w:val="fr-BE" w:eastAsia="en-US" w:bidi="ar-SA"/>
        </w:rPr>
      </w:pPr>
      <w:r w:rsidRPr="006E0715">
        <w:rPr>
          <w:rFonts w:eastAsiaTheme="minorHAnsi" w:cs="Arial"/>
          <w:i/>
          <w:sz w:val="22"/>
          <w:szCs w:val="22"/>
          <w:lang w:val="fr-BE" w:eastAsia="en-US" w:bidi="ar-SA"/>
        </w:rPr>
        <w:t>Definitions</w:t>
      </w:r>
    </w:p>
    <w:p w14:paraId="3160EBA6" w14:textId="77777777" w:rsidR="00DA1BBF" w:rsidRPr="006E0715" w:rsidRDefault="00DA1BBF" w:rsidP="006E0715">
      <w:pPr>
        <w:pStyle w:val="ListParagraph"/>
        <w:numPr>
          <w:ilvl w:val="0"/>
          <w:numId w:val="43"/>
        </w:numPr>
        <w:tabs>
          <w:tab w:val="clear" w:pos="284"/>
        </w:tabs>
        <w:spacing w:before="120" w:line="240" w:lineRule="atLeast"/>
        <w:contextualSpacing w:val="0"/>
        <w:jc w:val="both"/>
        <w:rPr>
          <w:rFonts w:eastAsiaTheme="minorHAnsi" w:cs="Arial"/>
          <w:i/>
          <w:sz w:val="22"/>
          <w:szCs w:val="22"/>
          <w:lang w:val="fr-BE" w:eastAsia="en-US" w:bidi="ar-SA"/>
        </w:rPr>
      </w:pPr>
      <w:r w:rsidRPr="006E0715">
        <w:rPr>
          <w:rFonts w:eastAsiaTheme="minorHAnsi" w:cs="Arial"/>
          <w:i/>
          <w:sz w:val="22"/>
          <w:szCs w:val="22"/>
          <w:lang w:val="fr-BE" w:eastAsia="en-US" w:bidi="ar-SA"/>
        </w:rPr>
        <w:t>Pursuit of an insurance or reinsurance activity in another Member State of the European Economic Area</w:t>
      </w:r>
    </w:p>
    <w:p w14:paraId="6E3D1A6A" w14:textId="3D7EDE3F" w:rsidR="00DA1BBF" w:rsidRPr="006E0715" w:rsidRDefault="00DA1BBF" w:rsidP="006E0715">
      <w:pPr>
        <w:pStyle w:val="ListParagraph"/>
        <w:numPr>
          <w:ilvl w:val="0"/>
          <w:numId w:val="43"/>
        </w:numPr>
        <w:tabs>
          <w:tab w:val="clear" w:pos="284"/>
        </w:tabs>
        <w:spacing w:before="120" w:line="240" w:lineRule="atLeast"/>
        <w:contextualSpacing w:val="0"/>
        <w:jc w:val="both"/>
        <w:rPr>
          <w:rFonts w:eastAsiaTheme="minorHAnsi" w:cs="Arial"/>
          <w:i/>
          <w:sz w:val="22"/>
          <w:szCs w:val="22"/>
          <w:lang w:val="fr-BE" w:eastAsia="en-US" w:bidi="ar-SA"/>
        </w:rPr>
      </w:pPr>
      <w:proofErr w:type="spellStart"/>
      <w:r w:rsidRPr="006E0715">
        <w:rPr>
          <w:rFonts w:eastAsiaTheme="minorHAnsi" w:cs="Arial"/>
          <w:i/>
          <w:sz w:val="22"/>
          <w:szCs w:val="22"/>
          <w:lang w:val="fr-BE" w:eastAsia="en-US" w:bidi="ar-SA"/>
        </w:rPr>
        <w:t>Pursuit</w:t>
      </w:r>
      <w:proofErr w:type="spellEnd"/>
      <w:r w:rsidRPr="006E0715">
        <w:rPr>
          <w:rFonts w:eastAsiaTheme="minorHAnsi" w:cs="Arial"/>
          <w:i/>
          <w:sz w:val="22"/>
          <w:szCs w:val="22"/>
          <w:lang w:val="fr-BE" w:eastAsia="en-US" w:bidi="ar-SA"/>
        </w:rPr>
        <w:t xml:space="preserve"> of an </w:t>
      </w:r>
      <w:proofErr w:type="spellStart"/>
      <w:r w:rsidRPr="006E0715">
        <w:rPr>
          <w:rFonts w:eastAsiaTheme="minorHAnsi" w:cs="Arial"/>
          <w:i/>
          <w:sz w:val="22"/>
          <w:szCs w:val="22"/>
          <w:lang w:val="fr-BE" w:eastAsia="en-US" w:bidi="ar-SA"/>
        </w:rPr>
        <w:t>insurance</w:t>
      </w:r>
      <w:proofErr w:type="spellEnd"/>
      <w:r w:rsidRPr="006E0715">
        <w:rPr>
          <w:rFonts w:eastAsiaTheme="minorHAnsi" w:cs="Arial"/>
          <w:i/>
          <w:sz w:val="22"/>
          <w:szCs w:val="22"/>
          <w:lang w:val="fr-BE" w:eastAsia="en-US" w:bidi="ar-SA"/>
        </w:rPr>
        <w:t xml:space="preserve"> or </w:t>
      </w:r>
      <w:proofErr w:type="spellStart"/>
      <w:r w:rsidRPr="006E0715">
        <w:rPr>
          <w:rFonts w:eastAsiaTheme="minorHAnsi" w:cs="Arial"/>
          <w:i/>
          <w:sz w:val="22"/>
          <w:szCs w:val="22"/>
          <w:lang w:val="fr-BE" w:eastAsia="en-US" w:bidi="ar-SA"/>
        </w:rPr>
        <w:t>reinsura</w:t>
      </w:r>
      <w:r w:rsidR="00C20231">
        <w:rPr>
          <w:rFonts w:eastAsiaTheme="minorHAnsi" w:cs="Arial"/>
          <w:i/>
          <w:sz w:val="22"/>
          <w:szCs w:val="22"/>
          <w:lang w:val="fr-BE" w:eastAsia="en-US" w:bidi="ar-SA"/>
        </w:rPr>
        <w:t>nce</w:t>
      </w:r>
      <w:proofErr w:type="spellEnd"/>
      <w:r w:rsidR="00C20231">
        <w:rPr>
          <w:rFonts w:eastAsiaTheme="minorHAnsi" w:cs="Arial"/>
          <w:i/>
          <w:sz w:val="22"/>
          <w:szCs w:val="22"/>
          <w:lang w:val="fr-BE" w:eastAsia="en-US" w:bidi="ar-SA"/>
        </w:rPr>
        <w:t xml:space="preserve"> </w:t>
      </w:r>
      <w:proofErr w:type="spellStart"/>
      <w:r w:rsidR="00C20231">
        <w:rPr>
          <w:rFonts w:eastAsiaTheme="minorHAnsi" w:cs="Arial"/>
          <w:i/>
          <w:sz w:val="22"/>
          <w:szCs w:val="22"/>
          <w:lang w:val="fr-BE" w:eastAsia="en-US" w:bidi="ar-SA"/>
        </w:rPr>
        <w:t>activity</w:t>
      </w:r>
      <w:proofErr w:type="spellEnd"/>
      <w:r w:rsidR="00C20231">
        <w:rPr>
          <w:rFonts w:eastAsiaTheme="minorHAnsi" w:cs="Arial"/>
          <w:i/>
          <w:sz w:val="22"/>
          <w:szCs w:val="22"/>
          <w:lang w:val="fr-BE" w:eastAsia="en-US" w:bidi="ar-SA"/>
        </w:rPr>
        <w:t xml:space="preserve"> in a </w:t>
      </w:r>
      <w:proofErr w:type="spellStart"/>
      <w:r w:rsidR="00C20231">
        <w:rPr>
          <w:rFonts w:eastAsiaTheme="minorHAnsi" w:cs="Arial"/>
          <w:i/>
          <w:sz w:val="22"/>
          <w:szCs w:val="22"/>
          <w:lang w:val="fr-BE" w:eastAsia="en-US" w:bidi="ar-SA"/>
        </w:rPr>
        <w:t>third</w:t>
      </w:r>
      <w:proofErr w:type="spellEnd"/>
      <w:r w:rsidR="00C20231">
        <w:rPr>
          <w:rFonts w:eastAsiaTheme="minorHAnsi" w:cs="Arial"/>
          <w:i/>
          <w:sz w:val="22"/>
          <w:szCs w:val="22"/>
          <w:lang w:val="fr-BE" w:eastAsia="en-US" w:bidi="ar-SA"/>
        </w:rPr>
        <w:t xml:space="preserve"> country</w:t>
      </w:r>
    </w:p>
    <w:p w14:paraId="392B4FEA" w14:textId="77777777" w:rsidR="00DA1BBF" w:rsidRPr="006E0715" w:rsidRDefault="00DA1BBF" w:rsidP="006E0715">
      <w:pPr>
        <w:pStyle w:val="ListParagraph"/>
        <w:numPr>
          <w:ilvl w:val="0"/>
          <w:numId w:val="43"/>
        </w:numPr>
        <w:tabs>
          <w:tab w:val="clear" w:pos="284"/>
        </w:tabs>
        <w:spacing w:before="120" w:line="240" w:lineRule="atLeast"/>
        <w:contextualSpacing w:val="0"/>
        <w:jc w:val="both"/>
        <w:rPr>
          <w:rFonts w:eastAsiaTheme="minorHAnsi" w:cs="Arial"/>
          <w:i/>
          <w:sz w:val="22"/>
          <w:szCs w:val="22"/>
          <w:lang w:val="fr-BE" w:eastAsia="en-US" w:bidi="ar-SA"/>
        </w:rPr>
      </w:pPr>
      <w:r w:rsidRPr="006E0715">
        <w:rPr>
          <w:rFonts w:eastAsiaTheme="minorHAnsi" w:cs="Arial"/>
          <w:i/>
          <w:sz w:val="22"/>
          <w:szCs w:val="22"/>
          <w:lang w:val="fr-BE" w:eastAsia="en-US" w:bidi="ar-SA"/>
        </w:rPr>
        <w:t>Establishment or acquisition of a subsidiary carrying on an insurance or reinsurance activity abroad</w:t>
      </w:r>
    </w:p>
    <w:p w14:paraId="6696D4A3" w14:textId="57A96C81" w:rsidR="00DA1BBF" w:rsidRDefault="00DA1BBF" w:rsidP="00DA1BBF">
      <w:pPr>
        <w:pStyle w:val="ListParagraph"/>
        <w:numPr>
          <w:ilvl w:val="0"/>
          <w:numId w:val="43"/>
        </w:numPr>
        <w:tabs>
          <w:tab w:val="clear" w:pos="284"/>
        </w:tabs>
        <w:spacing w:before="120" w:line="240" w:lineRule="atLeast"/>
        <w:contextualSpacing w:val="0"/>
        <w:jc w:val="both"/>
      </w:pPr>
      <w:proofErr w:type="spellStart"/>
      <w:r w:rsidRPr="00C20231">
        <w:rPr>
          <w:rFonts w:eastAsiaTheme="minorHAnsi" w:cs="Arial"/>
          <w:i/>
          <w:sz w:val="22"/>
          <w:szCs w:val="22"/>
          <w:lang w:val="fr-BE" w:eastAsia="en-US" w:bidi="ar-SA"/>
        </w:rPr>
        <w:t>Repeal</w:t>
      </w:r>
      <w:proofErr w:type="spellEnd"/>
      <w:r>
        <w:br w:type="page"/>
      </w:r>
    </w:p>
    <w:p w14:paraId="6F828CE9" w14:textId="351E1150" w:rsidR="007E42B1" w:rsidRPr="007E42B1" w:rsidRDefault="007E42B1" w:rsidP="007E42B1">
      <w:pPr>
        <w:spacing w:before="240" w:line="240" w:lineRule="atLeast"/>
        <w:jc w:val="both"/>
        <w:rPr>
          <w:lang w:val="fr-BE" w:eastAsia="en-US" w:bidi="ar-SA"/>
        </w:rPr>
      </w:pPr>
      <w:proofErr w:type="spellStart"/>
      <w:r>
        <w:rPr>
          <w:lang w:val="fr-BE" w:eastAsia="en-US" w:bidi="ar-SA"/>
        </w:rPr>
        <w:lastRenderedPageBreak/>
        <w:t>Dear</w:t>
      </w:r>
      <w:proofErr w:type="spellEnd"/>
      <w:r>
        <w:rPr>
          <w:lang w:val="fr-BE" w:eastAsia="en-US" w:bidi="ar-SA"/>
        </w:rPr>
        <w:t xml:space="preserve"> Sir,</w:t>
      </w:r>
    </w:p>
    <w:p w14:paraId="18A029E0" w14:textId="3C52BBC4" w:rsidR="00DA1BBF" w:rsidRPr="007E42B1" w:rsidRDefault="007E42B1" w:rsidP="007E42B1">
      <w:pPr>
        <w:spacing w:line="240" w:lineRule="atLeast"/>
        <w:jc w:val="both"/>
        <w:rPr>
          <w:lang w:val="fr-BE" w:eastAsia="en-US" w:bidi="ar-SA"/>
        </w:rPr>
      </w:pPr>
      <w:proofErr w:type="spellStart"/>
      <w:r>
        <w:rPr>
          <w:lang w:val="fr-BE" w:eastAsia="en-US" w:bidi="ar-SA"/>
        </w:rPr>
        <w:t>Dir</w:t>
      </w:r>
      <w:proofErr w:type="spellEnd"/>
      <w:r>
        <w:rPr>
          <w:lang w:val="fr-BE" w:eastAsia="en-US" w:bidi="ar-SA"/>
        </w:rPr>
        <w:t xml:space="preserve"> </w:t>
      </w:r>
      <w:proofErr w:type="spellStart"/>
      <w:r w:rsidR="00DA1BBF" w:rsidRPr="007E42B1">
        <w:rPr>
          <w:lang w:val="fr-BE" w:eastAsia="en-US" w:bidi="ar-SA"/>
        </w:rPr>
        <w:t>Madam</w:t>
      </w:r>
      <w:proofErr w:type="spellEnd"/>
      <w:r w:rsidR="00DA1BBF" w:rsidRPr="007E42B1">
        <w:rPr>
          <w:lang w:val="fr-BE" w:eastAsia="en-US" w:bidi="ar-SA"/>
        </w:rPr>
        <w:t>,</w:t>
      </w:r>
    </w:p>
    <w:p w14:paraId="537326DA" w14:textId="77777777" w:rsidR="00DA1BBF" w:rsidRPr="00483D2B" w:rsidRDefault="00DA1BBF" w:rsidP="00483D2B">
      <w:pPr>
        <w:tabs>
          <w:tab w:val="clear" w:pos="284"/>
        </w:tabs>
        <w:spacing w:before="240" w:line="240" w:lineRule="atLeast"/>
        <w:ind w:left="720" w:hanging="360"/>
        <w:jc w:val="both"/>
        <w:rPr>
          <w:b/>
          <w:sz w:val="28"/>
          <w:szCs w:val="28"/>
          <w:u w:val="single"/>
          <w:lang w:val="fr-BE" w:eastAsia="en-US" w:bidi="ar-SA"/>
        </w:rPr>
      </w:pPr>
      <w:r w:rsidRPr="00483D2B">
        <w:rPr>
          <w:b/>
          <w:sz w:val="28"/>
          <w:szCs w:val="28"/>
          <w:u w:val="single"/>
          <w:lang w:val="fr-BE" w:eastAsia="en-US" w:bidi="ar-SA"/>
        </w:rPr>
        <w:t>I.</w:t>
      </w:r>
      <w:r w:rsidRPr="00483D2B">
        <w:rPr>
          <w:b/>
          <w:sz w:val="28"/>
          <w:szCs w:val="28"/>
          <w:u w:val="single"/>
          <w:lang w:val="fr-BE" w:eastAsia="en-US" w:bidi="ar-SA"/>
        </w:rPr>
        <w:tab/>
        <w:t>Objective</w:t>
      </w:r>
    </w:p>
    <w:p w14:paraId="03A6670B" w14:textId="77777777" w:rsidR="00DA1BBF" w:rsidRPr="00483D2B" w:rsidRDefault="00DA1BBF" w:rsidP="00483D2B">
      <w:pPr>
        <w:spacing w:before="240" w:line="240" w:lineRule="atLeast"/>
        <w:jc w:val="both"/>
        <w:rPr>
          <w:lang w:val="fr-BE" w:eastAsia="en-US" w:bidi="ar-SA"/>
        </w:rPr>
      </w:pPr>
      <w:r w:rsidRPr="00483D2B">
        <w:rPr>
          <w:lang w:val="fr-BE" w:eastAsia="en-US" w:bidi="ar-SA"/>
        </w:rPr>
        <w:t>This Communication aims to recall the obligations of insurance and reinsurance companies governed by Belgian law that wish to take up an activity in another Member State of the European Economic Area or in a third country, and to specify the procedures applicable in such cases. It also specifies the information to be supplied to the National Bank of Belgium (hereinafter 'the Bank') in case of establishment or acquisition of a subsidiary abroad.</w:t>
      </w:r>
    </w:p>
    <w:p w14:paraId="21CBCF6A" w14:textId="77777777" w:rsidR="00DA1BBF" w:rsidRPr="00483D2B" w:rsidRDefault="00DA1BBF" w:rsidP="00483D2B">
      <w:pPr>
        <w:tabs>
          <w:tab w:val="clear" w:pos="284"/>
        </w:tabs>
        <w:spacing w:before="240" w:line="240" w:lineRule="atLeast"/>
        <w:ind w:left="720" w:hanging="360"/>
        <w:jc w:val="both"/>
        <w:rPr>
          <w:b/>
          <w:sz w:val="28"/>
          <w:szCs w:val="28"/>
          <w:u w:val="single"/>
          <w:lang w:val="fr-BE" w:eastAsia="en-US" w:bidi="ar-SA"/>
        </w:rPr>
      </w:pPr>
      <w:r w:rsidRPr="00483D2B">
        <w:rPr>
          <w:b/>
          <w:sz w:val="28"/>
          <w:szCs w:val="28"/>
          <w:u w:val="single"/>
          <w:lang w:val="fr-BE" w:eastAsia="en-US" w:bidi="ar-SA"/>
        </w:rPr>
        <w:t>II.</w:t>
      </w:r>
      <w:r w:rsidRPr="00483D2B">
        <w:rPr>
          <w:b/>
          <w:sz w:val="28"/>
          <w:szCs w:val="28"/>
          <w:u w:val="single"/>
          <w:lang w:val="fr-BE" w:eastAsia="en-US" w:bidi="ar-SA"/>
        </w:rPr>
        <w:tab/>
        <w:t>Definitions</w:t>
      </w:r>
    </w:p>
    <w:p w14:paraId="22E0D4C0" w14:textId="77777777" w:rsidR="00DA1BBF" w:rsidRPr="00483D2B" w:rsidRDefault="00DA1BBF" w:rsidP="00483D2B">
      <w:pPr>
        <w:pStyle w:val="ListParagraph"/>
        <w:numPr>
          <w:ilvl w:val="0"/>
          <w:numId w:val="48"/>
        </w:numPr>
        <w:tabs>
          <w:tab w:val="clear" w:pos="284"/>
        </w:tabs>
        <w:spacing w:before="240" w:line="240" w:lineRule="atLeast"/>
        <w:contextualSpacing w:val="0"/>
        <w:jc w:val="both"/>
        <w:rPr>
          <w:rFonts w:eastAsiaTheme="minorHAnsi" w:cstheme="minorBidi"/>
          <w:lang w:val="fr-BE" w:eastAsia="en-US" w:bidi="ar-SA"/>
        </w:rPr>
      </w:pPr>
      <w:r w:rsidRPr="00483D2B">
        <w:rPr>
          <w:rFonts w:eastAsiaTheme="minorHAnsi" w:cstheme="minorBidi"/>
          <w:lang w:val="fr-BE" w:eastAsia="en-US" w:bidi="ar-SA"/>
        </w:rPr>
        <w:t>The Directive: Directive 2009/138/EC of the European Parliament and of the Council of 25 November 2009 on the taking-up and pursuit of the business of insurance and reinsurance (Solvency II);</w:t>
      </w:r>
    </w:p>
    <w:p w14:paraId="264E88EB" w14:textId="77777777" w:rsidR="00DA1BBF" w:rsidRPr="00483D2B" w:rsidRDefault="00DA1BBF" w:rsidP="00483D2B">
      <w:pPr>
        <w:pStyle w:val="ListParagraph"/>
        <w:numPr>
          <w:ilvl w:val="0"/>
          <w:numId w:val="48"/>
        </w:numPr>
        <w:tabs>
          <w:tab w:val="clear" w:pos="284"/>
        </w:tabs>
        <w:spacing w:before="240" w:line="240" w:lineRule="atLeast"/>
        <w:contextualSpacing w:val="0"/>
        <w:jc w:val="both"/>
        <w:rPr>
          <w:rFonts w:eastAsiaTheme="minorHAnsi" w:cstheme="minorBidi"/>
          <w:lang w:val="fr-BE" w:eastAsia="en-US" w:bidi="ar-SA"/>
        </w:rPr>
      </w:pPr>
      <w:r w:rsidRPr="00483D2B">
        <w:rPr>
          <w:rFonts w:eastAsiaTheme="minorHAnsi" w:cstheme="minorBidi"/>
          <w:lang w:val="fr-BE" w:eastAsia="en-US" w:bidi="ar-SA"/>
        </w:rPr>
        <w:t>The Law: the Law of 13 March 2016 on the legal status and supervision of insurance or reinsurance companies;</w:t>
      </w:r>
    </w:p>
    <w:p w14:paraId="2DE75792" w14:textId="77777777" w:rsidR="00DA1BBF" w:rsidRPr="00483D2B" w:rsidRDefault="00DA1BBF" w:rsidP="00483D2B">
      <w:pPr>
        <w:pStyle w:val="ListParagraph"/>
        <w:numPr>
          <w:ilvl w:val="0"/>
          <w:numId w:val="48"/>
        </w:numPr>
        <w:tabs>
          <w:tab w:val="clear" w:pos="284"/>
        </w:tabs>
        <w:spacing w:before="240" w:line="240" w:lineRule="atLeast"/>
        <w:contextualSpacing w:val="0"/>
        <w:jc w:val="both"/>
        <w:rPr>
          <w:rFonts w:eastAsiaTheme="minorHAnsi" w:cstheme="minorBidi"/>
          <w:lang w:val="fr-BE" w:eastAsia="en-US" w:bidi="ar-SA"/>
        </w:rPr>
      </w:pPr>
      <w:r w:rsidRPr="00483D2B">
        <w:rPr>
          <w:rFonts w:eastAsiaTheme="minorHAnsi" w:cstheme="minorBidi"/>
          <w:lang w:val="fr-BE" w:eastAsia="en-US" w:bidi="ar-SA"/>
        </w:rPr>
        <w:t>Member State: a State that is a party to the European Economic Area Agreement (Art. 15, 27°of the Law);</w:t>
      </w:r>
    </w:p>
    <w:p w14:paraId="1F17385C" w14:textId="77777777" w:rsidR="00DA1BBF" w:rsidRPr="00483D2B" w:rsidRDefault="00DA1BBF" w:rsidP="00483D2B">
      <w:pPr>
        <w:pStyle w:val="ListParagraph"/>
        <w:numPr>
          <w:ilvl w:val="0"/>
          <w:numId w:val="48"/>
        </w:numPr>
        <w:tabs>
          <w:tab w:val="clear" w:pos="284"/>
        </w:tabs>
        <w:spacing w:before="240" w:line="240" w:lineRule="atLeast"/>
        <w:contextualSpacing w:val="0"/>
        <w:jc w:val="both"/>
        <w:rPr>
          <w:rFonts w:eastAsiaTheme="minorHAnsi" w:cstheme="minorBidi"/>
          <w:lang w:val="fr-BE" w:eastAsia="en-US" w:bidi="ar-SA"/>
        </w:rPr>
      </w:pPr>
      <w:r w:rsidRPr="00483D2B">
        <w:rPr>
          <w:rFonts w:eastAsiaTheme="minorHAnsi" w:cstheme="minorBidi"/>
          <w:lang w:val="fr-BE" w:eastAsia="en-US" w:bidi="ar-SA"/>
        </w:rPr>
        <w:t>Third country: a State that is not a party to the European Economic Area Agreement (Art. 15, 28°of the Law);</w:t>
      </w:r>
    </w:p>
    <w:p w14:paraId="58D9DD5D" w14:textId="77777777" w:rsidR="00DA1BBF" w:rsidRPr="00483D2B" w:rsidRDefault="00DA1BBF" w:rsidP="00483D2B">
      <w:pPr>
        <w:pStyle w:val="ListParagraph"/>
        <w:numPr>
          <w:ilvl w:val="0"/>
          <w:numId w:val="48"/>
        </w:numPr>
        <w:tabs>
          <w:tab w:val="clear" w:pos="284"/>
        </w:tabs>
        <w:spacing w:before="240" w:line="240" w:lineRule="atLeast"/>
        <w:contextualSpacing w:val="0"/>
        <w:jc w:val="both"/>
        <w:rPr>
          <w:rFonts w:eastAsiaTheme="minorHAnsi" w:cstheme="minorBidi"/>
          <w:lang w:val="fr-BE" w:eastAsia="en-US" w:bidi="ar-SA"/>
        </w:rPr>
      </w:pPr>
      <w:r w:rsidRPr="00483D2B">
        <w:rPr>
          <w:rFonts w:eastAsiaTheme="minorHAnsi" w:cstheme="minorBidi"/>
          <w:lang w:val="fr-BE" w:eastAsia="en-US" w:bidi="ar-SA"/>
        </w:rPr>
        <w:t>Branch: an agency or branch of an insurance or reinsurance company established on the territory of a Member State other than the home Member State or on the territory of a third country (Art. 15, 33° of the Law);</w:t>
      </w:r>
    </w:p>
    <w:p w14:paraId="390E1E9D" w14:textId="77777777" w:rsidR="00DA1BBF" w:rsidRPr="00483D2B" w:rsidRDefault="00DA1BBF" w:rsidP="00483D2B">
      <w:pPr>
        <w:pStyle w:val="ListParagraph"/>
        <w:numPr>
          <w:ilvl w:val="0"/>
          <w:numId w:val="48"/>
        </w:numPr>
        <w:tabs>
          <w:tab w:val="clear" w:pos="284"/>
        </w:tabs>
        <w:spacing w:before="240" w:line="240" w:lineRule="atLeast"/>
        <w:contextualSpacing w:val="0"/>
        <w:jc w:val="both"/>
        <w:rPr>
          <w:rFonts w:eastAsiaTheme="minorHAnsi" w:cstheme="minorBidi"/>
          <w:lang w:val="fr-BE" w:eastAsia="en-US" w:bidi="ar-SA"/>
        </w:rPr>
      </w:pPr>
      <w:r w:rsidRPr="00483D2B">
        <w:rPr>
          <w:rFonts w:eastAsiaTheme="minorHAnsi" w:cstheme="minorBidi"/>
          <w:lang w:val="fr-BE" w:eastAsia="en-US" w:bidi="ar-SA"/>
        </w:rPr>
        <w:t xml:space="preserve">Freedom to provide services: the activity by way of which an insurance or reinsurance company covers risks situated in another Member State or in a third country, from its registered office or from a branch situated in a Member State or in a third country (Art.15, 35° of the Law); </w:t>
      </w:r>
    </w:p>
    <w:p w14:paraId="6DB9411A" w14:textId="77777777" w:rsidR="00DA1BBF" w:rsidRPr="00483D2B" w:rsidRDefault="00DA1BBF" w:rsidP="00483D2B">
      <w:pPr>
        <w:tabs>
          <w:tab w:val="clear" w:pos="284"/>
        </w:tabs>
        <w:spacing w:before="240" w:line="240" w:lineRule="atLeast"/>
        <w:ind w:left="720" w:hanging="360"/>
        <w:jc w:val="both"/>
        <w:rPr>
          <w:b/>
          <w:sz w:val="28"/>
          <w:szCs w:val="28"/>
          <w:u w:val="single"/>
          <w:lang w:val="fr-BE" w:eastAsia="en-US" w:bidi="ar-SA"/>
        </w:rPr>
      </w:pPr>
      <w:r w:rsidRPr="00483D2B">
        <w:rPr>
          <w:b/>
          <w:sz w:val="28"/>
          <w:szCs w:val="28"/>
          <w:u w:val="single"/>
          <w:lang w:val="fr-BE" w:eastAsia="en-US" w:bidi="ar-SA"/>
        </w:rPr>
        <w:t>III.  Pursuit of an insurance or reinsurance activity in another Member State of the European Economic Area</w:t>
      </w:r>
    </w:p>
    <w:p w14:paraId="77037B00" w14:textId="77777777" w:rsidR="00DA1BBF" w:rsidRPr="00483D2B" w:rsidRDefault="00DA1BBF" w:rsidP="00483D2B">
      <w:pPr>
        <w:spacing w:before="240" w:line="240" w:lineRule="atLeast"/>
        <w:jc w:val="both"/>
        <w:rPr>
          <w:b/>
          <w:u w:val="single"/>
          <w:lang w:val="fr-BE" w:eastAsia="en-US" w:bidi="ar-SA"/>
        </w:rPr>
      </w:pPr>
      <w:r w:rsidRPr="00483D2B">
        <w:rPr>
          <w:b/>
          <w:u w:val="single"/>
          <w:lang w:val="fr-BE" w:eastAsia="en-US" w:bidi="ar-SA"/>
        </w:rPr>
        <w:t>3.1. Introduction</w:t>
      </w:r>
    </w:p>
    <w:p w14:paraId="5B92B93E" w14:textId="77777777" w:rsidR="00DA1BBF" w:rsidRPr="00483D2B" w:rsidRDefault="00DA1BBF" w:rsidP="00483D2B">
      <w:pPr>
        <w:spacing w:before="240" w:line="240" w:lineRule="atLeast"/>
        <w:jc w:val="both"/>
        <w:rPr>
          <w:lang w:val="fr-BE" w:eastAsia="en-US" w:bidi="ar-SA"/>
        </w:rPr>
      </w:pPr>
      <w:r w:rsidRPr="00483D2B">
        <w:rPr>
          <w:lang w:val="fr-BE" w:eastAsia="en-US" w:bidi="ar-SA"/>
        </w:rPr>
        <w:t xml:space="preserve">An insurance or reinsurance company governed by Belgian law may exercise the insurance or reinsurance activities for which it has been authorised in Belgium, in another Member State of the European Economic Area (hereinafter 'EEE') in the following two manners: </w:t>
      </w:r>
    </w:p>
    <w:p w14:paraId="26D95E4F" w14:textId="77777777" w:rsidR="00DA1BBF" w:rsidRPr="00483D2B" w:rsidRDefault="00DA1BBF" w:rsidP="00483D2B">
      <w:pPr>
        <w:pStyle w:val="ListParagraph"/>
        <w:numPr>
          <w:ilvl w:val="0"/>
          <w:numId w:val="45"/>
        </w:numPr>
        <w:tabs>
          <w:tab w:val="clear" w:pos="284"/>
        </w:tabs>
        <w:spacing w:before="240" w:line="240" w:lineRule="atLeast"/>
        <w:contextualSpacing w:val="0"/>
        <w:jc w:val="both"/>
        <w:rPr>
          <w:rFonts w:eastAsiaTheme="minorHAnsi" w:cstheme="minorBidi"/>
          <w:lang w:val="fr-BE" w:eastAsia="en-US" w:bidi="ar-SA"/>
        </w:rPr>
      </w:pPr>
      <w:r w:rsidRPr="00483D2B">
        <w:rPr>
          <w:rFonts w:eastAsiaTheme="minorHAnsi" w:cstheme="minorBidi"/>
          <w:lang w:val="fr-BE" w:eastAsia="en-US" w:bidi="ar-SA"/>
        </w:rPr>
        <w:t>the opening of a branch, i.e. a permanent establishment, in the territory of another Member State;</w:t>
      </w:r>
    </w:p>
    <w:p w14:paraId="7C03CDEB" w14:textId="77777777" w:rsidR="00DA1BBF" w:rsidRPr="00483D2B" w:rsidRDefault="00DA1BBF" w:rsidP="00483D2B">
      <w:pPr>
        <w:pStyle w:val="ListParagraph"/>
        <w:numPr>
          <w:ilvl w:val="0"/>
          <w:numId w:val="45"/>
        </w:numPr>
        <w:tabs>
          <w:tab w:val="clear" w:pos="284"/>
        </w:tabs>
        <w:spacing w:before="240" w:line="240" w:lineRule="atLeast"/>
        <w:contextualSpacing w:val="0"/>
        <w:jc w:val="both"/>
        <w:rPr>
          <w:rFonts w:eastAsiaTheme="minorHAnsi" w:cstheme="minorBidi"/>
          <w:lang w:val="fr-BE" w:eastAsia="en-US" w:bidi="ar-SA"/>
        </w:rPr>
      </w:pPr>
      <w:r w:rsidRPr="00483D2B">
        <w:rPr>
          <w:rFonts w:eastAsiaTheme="minorHAnsi" w:cstheme="minorBidi"/>
          <w:lang w:val="fr-BE" w:eastAsia="en-US" w:bidi="ar-SA"/>
        </w:rPr>
        <w:t>freedom to provide services, i.e. the activity by way of which an insurance or reinsurance company covers risks situated in another Member State, from its registered office or from a branch situated in a Member State;</w:t>
      </w:r>
    </w:p>
    <w:p w14:paraId="38FFACAE" w14:textId="3411A2C6" w:rsidR="00483D2B" w:rsidRDefault="00DA1BBF" w:rsidP="00483D2B">
      <w:pPr>
        <w:spacing w:before="240" w:line="240" w:lineRule="atLeast"/>
        <w:jc w:val="both"/>
        <w:rPr>
          <w:lang w:val="fr-BE" w:eastAsia="en-US" w:bidi="ar-SA"/>
        </w:rPr>
      </w:pPr>
      <w:r w:rsidRPr="00483D2B">
        <w:rPr>
          <w:lang w:val="fr-BE" w:eastAsia="en-US" w:bidi="ar-SA"/>
        </w:rPr>
        <w:t xml:space="preserve">If an insurance or reinsurance company wishes to take up in the territory of another Member State an activity for which it has not been authorised in Belgium, it must apply for such authorisation at the latest at the moment of submission of the notification referred to in 1.3 or 1.4 below. In this respect, reference is made to Communication </w:t>
      </w:r>
      <w:r w:rsidR="000D3FC7">
        <w:rPr>
          <w:lang w:val="fr-BE" w:eastAsia="en-US" w:bidi="ar-SA"/>
        </w:rPr>
        <w:t>NBB</w:t>
      </w:r>
      <w:r w:rsidRPr="00483D2B">
        <w:rPr>
          <w:lang w:val="fr-BE" w:eastAsia="en-US" w:bidi="ar-SA"/>
        </w:rPr>
        <w:t>_2017_</w:t>
      </w:r>
      <w:r w:rsidR="003C7F05">
        <w:rPr>
          <w:lang w:val="fr-BE" w:eastAsia="en-US" w:bidi="ar-SA"/>
        </w:rPr>
        <w:t>17</w:t>
      </w:r>
      <w:r w:rsidRPr="00483D2B">
        <w:rPr>
          <w:lang w:val="fr-BE" w:eastAsia="en-US" w:bidi="ar-SA"/>
        </w:rPr>
        <w:t xml:space="preserve"> on the </w:t>
      </w:r>
      <w:proofErr w:type="spellStart"/>
      <w:r w:rsidRPr="00483D2B">
        <w:rPr>
          <w:lang w:val="fr-BE" w:eastAsia="en-US" w:bidi="ar-SA"/>
        </w:rPr>
        <w:t>procedures</w:t>
      </w:r>
      <w:proofErr w:type="spellEnd"/>
      <w:r w:rsidRPr="00483D2B">
        <w:rPr>
          <w:lang w:val="fr-BE" w:eastAsia="en-US" w:bidi="ar-SA"/>
        </w:rPr>
        <w:t xml:space="preserve"> to </w:t>
      </w:r>
      <w:proofErr w:type="spellStart"/>
      <w:r w:rsidRPr="00483D2B">
        <w:rPr>
          <w:lang w:val="fr-BE" w:eastAsia="en-US" w:bidi="ar-SA"/>
        </w:rPr>
        <w:t>obtain</w:t>
      </w:r>
      <w:proofErr w:type="spellEnd"/>
      <w:r w:rsidRPr="00483D2B">
        <w:rPr>
          <w:lang w:val="fr-BE" w:eastAsia="en-US" w:bidi="ar-SA"/>
        </w:rPr>
        <w:t xml:space="preserve"> an authorisation as an insurance or reinsurance company governed by Belgian law and to obtain an extension of an authorisation, and to the </w:t>
      </w:r>
      <w:proofErr w:type="spellStart"/>
      <w:r w:rsidRPr="00483D2B">
        <w:rPr>
          <w:lang w:val="fr-BE" w:eastAsia="en-US" w:bidi="ar-SA"/>
        </w:rPr>
        <w:t>authorisation</w:t>
      </w:r>
      <w:proofErr w:type="spellEnd"/>
      <w:r w:rsidRPr="00483D2B">
        <w:rPr>
          <w:lang w:val="fr-BE" w:eastAsia="en-US" w:bidi="ar-SA"/>
        </w:rPr>
        <w:t xml:space="preserve"> </w:t>
      </w:r>
      <w:proofErr w:type="spellStart"/>
      <w:r w:rsidRPr="00483D2B">
        <w:rPr>
          <w:lang w:val="fr-BE" w:eastAsia="en-US" w:bidi="ar-SA"/>
        </w:rPr>
        <w:t>memorandum</w:t>
      </w:r>
      <w:proofErr w:type="spellEnd"/>
      <w:r w:rsidRPr="00483D2B">
        <w:rPr>
          <w:lang w:val="fr-BE" w:eastAsia="en-US" w:bidi="ar-SA"/>
        </w:rPr>
        <w:t>.</w:t>
      </w:r>
    </w:p>
    <w:p w14:paraId="3056F1A5" w14:textId="77777777" w:rsidR="00483D2B" w:rsidRDefault="00483D2B">
      <w:pPr>
        <w:tabs>
          <w:tab w:val="clear" w:pos="284"/>
        </w:tabs>
        <w:spacing w:line="240" w:lineRule="auto"/>
        <w:rPr>
          <w:lang w:val="fr-BE" w:eastAsia="en-US" w:bidi="ar-SA"/>
        </w:rPr>
      </w:pPr>
      <w:r>
        <w:rPr>
          <w:lang w:val="fr-BE" w:eastAsia="en-US" w:bidi="ar-SA"/>
        </w:rPr>
        <w:br w:type="page"/>
      </w:r>
    </w:p>
    <w:p w14:paraId="43904FE0" w14:textId="77777777" w:rsidR="00DA1BBF" w:rsidRPr="00483D2B" w:rsidRDefault="00DA1BBF" w:rsidP="00483D2B">
      <w:pPr>
        <w:spacing w:before="240" w:line="240" w:lineRule="atLeast"/>
        <w:jc w:val="both"/>
        <w:rPr>
          <w:b/>
          <w:u w:val="single"/>
          <w:lang w:val="fr-BE" w:eastAsia="en-US" w:bidi="ar-SA"/>
        </w:rPr>
      </w:pPr>
      <w:r w:rsidRPr="00483D2B">
        <w:rPr>
          <w:b/>
          <w:u w:val="single"/>
          <w:lang w:val="fr-BE" w:eastAsia="en-US" w:bidi="ar-SA"/>
        </w:rPr>
        <w:lastRenderedPageBreak/>
        <w:t xml:space="preserve">3.2. Legal references </w:t>
      </w:r>
    </w:p>
    <w:p w14:paraId="125514DA" w14:textId="77777777" w:rsidR="00DA1BBF" w:rsidRPr="00483D2B" w:rsidRDefault="00DA1BBF" w:rsidP="00483D2B">
      <w:pPr>
        <w:spacing w:before="240" w:line="240" w:lineRule="atLeast"/>
        <w:jc w:val="both"/>
        <w:rPr>
          <w:lang w:val="fr-BE" w:eastAsia="en-US" w:bidi="ar-SA"/>
        </w:rPr>
      </w:pPr>
      <w:r w:rsidRPr="00483D2B">
        <w:rPr>
          <w:lang w:val="fr-BE" w:eastAsia="en-US" w:bidi="ar-SA"/>
        </w:rPr>
        <w:t>The legislation applicable to the notification of the opening of a branch and the pursuit of activities under the freedom to provide services by an insurance or reinsurance company governed by Belgian law is the following:</w:t>
      </w:r>
    </w:p>
    <w:p w14:paraId="650DA5D1" w14:textId="77777777" w:rsidR="00DA1BBF" w:rsidRPr="00483D2B" w:rsidRDefault="00DA1BBF" w:rsidP="00483D2B">
      <w:pPr>
        <w:pStyle w:val="ListParagraph"/>
        <w:numPr>
          <w:ilvl w:val="0"/>
          <w:numId w:val="44"/>
        </w:numPr>
        <w:tabs>
          <w:tab w:val="clear" w:pos="284"/>
        </w:tabs>
        <w:spacing w:before="240" w:line="240" w:lineRule="atLeast"/>
        <w:contextualSpacing w:val="0"/>
        <w:jc w:val="both"/>
        <w:rPr>
          <w:rFonts w:eastAsiaTheme="minorHAnsi" w:cstheme="minorBidi"/>
          <w:lang w:val="fr-BE" w:eastAsia="en-US" w:bidi="ar-SA"/>
        </w:rPr>
      </w:pPr>
      <w:r w:rsidRPr="00483D2B">
        <w:rPr>
          <w:rFonts w:eastAsiaTheme="minorHAnsi" w:cstheme="minorBidi"/>
          <w:lang w:val="fr-BE" w:eastAsia="en-US" w:bidi="ar-SA"/>
        </w:rPr>
        <w:t>Opening of a branch: Articles 108 to 114 and 122 of the Law; and</w:t>
      </w:r>
    </w:p>
    <w:p w14:paraId="579F2CB9" w14:textId="77777777" w:rsidR="00DA1BBF" w:rsidRPr="00483D2B" w:rsidRDefault="00DA1BBF" w:rsidP="00483D2B">
      <w:pPr>
        <w:pStyle w:val="ListParagraph"/>
        <w:numPr>
          <w:ilvl w:val="0"/>
          <w:numId w:val="44"/>
        </w:numPr>
        <w:tabs>
          <w:tab w:val="clear" w:pos="284"/>
        </w:tabs>
        <w:spacing w:before="240" w:line="240" w:lineRule="atLeast"/>
        <w:contextualSpacing w:val="0"/>
        <w:jc w:val="both"/>
        <w:rPr>
          <w:rFonts w:eastAsiaTheme="minorHAnsi" w:cstheme="minorBidi"/>
          <w:lang w:val="fr-BE" w:eastAsia="en-US" w:bidi="ar-SA"/>
        </w:rPr>
      </w:pPr>
      <w:r w:rsidRPr="00483D2B">
        <w:rPr>
          <w:rFonts w:eastAsiaTheme="minorHAnsi" w:cstheme="minorBidi"/>
          <w:lang w:val="fr-BE" w:eastAsia="en-US" w:bidi="ar-SA"/>
        </w:rPr>
        <w:t xml:space="preserve">Freedom to provide services: Articles 115 to 122 of the Law. </w:t>
      </w:r>
    </w:p>
    <w:p w14:paraId="1083A155" w14:textId="77777777" w:rsidR="00DA1BBF" w:rsidRPr="00483D2B" w:rsidRDefault="00DA1BBF" w:rsidP="00483D2B">
      <w:pPr>
        <w:spacing w:before="240" w:line="240" w:lineRule="atLeast"/>
        <w:jc w:val="both"/>
        <w:rPr>
          <w:b/>
          <w:u w:val="single"/>
          <w:lang w:val="fr-BE" w:eastAsia="en-US" w:bidi="ar-SA"/>
        </w:rPr>
      </w:pPr>
      <w:r w:rsidRPr="00483D2B">
        <w:rPr>
          <w:b/>
          <w:u w:val="single"/>
          <w:lang w:val="fr-BE" w:eastAsia="en-US" w:bidi="ar-SA"/>
        </w:rPr>
        <w:t xml:space="preserve">3.3. Opening of a </w:t>
      </w:r>
      <w:r w:rsidRPr="00384BA8">
        <w:rPr>
          <w:rFonts w:eastAsiaTheme="minorHAnsi" w:cstheme="minorBidi"/>
          <w:b/>
          <w:color w:val="4F81BD" w:themeColor="accent1"/>
          <w:sz w:val="22"/>
          <w:szCs w:val="22"/>
          <w:u w:val="single"/>
        </w:rPr>
        <w:t>branch</w:t>
      </w:r>
      <w:r w:rsidRPr="00483D2B">
        <w:rPr>
          <w:b/>
          <w:u w:val="single"/>
          <w:lang w:val="fr-BE" w:eastAsia="en-US" w:bidi="ar-SA"/>
        </w:rPr>
        <w:t xml:space="preserve"> in another Member State </w:t>
      </w:r>
    </w:p>
    <w:p w14:paraId="24D0F17A" w14:textId="77777777" w:rsidR="00DA1BBF" w:rsidRPr="00483D2B" w:rsidRDefault="00DA1BBF" w:rsidP="00483D2B">
      <w:pPr>
        <w:spacing w:before="240" w:line="240" w:lineRule="atLeast"/>
        <w:jc w:val="both"/>
        <w:rPr>
          <w:u w:val="dotted"/>
          <w:lang w:val="fr-BE" w:eastAsia="en-US" w:bidi="ar-SA"/>
        </w:rPr>
      </w:pPr>
      <w:r w:rsidRPr="00483D2B">
        <w:rPr>
          <w:u w:val="dotted"/>
          <w:lang w:val="fr-BE" w:eastAsia="en-US" w:bidi="ar-SA"/>
        </w:rPr>
        <w:t xml:space="preserve">3.3.1 Opening of a branch by an </w:t>
      </w:r>
      <w:r w:rsidRPr="00384BA8">
        <w:rPr>
          <w:rFonts w:eastAsiaTheme="minorHAnsi" w:cstheme="minorBidi"/>
          <w:color w:val="00B050"/>
          <w:sz w:val="22"/>
          <w:szCs w:val="22"/>
          <w:u w:val="dotted"/>
        </w:rPr>
        <w:t>insurance company</w:t>
      </w:r>
    </w:p>
    <w:p w14:paraId="7ECCA69D" w14:textId="77777777" w:rsidR="00DA1BBF" w:rsidRPr="00483D2B" w:rsidRDefault="00DA1BBF" w:rsidP="00483D2B">
      <w:pPr>
        <w:keepNext/>
        <w:spacing w:before="240" w:line="240" w:lineRule="atLeast"/>
        <w:ind w:left="567" w:hanging="567"/>
        <w:jc w:val="both"/>
        <w:rPr>
          <w:i/>
          <w:lang w:val="fr-BE" w:eastAsia="en-US" w:bidi="ar-SA"/>
        </w:rPr>
      </w:pPr>
      <w:r w:rsidRPr="00483D2B">
        <w:rPr>
          <w:i/>
          <w:lang w:val="fr-BE" w:eastAsia="en-US" w:bidi="ar-SA"/>
        </w:rPr>
        <w:t>a)</w:t>
      </w:r>
      <w:r w:rsidRPr="00483D2B">
        <w:rPr>
          <w:i/>
          <w:lang w:val="fr-BE" w:eastAsia="en-US" w:bidi="ar-SA"/>
        </w:rPr>
        <w:tab/>
        <w:t>Prior notification and dossier</w:t>
      </w:r>
    </w:p>
    <w:p w14:paraId="0C20D850" w14:textId="77777777" w:rsidR="00DA1BBF" w:rsidRPr="00483D2B" w:rsidRDefault="00DA1BBF" w:rsidP="00483D2B">
      <w:pPr>
        <w:spacing w:before="240" w:line="240" w:lineRule="atLeast"/>
        <w:jc w:val="both"/>
        <w:rPr>
          <w:lang w:val="fr-BE" w:eastAsia="en-US" w:bidi="ar-SA"/>
        </w:rPr>
      </w:pPr>
      <w:r w:rsidRPr="00483D2B">
        <w:rPr>
          <w:lang w:val="fr-BE" w:eastAsia="en-US" w:bidi="ar-SA"/>
        </w:rPr>
        <w:t xml:space="preserve">An insurance company governed by Belgian law that wishes to establish a branch on the territory of another Member State, must previously notify the Bank thereof (Article 108, § 1, first paragraph of the Law). </w:t>
      </w:r>
    </w:p>
    <w:p w14:paraId="63173187" w14:textId="77777777" w:rsidR="00DA1BBF" w:rsidRPr="00483D2B" w:rsidRDefault="00DA1BBF" w:rsidP="00483D2B">
      <w:pPr>
        <w:spacing w:before="240" w:line="240" w:lineRule="atLeast"/>
        <w:jc w:val="both"/>
        <w:rPr>
          <w:lang w:val="fr-BE" w:eastAsia="en-US" w:bidi="ar-SA"/>
        </w:rPr>
      </w:pPr>
      <w:r w:rsidRPr="00483D2B">
        <w:rPr>
          <w:lang w:val="fr-BE" w:eastAsia="en-US" w:bidi="ar-SA"/>
        </w:rPr>
        <w:t>For this purpose, it uses the form in Annex 1, which contains the information the company must provide to the Bank in support of its notification (Article 108, § 1, second paragraph), and the information concerning the authorised agent of the branch (Article 108, § 2). The review of the dossier submitted may give rise to requests for clarification or additional information from the Bank.</w:t>
      </w:r>
    </w:p>
    <w:p w14:paraId="0BD3F84A" w14:textId="77777777" w:rsidR="00DA1BBF" w:rsidRPr="00483D2B" w:rsidRDefault="00DA1BBF" w:rsidP="00483D2B">
      <w:pPr>
        <w:spacing w:before="240" w:line="240" w:lineRule="atLeast"/>
        <w:jc w:val="both"/>
        <w:rPr>
          <w:lang w:val="fr-BE" w:eastAsia="en-US" w:bidi="ar-SA"/>
        </w:rPr>
      </w:pPr>
      <w:r w:rsidRPr="00483D2B">
        <w:rPr>
          <w:lang w:val="fr-BE" w:eastAsia="en-US" w:bidi="ar-SA"/>
        </w:rPr>
        <w:t xml:space="preserve">The completed form must be sent to the Bank in one copy, by post and electronically, and must be submitted in one of the official languages of Belgium (Dutch, French or German, depending on the company's place of business), with an English translation. </w:t>
      </w:r>
    </w:p>
    <w:p w14:paraId="5DE8E61A" w14:textId="77777777" w:rsidR="00DA1BBF" w:rsidRPr="00C96BF9" w:rsidRDefault="00DA1BBF" w:rsidP="00483D2B">
      <w:pPr>
        <w:keepNext/>
        <w:spacing w:before="240" w:line="240" w:lineRule="atLeast"/>
        <w:ind w:left="567" w:hanging="567"/>
        <w:jc w:val="both"/>
        <w:rPr>
          <w:i/>
        </w:rPr>
      </w:pPr>
      <w:r>
        <w:rPr>
          <w:i/>
        </w:rPr>
        <w:t>b)</w:t>
      </w:r>
      <w:r>
        <w:tab/>
      </w:r>
      <w:r w:rsidRPr="00483D2B">
        <w:rPr>
          <w:i/>
          <w:lang w:val="fr-BE" w:eastAsia="en-US" w:bidi="ar-SA"/>
        </w:rPr>
        <w:t>Review</w:t>
      </w:r>
      <w:r>
        <w:rPr>
          <w:i/>
        </w:rPr>
        <w:t xml:space="preserve"> by the Bank</w:t>
      </w:r>
    </w:p>
    <w:p w14:paraId="4AD06EA1" w14:textId="77777777" w:rsidR="00DA1BBF" w:rsidRDefault="00DA1BBF" w:rsidP="00041129">
      <w:pPr>
        <w:spacing w:before="240" w:line="240" w:lineRule="atLeast"/>
        <w:jc w:val="both"/>
      </w:pPr>
      <w:r>
        <w:t xml:space="preserve">Pursuant to Article 108, § 3 of the Law, the Bank may oppose the implementation of the plan at the latest three months after receipt of the complete dossier if the insurance company has failed to designate an </w:t>
      </w:r>
      <w:r w:rsidRPr="00483D2B">
        <w:rPr>
          <w:lang w:val="fr-BE" w:eastAsia="en-US" w:bidi="ar-SA"/>
        </w:rPr>
        <w:t>authorised agent or if the proposed activity may have negative consequences for its governance system,</w:t>
      </w:r>
      <w:r>
        <w:t xml:space="preserve"> its financial situation, or the Bank's supervision.</w:t>
      </w:r>
    </w:p>
    <w:p w14:paraId="3930E1A4" w14:textId="77777777" w:rsidR="00DA1BBF" w:rsidRPr="00041129" w:rsidRDefault="00DA1BBF" w:rsidP="00041129">
      <w:pPr>
        <w:keepNext/>
        <w:spacing w:before="240" w:line="240" w:lineRule="atLeast"/>
        <w:ind w:left="567" w:hanging="567"/>
        <w:jc w:val="both"/>
        <w:rPr>
          <w:i/>
          <w:lang w:val="fr-BE" w:eastAsia="en-US" w:bidi="ar-SA"/>
        </w:rPr>
      </w:pPr>
      <w:r w:rsidRPr="00041129">
        <w:rPr>
          <w:i/>
          <w:lang w:val="fr-BE" w:eastAsia="en-US" w:bidi="ar-SA"/>
        </w:rPr>
        <w:t>c)</w:t>
      </w:r>
      <w:r w:rsidRPr="00041129">
        <w:rPr>
          <w:i/>
          <w:lang w:val="fr-BE" w:eastAsia="en-US" w:bidi="ar-SA"/>
        </w:rPr>
        <w:tab/>
        <w:t>Transmission of the dossier to the authorities of the host Member State and general interest</w:t>
      </w:r>
    </w:p>
    <w:p w14:paraId="234D318A" w14:textId="77777777" w:rsidR="00DA1BBF" w:rsidRPr="00041129" w:rsidRDefault="00DA1BBF" w:rsidP="00041129">
      <w:pPr>
        <w:spacing w:before="240" w:line="240" w:lineRule="atLeast"/>
        <w:jc w:val="both"/>
        <w:rPr>
          <w:lang w:val="fr-BE" w:eastAsia="en-US" w:bidi="ar-SA"/>
        </w:rPr>
      </w:pPr>
      <w:r w:rsidRPr="00041129">
        <w:rPr>
          <w:lang w:val="fr-BE" w:eastAsia="en-US" w:bidi="ar-SA"/>
        </w:rPr>
        <w:t>If the Bank does not oppose the implementation of the insurance company's plan, the dossier must be sent to the supervisory authority of the host Member State. The Bank must inform the insurance company of the transmission of the dossier and of the date on which the supervisory authorities of the host Member State confirmed receipt thereof (Art. 109 of the Law).</w:t>
      </w:r>
    </w:p>
    <w:p w14:paraId="63723041" w14:textId="77777777" w:rsidR="00DA1BBF" w:rsidRPr="00041129" w:rsidRDefault="00DA1BBF" w:rsidP="00041129">
      <w:pPr>
        <w:spacing w:before="240" w:line="240" w:lineRule="atLeast"/>
        <w:jc w:val="both"/>
        <w:rPr>
          <w:lang w:val="fr-BE" w:eastAsia="en-US" w:bidi="ar-SA"/>
        </w:rPr>
      </w:pPr>
      <w:r w:rsidRPr="00041129">
        <w:rPr>
          <w:lang w:val="fr-BE" w:eastAsia="en-US" w:bidi="ar-SA"/>
        </w:rPr>
        <w:t>The supervisory authorities of the host Member State must communicate to the Bank the provisions of this Member State which, for reasons of general interest, must be complied with by the branch in the host Member State. The Bank must forward this information to the insurance company.</w:t>
      </w:r>
    </w:p>
    <w:p w14:paraId="2EB22580" w14:textId="77777777" w:rsidR="00DA1BBF" w:rsidRPr="00041129" w:rsidRDefault="00DA1BBF" w:rsidP="00041129">
      <w:pPr>
        <w:keepNext/>
        <w:spacing w:before="240" w:line="240" w:lineRule="atLeast"/>
        <w:ind w:left="567" w:hanging="567"/>
        <w:jc w:val="both"/>
        <w:rPr>
          <w:i/>
          <w:lang w:val="fr-BE" w:eastAsia="en-US" w:bidi="ar-SA"/>
        </w:rPr>
      </w:pPr>
      <w:r w:rsidRPr="00041129">
        <w:rPr>
          <w:i/>
          <w:lang w:val="fr-BE" w:eastAsia="en-US" w:bidi="ar-SA"/>
        </w:rPr>
        <w:t>d)</w:t>
      </w:r>
      <w:r w:rsidRPr="00041129">
        <w:rPr>
          <w:i/>
          <w:lang w:val="fr-BE" w:eastAsia="en-US" w:bidi="ar-SA"/>
        </w:rPr>
        <w:tab/>
        <w:t>Commencement of the activity</w:t>
      </w:r>
    </w:p>
    <w:p w14:paraId="03556AF5" w14:textId="77777777" w:rsidR="00DA1BBF" w:rsidRDefault="00DA1BBF" w:rsidP="00041129">
      <w:pPr>
        <w:spacing w:before="240" w:line="240" w:lineRule="atLeast"/>
        <w:jc w:val="both"/>
        <w:rPr>
          <w:lang w:val="fr-BE" w:eastAsia="en-US" w:bidi="ar-SA"/>
        </w:rPr>
      </w:pPr>
      <w:r w:rsidRPr="00041129">
        <w:rPr>
          <w:lang w:val="fr-BE" w:eastAsia="en-US" w:bidi="ar-SA"/>
        </w:rPr>
        <w:t>The insurance company may commence the proposed activity through the branch on the date on which the Bank received the list of the provisions of general interest applicable in the host Member State and at the latest once a term of two months has elapsed starting on the date on which the Bank forwarded the dossier to the supervisory authorities of the host Member State (see c) below). (Art. 111 of the Law).</w:t>
      </w:r>
    </w:p>
    <w:p w14:paraId="2C96F088" w14:textId="359662EE" w:rsidR="00041129" w:rsidRDefault="00041129">
      <w:pPr>
        <w:tabs>
          <w:tab w:val="clear" w:pos="284"/>
        </w:tabs>
        <w:spacing w:line="240" w:lineRule="auto"/>
        <w:rPr>
          <w:lang w:val="fr-BE" w:eastAsia="en-US" w:bidi="ar-SA"/>
        </w:rPr>
      </w:pPr>
      <w:r>
        <w:rPr>
          <w:lang w:val="fr-BE" w:eastAsia="en-US" w:bidi="ar-SA"/>
        </w:rPr>
        <w:br w:type="page"/>
      </w:r>
    </w:p>
    <w:p w14:paraId="7EF4E91B" w14:textId="77777777" w:rsidR="00DA1BBF" w:rsidRPr="00384BA8" w:rsidRDefault="00DA1BBF" w:rsidP="00041129">
      <w:pPr>
        <w:spacing w:before="240" w:line="240" w:lineRule="atLeast"/>
        <w:jc w:val="both"/>
        <w:rPr>
          <w:rFonts w:eastAsiaTheme="minorHAnsi" w:cstheme="minorBidi"/>
          <w:color w:val="00B050"/>
          <w:sz w:val="22"/>
          <w:szCs w:val="22"/>
          <w:u w:val="dotted"/>
        </w:rPr>
      </w:pPr>
      <w:r w:rsidRPr="00041129">
        <w:rPr>
          <w:u w:val="dotted"/>
          <w:lang w:val="fr-BE" w:eastAsia="en-US" w:bidi="ar-SA"/>
        </w:rPr>
        <w:lastRenderedPageBreak/>
        <w:t xml:space="preserve">3.3.2 </w:t>
      </w:r>
      <w:proofErr w:type="spellStart"/>
      <w:r w:rsidRPr="00041129">
        <w:rPr>
          <w:u w:val="dotted"/>
          <w:lang w:val="fr-BE" w:eastAsia="en-US" w:bidi="ar-SA"/>
        </w:rPr>
        <w:t>Opening</w:t>
      </w:r>
      <w:proofErr w:type="spellEnd"/>
      <w:r w:rsidRPr="00041129">
        <w:rPr>
          <w:u w:val="dotted"/>
          <w:lang w:val="fr-BE" w:eastAsia="en-US" w:bidi="ar-SA"/>
        </w:rPr>
        <w:t xml:space="preserve"> of </w:t>
      </w:r>
      <w:proofErr w:type="gramStart"/>
      <w:r w:rsidRPr="00041129">
        <w:rPr>
          <w:u w:val="dotted"/>
          <w:lang w:val="fr-BE" w:eastAsia="en-US" w:bidi="ar-SA"/>
        </w:rPr>
        <w:t>a</w:t>
      </w:r>
      <w:proofErr w:type="gramEnd"/>
      <w:r w:rsidRPr="00041129">
        <w:rPr>
          <w:u w:val="dotted"/>
          <w:lang w:val="fr-BE" w:eastAsia="en-US" w:bidi="ar-SA"/>
        </w:rPr>
        <w:t xml:space="preserve"> </w:t>
      </w:r>
      <w:proofErr w:type="spellStart"/>
      <w:r w:rsidRPr="00041129">
        <w:rPr>
          <w:u w:val="dotted"/>
          <w:lang w:val="fr-BE" w:eastAsia="en-US" w:bidi="ar-SA"/>
        </w:rPr>
        <w:t>branch</w:t>
      </w:r>
      <w:proofErr w:type="spellEnd"/>
      <w:r w:rsidRPr="00041129">
        <w:rPr>
          <w:u w:val="dotted"/>
          <w:lang w:val="fr-BE" w:eastAsia="en-US" w:bidi="ar-SA"/>
        </w:rPr>
        <w:t xml:space="preserve"> by a </w:t>
      </w:r>
      <w:r w:rsidRPr="00384BA8">
        <w:rPr>
          <w:rFonts w:eastAsiaTheme="minorHAnsi" w:cstheme="minorBidi"/>
          <w:color w:val="00B050"/>
          <w:sz w:val="22"/>
          <w:szCs w:val="22"/>
          <w:u w:val="dotted"/>
        </w:rPr>
        <w:t>reinsurance company</w:t>
      </w:r>
    </w:p>
    <w:p w14:paraId="149FA22E" w14:textId="77777777" w:rsidR="00DA1BBF" w:rsidRPr="00E96FD9" w:rsidRDefault="00DA1BBF" w:rsidP="00E96FD9">
      <w:pPr>
        <w:keepNext/>
        <w:spacing w:before="240" w:line="240" w:lineRule="atLeast"/>
        <w:ind w:left="567" w:hanging="567"/>
        <w:jc w:val="both"/>
        <w:rPr>
          <w:i/>
          <w:lang w:val="fr-BE" w:eastAsia="en-US" w:bidi="ar-SA"/>
        </w:rPr>
      </w:pPr>
      <w:r w:rsidRPr="00E96FD9">
        <w:rPr>
          <w:i/>
          <w:lang w:val="fr-BE" w:eastAsia="en-US" w:bidi="ar-SA"/>
        </w:rPr>
        <w:t>a)</w:t>
      </w:r>
      <w:r w:rsidRPr="00E96FD9">
        <w:rPr>
          <w:i/>
          <w:lang w:val="fr-BE" w:eastAsia="en-US" w:bidi="ar-SA"/>
        </w:rPr>
        <w:tab/>
        <w:t>Prior notification and dossier</w:t>
      </w:r>
    </w:p>
    <w:p w14:paraId="4B1D825F" w14:textId="77777777" w:rsidR="00DA1BBF" w:rsidRPr="00E96FD9" w:rsidRDefault="00DA1BBF" w:rsidP="00DB43CB">
      <w:pPr>
        <w:spacing w:before="120" w:line="240" w:lineRule="atLeast"/>
        <w:jc w:val="both"/>
        <w:rPr>
          <w:lang w:val="fr-BE" w:eastAsia="en-US" w:bidi="ar-SA"/>
        </w:rPr>
      </w:pPr>
      <w:r w:rsidRPr="00E96FD9">
        <w:rPr>
          <w:lang w:val="fr-BE" w:eastAsia="en-US" w:bidi="ar-SA"/>
        </w:rPr>
        <w:t>A reinsurance company governed by Belgian law that wishes to establish a branch on the territory of another Member State, must previously notify the Bank thereof (Article 113 of the Law).</w:t>
      </w:r>
    </w:p>
    <w:p w14:paraId="461F512D" w14:textId="3C753C3C" w:rsidR="00DA1BBF" w:rsidRPr="00E96FD9" w:rsidRDefault="00DA1BBF" w:rsidP="00DB43CB">
      <w:pPr>
        <w:spacing w:before="120" w:line="240" w:lineRule="atLeast"/>
        <w:jc w:val="both"/>
        <w:rPr>
          <w:lang w:val="fr-BE" w:eastAsia="en-US" w:bidi="ar-SA"/>
        </w:rPr>
      </w:pPr>
      <w:r w:rsidRPr="00E96FD9">
        <w:rPr>
          <w:lang w:val="fr-BE" w:eastAsia="en-US" w:bidi="ar-SA"/>
        </w:rPr>
        <w:t xml:space="preserve">For this purpose, it uses the form in </w:t>
      </w:r>
      <w:r w:rsidRPr="00384BA8">
        <w:rPr>
          <w:b/>
          <w:lang w:val="fr-BE" w:eastAsia="en-US" w:bidi="ar-SA"/>
        </w:rPr>
        <w:t>Annex 1</w:t>
      </w:r>
      <w:r w:rsidRPr="00E96FD9">
        <w:rPr>
          <w:lang w:val="fr-BE" w:eastAsia="en-US" w:bidi="ar-SA"/>
        </w:rPr>
        <w:t xml:space="preserve">, which contains the information the company must provide to the Bank in support of its notification (Article 113 in conjunction with Art. 108, § 1, second paragraph), and the information concerning the authorised agent of the branch (Article 113 </w:t>
      </w:r>
      <w:r w:rsidR="00E96FD9">
        <w:rPr>
          <w:lang w:val="fr-BE" w:eastAsia="en-US" w:bidi="ar-SA"/>
        </w:rPr>
        <w:t>in conjunction with Art. 108, § </w:t>
      </w:r>
      <w:r w:rsidRPr="00E96FD9">
        <w:rPr>
          <w:lang w:val="fr-BE" w:eastAsia="en-US" w:bidi="ar-SA"/>
        </w:rPr>
        <w:t>2). The review of the dossier may give rise to requests for clarification or additional information from the Bank.</w:t>
      </w:r>
    </w:p>
    <w:p w14:paraId="3A79FCF2" w14:textId="77777777" w:rsidR="00DA1BBF" w:rsidRPr="00E96FD9" w:rsidRDefault="00DA1BBF" w:rsidP="00DB43CB">
      <w:pPr>
        <w:spacing w:before="120" w:line="240" w:lineRule="atLeast"/>
        <w:jc w:val="both"/>
        <w:rPr>
          <w:lang w:val="fr-BE" w:eastAsia="en-US" w:bidi="ar-SA"/>
        </w:rPr>
      </w:pPr>
      <w:r w:rsidRPr="00E96FD9">
        <w:rPr>
          <w:lang w:val="fr-BE" w:eastAsia="en-US" w:bidi="ar-SA"/>
        </w:rPr>
        <w:t xml:space="preserve">The completed form must be sent to the Bank in one copy, by post and electronically, and must be submitted in one of the official languages of Belgium (Dutch, French or German, depending on the company's place of business), with an English translation. </w:t>
      </w:r>
    </w:p>
    <w:p w14:paraId="74E9A255" w14:textId="77777777" w:rsidR="00DA1BBF" w:rsidRPr="00E96FD9" w:rsidRDefault="00DA1BBF" w:rsidP="00E96FD9">
      <w:pPr>
        <w:keepNext/>
        <w:spacing w:before="240" w:line="240" w:lineRule="atLeast"/>
        <w:ind w:left="567" w:hanging="567"/>
        <w:jc w:val="both"/>
        <w:rPr>
          <w:i/>
          <w:lang w:val="fr-BE" w:eastAsia="en-US" w:bidi="ar-SA"/>
        </w:rPr>
      </w:pPr>
      <w:r w:rsidRPr="00E96FD9">
        <w:rPr>
          <w:i/>
          <w:lang w:val="fr-BE" w:eastAsia="en-US" w:bidi="ar-SA"/>
        </w:rPr>
        <w:t>b)</w:t>
      </w:r>
      <w:r w:rsidRPr="00E96FD9">
        <w:rPr>
          <w:i/>
          <w:lang w:val="fr-BE" w:eastAsia="en-US" w:bidi="ar-SA"/>
        </w:rPr>
        <w:tab/>
        <w:t>Review by the Bank</w:t>
      </w:r>
    </w:p>
    <w:p w14:paraId="42058F97" w14:textId="77777777" w:rsidR="00DA1BBF" w:rsidRDefault="00DA1BBF" w:rsidP="00DB43CB">
      <w:pPr>
        <w:spacing w:before="120" w:line="240" w:lineRule="atLeast"/>
        <w:jc w:val="both"/>
      </w:pPr>
      <w:r>
        <w:t xml:space="preserve">Pursuant to Article 113 in conjunction with Article 108, § 3 of the Law, the Bank may oppose the </w:t>
      </w:r>
      <w:r w:rsidRPr="00E96FD9">
        <w:rPr>
          <w:lang w:val="fr-BE" w:eastAsia="en-US" w:bidi="ar-SA"/>
        </w:rPr>
        <w:t>implementation of the plan at the latest three months after receipt of the complete dossier if the company</w:t>
      </w:r>
      <w:r>
        <w:t xml:space="preserve"> has failed to designate an authorised agent or if the proposed activity may have negative consequences for its governance system, its financial situation, or the Bank's supervision.</w:t>
      </w:r>
    </w:p>
    <w:p w14:paraId="6A625F4E" w14:textId="77777777" w:rsidR="00DA1BBF" w:rsidRPr="00E96FD9" w:rsidRDefault="00DA1BBF" w:rsidP="00E96FD9">
      <w:pPr>
        <w:keepNext/>
        <w:spacing w:before="240" w:line="240" w:lineRule="atLeast"/>
        <w:ind w:left="567" w:hanging="567"/>
        <w:jc w:val="both"/>
        <w:rPr>
          <w:i/>
          <w:lang w:val="fr-BE" w:eastAsia="en-US" w:bidi="ar-SA"/>
        </w:rPr>
      </w:pPr>
      <w:r w:rsidRPr="00E96FD9">
        <w:rPr>
          <w:i/>
          <w:lang w:val="fr-BE" w:eastAsia="en-US" w:bidi="ar-SA"/>
        </w:rPr>
        <w:t>c)</w:t>
      </w:r>
      <w:r w:rsidRPr="00E96FD9">
        <w:rPr>
          <w:i/>
          <w:lang w:val="fr-BE" w:eastAsia="en-US" w:bidi="ar-SA"/>
        </w:rPr>
        <w:tab/>
        <w:t>Transmission of the dossier to the authorities of the host Member State</w:t>
      </w:r>
    </w:p>
    <w:p w14:paraId="5AEF302A" w14:textId="77777777" w:rsidR="00DA1BBF" w:rsidRDefault="00DA1BBF" w:rsidP="00DB43CB">
      <w:pPr>
        <w:spacing w:before="120"/>
        <w:jc w:val="both"/>
      </w:pPr>
      <w:r>
        <w:t>Within one month of receipt of the complete dossier, the Bank must forward the dossier to the host Member State.</w:t>
      </w:r>
    </w:p>
    <w:p w14:paraId="2517ACA0" w14:textId="77777777" w:rsidR="00DA1BBF" w:rsidRPr="00E96FD9" w:rsidRDefault="00DA1BBF" w:rsidP="00E96FD9">
      <w:pPr>
        <w:keepNext/>
        <w:spacing w:before="240" w:line="240" w:lineRule="atLeast"/>
        <w:ind w:left="567" w:hanging="567"/>
        <w:jc w:val="both"/>
        <w:rPr>
          <w:i/>
          <w:lang w:val="fr-BE" w:eastAsia="en-US" w:bidi="ar-SA"/>
        </w:rPr>
      </w:pPr>
      <w:r w:rsidRPr="00E96FD9">
        <w:rPr>
          <w:i/>
          <w:lang w:val="fr-BE" w:eastAsia="en-US" w:bidi="ar-SA"/>
        </w:rPr>
        <w:t>d)</w:t>
      </w:r>
      <w:r w:rsidRPr="00E96FD9">
        <w:rPr>
          <w:i/>
          <w:lang w:val="fr-BE" w:eastAsia="en-US" w:bidi="ar-SA"/>
        </w:rPr>
        <w:tab/>
        <w:t>Commencement of the activity</w:t>
      </w:r>
    </w:p>
    <w:p w14:paraId="18464926" w14:textId="77777777" w:rsidR="00DA1BBF" w:rsidRPr="009C0368" w:rsidRDefault="00DA1BBF" w:rsidP="00DB43CB">
      <w:pPr>
        <w:spacing w:before="120" w:line="240" w:lineRule="atLeast"/>
        <w:jc w:val="both"/>
        <w:rPr>
          <w:lang w:val="fr-BE" w:eastAsia="en-US" w:bidi="ar-SA"/>
        </w:rPr>
      </w:pPr>
      <w:r w:rsidRPr="009C0368">
        <w:rPr>
          <w:lang w:val="fr-BE" w:eastAsia="en-US" w:bidi="ar-SA"/>
        </w:rPr>
        <w:t>The reinsurance company may commence the proposed activity through the branch on the date on which the Bank informs it that it does not oppose the proposed plan (Art.114, 2° of the Law).</w:t>
      </w:r>
    </w:p>
    <w:p w14:paraId="5B70F42B" w14:textId="77777777" w:rsidR="00DA1BBF" w:rsidRPr="009C0368" w:rsidRDefault="00DA1BBF" w:rsidP="009C0368">
      <w:pPr>
        <w:spacing w:before="240" w:line="240" w:lineRule="atLeast"/>
        <w:jc w:val="both"/>
        <w:rPr>
          <w:b/>
          <w:u w:val="single"/>
          <w:lang w:val="fr-BE" w:eastAsia="en-US" w:bidi="ar-SA"/>
        </w:rPr>
      </w:pPr>
      <w:r w:rsidRPr="009C0368">
        <w:rPr>
          <w:b/>
          <w:u w:val="single"/>
          <w:lang w:val="fr-BE" w:eastAsia="en-US" w:bidi="ar-SA"/>
        </w:rPr>
        <w:t xml:space="preserve">3.4. Pursuit of an activity </w:t>
      </w:r>
      <w:r w:rsidRPr="00384BA8">
        <w:rPr>
          <w:rFonts w:eastAsiaTheme="minorHAnsi" w:cstheme="minorBidi"/>
          <w:b/>
          <w:color w:val="4F81BD" w:themeColor="accent1"/>
          <w:sz w:val="22"/>
          <w:szCs w:val="22"/>
          <w:u w:val="single"/>
        </w:rPr>
        <w:t>under the freedom to provide services</w:t>
      </w:r>
      <w:r w:rsidRPr="009C0368">
        <w:rPr>
          <w:b/>
          <w:u w:val="single"/>
          <w:lang w:val="fr-BE" w:eastAsia="en-US" w:bidi="ar-SA"/>
        </w:rPr>
        <w:t xml:space="preserve"> in another Member State </w:t>
      </w:r>
    </w:p>
    <w:p w14:paraId="17540CC3" w14:textId="77777777" w:rsidR="00DA1BBF" w:rsidRPr="009C0368" w:rsidRDefault="00DA1BBF" w:rsidP="009C0368">
      <w:pPr>
        <w:spacing w:before="240" w:line="240" w:lineRule="atLeast"/>
        <w:jc w:val="both"/>
        <w:rPr>
          <w:u w:val="dotted"/>
          <w:lang w:val="fr-BE" w:eastAsia="en-US" w:bidi="ar-SA"/>
        </w:rPr>
      </w:pPr>
      <w:r w:rsidRPr="009C0368">
        <w:rPr>
          <w:u w:val="dotted"/>
          <w:lang w:val="fr-BE" w:eastAsia="en-US" w:bidi="ar-SA"/>
        </w:rPr>
        <w:t xml:space="preserve">3.4.1 Pursuit of an activity under the freedom to provide services by an </w:t>
      </w:r>
      <w:r w:rsidRPr="008D6E08">
        <w:rPr>
          <w:color w:val="00B050"/>
          <w:u w:val="dotted"/>
          <w:lang w:val="fr-BE" w:eastAsia="en-US" w:bidi="ar-SA"/>
        </w:rPr>
        <w:t>insurance</w:t>
      </w:r>
      <w:r w:rsidRPr="009C0368">
        <w:rPr>
          <w:u w:val="dotted"/>
          <w:lang w:val="fr-BE" w:eastAsia="en-US" w:bidi="ar-SA"/>
        </w:rPr>
        <w:t xml:space="preserve"> </w:t>
      </w:r>
      <w:r w:rsidRPr="008D6E08">
        <w:rPr>
          <w:color w:val="00B050"/>
          <w:u w:val="dotted"/>
          <w:lang w:val="fr-BE" w:eastAsia="en-US" w:bidi="ar-SA"/>
        </w:rPr>
        <w:t>company</w:t>
      </w:r>
    </w:p>
    <w:p w14:paraId="0E7A40FA" w14:textId="77777777" w:rsidR="00DA1BBF" w:rsidRPr="009C0368" w:rsidRDefault="00DA1BBF" w:rsidP="009C0368">
      <w:pPr>
        <w:keepNext/>
        <w:spacing w:before="240" w:line="240" w:lineRule="atLeast"/>
        <w:ind w:left="567" w:hanging="567"/>
        <w:jc w:val="both"/>
        <w:rPr>
          <w:i/>
          <w:lang w:val="fr-BE" w:eastAsia="en-US" w:bidi="ar-SA"/>
        </w:rPr>
      </w:pPr>
      <w:r w:rsidRPr="009C0368">
        <w:rPr>
          <w:i/>
          <w:lang w:val="fr-BE" w:eastAsia="en-US" w:bidi="ar-SA"/>
        </w:rPr>
        <w:t>a)</w:t>
      </w:r>
      <w:r w:rsidRPr="009C0368">
        <w:rPr>
          <w:i/>
          <w:lang w:val="fr-BE" w:eastAsia="en-US" w:bidi="ar-SA"/>
        </w:rPr>
        <w:tab/>
        <w:t>Prior notification and dossier</w:t>
      </w:r>
    </w:p>
    <w:p w14:paraId="031B69C7" w14:textId="7A050524" w:rsidR="00DA1BBF" w:rsidRPr="006E6113" w:rsidRDefault="00DA1BBF" w:rsidP="00DB43CB">
      <w:pPr>
        <w:spacing w:before="120" w:line="240" w:lineRule="atLeast"/>
        <w:jc w:val="both"/>
        <w:rPr>
          <w:lang w:val="fr-BE" w:eastAsia="en-US" w:bidi="ar-SA"/>
        </w:rPr>
      </w:pPr>
      <w:r w:rsidRPr="006E6113">
        <w:rPr>
          <w:lang w:val="fr-BE" w:eastAsia="en-US" w:bidi="ar-SA"/>
        </w:rPr>
        <w:t xml:space="preserve">An insurance company governed by Belgian law that wishes to pursue activities under the freedom to provide services in another Member State, must previously notify the Bank thereof (Art. 115, § 1, first paragraph of the Law). </w:t>
      </w:r>
      <w:r w:rsidR="00B96F97">
        <w:rPr>
          <w:rStyle w:val="FootnoteReference"/>
          <w:lang w:val="fr-BE" w:eastAsia="en-US" w:bidi="ar-SA"/>
        </w:rPr>
        <w:footnoteReference w:id="2"/>
      </w:r>
    </w:p>
    <w:p w14:paraId="4DB59830" w14:textId="77777777" w:rsidR="00DA1BBF" w:rsidRPr="006E6113" w:rsidRDefault="00DA1BBF" w:rsidP="00DB43CB">
      <w:pPr>
        <w:spacing w:before="120" w:line="240" w:lineRule="atLeast"/>
        <w:jc w:val="both"/>
        <w:rPr>
          <w:lang w:val="fr-BE" w:eastAsia="en-US" w:bidi="ar-SA"/>
        </w:rPr>
      </w:pPr>
      <w:r w:rsidRPr="006E6113">
        <w:rPr>
          <w:lang w:val="fr-BE" w:eastAsia="en-US" w:bidi="ar-SA"/>
        </w:rPr>
        <w:t xml:space="preserve">For this purpose, it uses the form in </w:t>
      </w:r>
      <w:r w:rsidRPr="00384BA8">
        <w:rPr>
          <w:b/>
          <w:lang w:val="fr-BE" w:eastAsia="en-US" w:bidi="ar-SA"/>
        </w:rPr>
        <w:t>Annex 2</w:t>
      </w:r>
      <w:r w:rsidRPr="006E6113">
        <w:rPr>
          <w:lang w:val="fr-BE" w:eastAsia="en-US" w:bidi="ar-SA"/>
        </w:rPr>
        <w:t>, which contains the information the company must provide to the Bank in support of its notification (Article 115, § 1, second paragraph of the Law). The review of the dossier may give rise to requests for clarification or additional information from the Bank.</w:t>
      </w:r>
    </w:p>
    <w:p w14:paraId="4A9C3950" w14:textId="77777777" w:rsidR="00DA1BBF" w:rsidRPr="006E6113" w:rsidRDefault="00DA1BBF" w:rsidP="00DB43CB">
      <w:pPr>
        <w:spacing w:before="120" w:line="240" w:lineRule="atLeast"/>
        <w:jc w:val="both"/>
        <w:rPr>
          <w:lang w:val="fr-BE" w:eastAsia="en-US" w:bidi="ar-SA"/>
        </w:rPr>
      </w:pPr>
      <w:r w:rsidRPr="006E6113">
        <w:rPr>
          <w:lang w:val="fr-BE" w:eastAsia="en-US" w:bidi="ar-SA"/>
        </w:rPr>
        <w:t xml:space="preserve">The completed form must be sent to the Bank in one copy, by post and electronically, and must be submitted in one of the official languages of Belgium (Dutch, French or German, depending on the company's place of business), with an English translation. </w:t>
      </w:r>
    </w:p>
    <w:p w14:paraId="664F94AB" w14:textId="77777777" w:rsidR="00DA1BBF" w:rsidRPr="009C0368" w:rsidRDefault="00DA1BBF" w:rsidP="009C0368">
      <w:pPr>
        <w:keepNext/>
        <w:spacing w:before="240" w:line="240" w:lineRule="atLeast"/>
        <w:ind w:left="567" w:hanging="567"/>
        <w:jc w:val="both"/>
        <w:rPr>
          <w:i/>
          <w:lang w:val="fr-BE" w:eastAsia="en-US" w:bidi="ar-SA"/>
        </w:rPr>
      </w:pPr>
      <w:r w:rsidRPr="009C0368">
        <w:rPr>
          <w:i/>
          <w:lang w:val="fr-BE" w:eastAsia="en-US" w:bidi="ar-SA"/>
        </w:rPr>
        <w:t>b)</w:t>
      </w:r>
      <w:r w:rsidRPr="009C0368">
        <w:rPr>
          <w:i/>
          <w:lang w:val="fr-BE" w:eastAsia="en-US" w:bidi="ar-SA"/>
        </w:rPr>
        <w:tab/>
        <w:t>Review by the Bank</w:t>
      </w:r>
    </w:p>
    <w:p w14:paraId="16073F76" w14:textId="2B8AB4B4" w:rsidR="00DA1BBF" w:rsidRDefault="00DA1BBF" w:rsidP="00DB43CB">
      <w:pPr>
        <w:spacing w:before="120" w:line="240" w:lineRule="atLeast"/>
        <w:jc w:val="both"/>
      </w:pPr>
      <w:r>
        <w:t>Pursuant to Article 115, § 2 of the Law, the Bank may oppose the implementation of the plan at the latest three months after receipt of the complete dossier if the proposed activity may have negative consequences for the governance system, the financial situati</w:t>
      </w:r>
      <w:r w:rsidR="004C3D0B">
        <w:t>on, or the Bank's supervision.</w:t>
      </w:r>
    </w:p>
    <w:p w14:paraId="2F1A5574" w14:textId="29B5C4C6" w:rsidR="00DA1BBF" w:rsidRPr="009C0368" w:rsidRDefault="00DA1BBF" w:rsidP="009C0368">
      <w:pPr>
        <w:keepNext/>
        <w:spacing w:before="240" w:line="240" w:lineRule="atLeast"/>
        <w:ind w:left="567" w:hanging="567"/>
        <w:jc w:val="both"/>
        <w:rPr>
          <w:i/>
          <w:lang w:val="fr-BE" w:eastAsia="en-US" w:bidi="ar-SA"/>
        </w:rPr>
      </w:pPr>
      <w:r w:rsidRPr="009C0368">
        <w:rPr>
          <w:i/>
          <w:lang w:val="fr-BE" w:eastAsia="en-US" w:bidi="ar-SA"/>
        </w:rPr>
        <w:lastRenderedPageBreak/>
        <w:t>c)</w:t>
      </w:r>
      <w:r w:rsidRPr="009C0368">
        <w:rPr>
          <w:i/>
          <w:lang w:val="fr-BE" w:eastAsia="en-US" w:bidi="ar-SA"/>
        </w:rPr>
        <w:tab/>
        <w:t>Transmission of the dossier to the authorities of the host Member State and general interest</w:t>
      </w:r>
    </w:p>
    <w:p w14:paraId="204D16D6" w14:textId="77777777" w:rsidR="00DA1BBF" w:rsidRPr="006E6113" w:rsidRDefault="00DA1BBF" w:rsidP="006E6113">
      <w:pPr>
        <w:spacing w:before="240" w:line="240" w:lineRule="atLeast"/>
        <w:jc w:val="both"/>
        <w:rPr>
          <w:lang w:val="fr-BE" w:eastAsia="en-US" w:bidi="ar-SA"/>
        </w:rPr>
      </w:pPr>
      <w:r w:rsidRPr="006E6113">
        <w:rPr>
          <w:lang w:val="fr-BE" w:eastAsia="en-US" w:bidi="ar-SA"/>
        </w:rPr>
        <w:t>If the Bank does not oppose the implementation of the insurance company's plan, the dossier is forwarded to the supervisory authority of the host Member State. The Bank must inform the insurance company of the transmission of the dossier and of the date on which the supervisory authorities of the host Member State have confirmed receipt thereof (Art. 116 of the Law).</w:t>
      </w:r>
    </w:p>
    <w:p w14:paraId="4871E576" w14:textId="77777777" w:rsidR="00DA1BBF" w:rsidRPr="006E6113" w:rsidRDefault="00DA1BBF" w:rsidP="006E6113">
      <w:pPr>
        <w:spacing w:before="240" w:line="240" w:lineRule="atLeast"/>
        <w:jc w:val="both"/>
        <w:rPr>
          <w:lang w:val="fr-BE" w:eastAsia="en-US" w:bidi="ar-SA"/>
        </w:rPr>
      </w:pPr>
      <w:r w:rsidRPr="006E6113">
        <w:rPr>
          <w:lang w:val="fr-BE" w:eastAsia="en-US" w:bidi="ar-SA"/>
        </w:rPr>
        <w:t>The supervisory authorities of the host Member State must communicate to the Bank the provisions of that Member State which, for reasons of general interest, must be complied with in case of exercise of cross-border activities in the host country. The Bank forwards this information to the insurance company.</w:t>
      </w:r>
    </w:p>
    <w:p w14:paraId="547CB1EA" w14:textId="77777777" w:rsidR="00DA1BBF" w:rsidRPr="009C0368" w:rsidRDefault="00DA1BBF" w:rsidP="009C0368">
      <w:pPr>
        <w:keepNext/>
        <w:spacing w:before="240" w:line="240" w:lineRule="atLeast"/>
        <w:ind w:left="567" w:hanging="567"/>
        <w:jc w:val="both"/>
        <w:rPr>
          <w:i/>
          <w:lang w:val="fr-BE" w:eastAsia="en-US" w:bidi="ar-SA"/>
        </w:rPr>
      </w:pPr>
      <w:r w:rsidRPr="009C0368">
        <w:rPr>
          <w:i/>
          <w:lang w:val="fr-BE" w:eastAsia="en-US" w:bidi="ar-SA"/>
        </w:rPr>
        <w:t>d)</w:t>
      </w:r>
      <w:r w:rsidRPr="009C0368">
        <w:rPr>
          <w:i/>
          <w:lang w:val="fr-BE" w:eastAsia="en-US" w:bidi="ar-SA"/>
        </w:rPr>
        <w:tab/>
        <w:t>Commencement of the activity</w:t>
      </w:r>
    </w:p>
    <w:p w14:paraId="4EC233E0" w14:textId="77777777" w:rsidR="00DA1BBF" w:rsidRPr="006E6113" w:rsidRDefault="00DA1BBF" w:rsidP="006E6113">
      <w:pPr>
        <w:spacing w:before="240" w:line="240" w:lineRule="atLeast"/>
        <w:jc w:val="both"/>
        <w:rPr>
          <w:lang w:val="fr-BE" w:eastAsia="en-US" w:bidi="ar-SA"/>
        </w:rPr>
      </w:pPr>
      <w:r w:rsidRPr="006E6113">
        <w:rPr>
          <w:lang w:val="fr-BE" w:eastAsia="en-US" w:bidi="ar-SA"/>
        </w:rPr>
        <w:t>The insurance company may commence the proposed activity under the freedom to provide services on the date on which the Bank forwarded the notification dossier to the supervisory authorities of the host Member State (Art. 118, first paragraph of the Law).</w:t>
      </w:r>
    </w:p>
    <w:p w14:paraId="0B4CF85D" w14:textId="77777777" w:rsidR="00DA1BBF" w:rsidRPr="009C0368" w:rsidRDefault="00DA1BBF" w:rsidP="009C0368">
      <w:pPr>
        <w:spacing w:before="240" w:line="240" w:lineRule="atLeast"/>
        <w:jc w:val="both"/>
        <w:rPr>
          <w:u w:val="dotted"/>
          <w:lang w:val="fr-BE" w:eastAsia="en-US" w:bidi="ar-SA"/>
        </w:rPr>
      </w:pPr>
      <w:r w:rsidRPr="009C0368">
        <w:rPr>
          <w:u w:val="dotted"/>
          <w:lang w:val="fr-BE" w:eastAsia="en-US" w:bidi="ar-SA"/>
        </w:rPr>
        <w:t xml:space="preserve">3.4.2 Pursuit of an activity under the freedom to provide services by a </w:t>
      </w:r>
      <w:r w:rsidRPr="00384BA8">
        <w:rPr>
          <w:rFonts w:eastAsiaTheme="minorHAnsi" w:cstheme="minorBidi"/>
          <w:color w:val="00B050"/>
          <w:sz w:val="22"/>
          <w:szCs w:val="22"/>
          <w:u w:val="dotted"/>
        </w:rPr>
        <w:t>reinsurance company</w:t>
      </w:r>
    </w:p>
    <w:p w14:paraId="22E0AF0D" w14:textId="77777777" w:rsidR="00DA1BBF" w:rsidRPr="00D410A7" w:rsidRDefault="00DA1BBF" w:rsidP="00D410A7">
      <w:pPr>
        <w:keepNext/>
        <w:spacing w:before="240" w:line="240" w:lineRule="atLeast"/>
        <w:ind w:left="567" w:hanging="567"/>
        <w:jc w:val="both"/>
        <w:rPr>
          <w:i/>
          <w:lang w:val="fr-BE" w:eastAsia="en-US" w:bidi="ar-SA"/>
        </w:rPr>
      </w:pPr>
      <w:r w:rsidRPr="00D410A7">
        <w:rPr>
          <w:i/>
          <w:lang w:val="fr-BE" w:eastAsia="en-US" w:bidi="ar-SA"/>
        </w:rPr>
        <w:t>a)</w:t>
      </w:r>
      <w:r w:rsidRPr="00D410A7">
        <w:rPr>
          <w:i/>
          <w:lang w:val="fr-BE" w:eastAsia="en-US" w:bidi="ar-SA"/>
        </w:rPr>
        <w:tab/>
        <w:t>Prior notification and dossier</w:t>
      </w:r>
    </w:p>
    <w:p w14:paraId="20A84018" w14:textId="77777777" w:rsidR="00DA1BBF" w:rsidRPr="00D410A7" w:rsidRDefault="00DA1BBF" w:rsidP="00D410A7">
      <w:pPr>
        <w:spacing w:before="240" w:line="240" w:lineRule="atLeast"/>
        <w:jc w:val="both"/>
        <w:rPr>
          <w:lang w:val="fr-BE" w:eastAsia="en-US" w:bidi="ar-SA"/>
        </w:rPr>
      </w:pPr>
      <w:r w:rsidRPr="00D410A7">
        <w:rPr>
          <w:lang w:val="fr-BE" w:eastAsia="en-US" w:bidi="ar-SA"/>
        </w:rPr>
        <w:t>A reinsurance company governed by Belgian law that wishes to pursue activities under the freedom to provide services in another Member State, must previously notify the Bank thereof (Art. 120 of the Law).</w:t>
      </w:r>
    </w:p>
    <w:p w14:paraId="71AF9F4C" w14:textId="77777777" w:rsidR="00DA1BBF" w:rsidRPr="00D410A7" w:rsidRDefault="00DA1BBF" w:rsidP="00D410A7">
      <w:pPr>
        <w:spacing w:before="240" w:line="240" w:lineRule="atLeast"/>
        <w:jc w:val="both"/>
        <w:rPr>
          <w:lang w:val="fr-BE" w:eastAsia="en-US" w:bidi="ar-SA"/>
        </w:rPr>
      </w:pPr>
      <w:r w:rsidRPr="00D410A7">
        <w:rPr>
          <w:lang w:val="fr-BE" w:eastAsia="en-US" w:bidi="ar-SA"/>
        </w:rPr>
        <w:t>For this purpose, it uses the form in Annex 2, which contains the information the company must provide to the Bank in support of its notification (Article 121 in conjunction with Article 15, § 1, second paragraph of the Law). The review of the dossier may give rise to requests for clarification or additional information from the Bank.</w:t>
      </w:r>
    </w:p>
    <w:p w14:paraId="797F2ADB" w14:textId="77777777" w:rsidR="00DA1BBF" w:rsidRPr="00D410A7" w:rsidRDefault="00DA1BBF" w:rsidP="00D410A7">
      <w:pPr>
        <w:spacing w:before="240" w:line="240" w:lineRule="atLeast"/>
        <w:jc w:val="both"/>
        <w:rPr>
          <w:lang w:val="fr-BE" w:eastAsia="en-US" w:bidi="ar-SA"/>
        </w:rPr>
      </w:pPr>
      <w:r w:rsidRPr="00D410A7">
        <w:rPr>
          <w:lang w:val="fr-BE" w:eastAsia="en-US" w:bidi="ar-SA"/>
        </w:rPr>
        <w:t xml:space="preserve">The completed form must be sent to the Bank in one copy, by post and electronically, and must be submitted in one of the official languages of Belgium (Dutch, French or German, depending on the company's place of business), with an English translation. </w:t>
      </w:r>
    </w:p>
    <w:p w14:paraId="1E9C0454" w14:textId="77777777" w:rsidR="00DA1BBF" w:rsidRPr="00D410A7" w:rsidRDefault="00DA1BBF" w:rsidP="00D410A7">
      <w:pPr>
        <w:keepNext/>
        <w:spacing w:before="240" w:line="240" w:lineRule="atLeast"/>
        <w:ind w:left="567" w:hanging="567"/>
        <w:jc w:val="both"/>
        <w:rPr>
          <w:i/>
          <w:lang w:val="fr-BE" w:eastAsia="en-US" w:bidi="ar-SA"/>
        </w:rPr>
      </w:pPr>
      <w:r w:rsidRPr="00D410A7">
        <w:rPr>
          <w:i/>
          <w:lang w:val="fr-BE" w:eastAsia="en-US" w:bidi="ar-SA"/>
        </w:rPr>
        <w:t>b)</w:t>
      </w:r>
      <w:r w:rsidRPr="00D410A7">
        <w:rPr>
          <w:i/>
          <w:lang w:val="fr-BE" w:eastAsia="en-US" w:bidi="ar-SA"/>
        </w:rPr>
        <w:tab/>
        <w:t>Review by the Bank</w:t>
      </w:r>
    </w:p>
    <w:p w14:paraId="625ECC3A" w14:textId="77777777" w:rsidR="00DA1BBF" w:rsidRDefault="00DA1BBF" w:rsidP="00D410A7">
      <w:pPr>
        <w:spacing w:before="240" w:line="240" w:lineRule="atLeast"/>
        <w:jc w:val="both"/>
      </w:pPr>
      <w:proofErr w:type="gramStart"/>
      <w:r>
        <w:t>Pursuant to Article 121 in conjunction with Art.</w:t>
      </w:r>
      <w:proofErr w:type="gramEnd"/>
      <w:r>
        <w:t xml:space="preserve"> 115, § 2 of the Law, the Bank may oppose the implementation of the plan at the latest three months after receipt of the complete dossier if the proposed activity may have negative consequences for the governance system, the financial situation, or the Bank's supervision.  </w:t>
      </w:r>
    </w:p>
    <w:p w14:paraId="69CDB25F" w14:textId="77777777" w:rsidR="00DA1BBF" w:rsidRPr="00D410A7" w:rsidRDefault="00DA1BBF" w:rsidP="00D410A7">
      <w:pPr>
        <w:keepNext/>
        <w:spacing w:before="240" w:line="240" w:lineRule="atLeast"/>
        <w:ind w:left="567" w:hanging="567"/>
        <w:jc w:val="both"/>
        <w:rPr>
          <w:i/>
          <w:lang w:val="fr-BE" w:eastAsia="en-US" w:bidi="ar-SA"/>
        </w:rPr>
      </w:pPr>
      <w:r w:rsidRPr="00D410A7">
        <w:rPr>
          <w:i/>
          <w:lang w:val="fr-BE" w:eastAsia="en-US" w:bidi="ar-SA"/>
        </w:rPr>
        <w:t>c)</w:t>
      </w:r>
      <w:r w:rsidRPr="00D410A7">
        <w:rPr>
          <w:i/>
          <w:lang w:val="fr-BE" w:eastAsia="en-US" w:bidi="ar-SA"/>
        </w:rPr>
        <w:tab/>
        <w:t>Commencement of the activity</w:t>
      </w:r>
    </w:p>
    <w:p w14:paraId="1340D688" w14:textId="77777777" w:rsidR="00DA1BBF" w:rsidRPr="00D410A7" w:rsidRDefault="00DA1BBF" w:rsidP="00D410A7">
      <w:pPr>
        <w:spacing w:before="240" w:line="240" w:lineRule="atLeast"/>
        <w:jc w:val="both"/>
        <w:rPr>
          <w:lang w:val="fr-BE" w:eastAsia="en-US" w:bidi="ar-SA"/>
        </w:rPr>
      </w:pPr>
      <w:r w:rsidRPr="00D410A7">
        <w:rPr>
          <w:lang w:val="fr-BE" w:eastAsia="en-US" w:bidi="ar-SA"/>
        </w:rPr>
        <w:t>The reinsurance company may commence the proposed activity through the branch on the date on which the Bank informs it that it does not oppose the proposed plan (Art.121, 3° of the Law).</w:t>
      </w:r>
    </w:p>
    <w:p w14:paraId="5F220960" w14:textId="77777777" w:rsidR="00DA1BBF" w:rsidRPr="00672DB0" w:rsidRDefault="00DA1BBF" w:rsidP="00D410A7">
      <w:pPr>
        <w:spacing w:before="240" w:line="240" w:lineRule="atLeast"/>
        <w:rPr>
          <w:b/>
          <w:u w:val="single"/>
        </w:rPr>
      </w:pPr>
      <w:r>
        <w:rPr>
          <w:b/>
          <w:u w:val="single"/>
        </w:rPr>
        <w:t xml:space="preserve">3.5. </w:t>
      </w:r>
      <w:r>
        <w:rPr>
          <w:b/>
          <w:color w:val="4F81BD" w:themeColor="accent1"/>
          <w:u w:val="single"/>
        </w:rPr>
        <w:t xml:space="preserve">Changes to information </w:t>
      </w:r>
      <w:r>
        <w:rPr>
          <w:b/>
          <w:u w:val="single"/>
        </w:rPr>
        <w:t xml:space="preserve">relating to the pursuit of an activity through a branch or under the freedom to provide services by an insurance or reinsurance company in another Member State </w:t>
      </w:r>
    </w:p>
    <w:p w14:paraId="37CE9366" w14:textId="3E1F0135" w:rsidR="00DA1BBF" w:rsidRPr="00D410A7" w:rsidRDefault="00DA1BBF" w:rsidP="00D410A7">
      <w:pPr>
        <w:spacing w:before="240" w:line="240" w:lineRule="atLeast"/>
        <w:jc w:val="both"/>
        <w:rPr>
          <w:lang w:val="fr-BE" w:eastAsia="en-US" w:bidi="ar-SA"/>
        </w:rPr>
      </w:pPr>
      <w:r w:rsidRPr="00D410A7">
        <w:rPr>
          <w:lang w:val="fr-BE" w:eastAsia="en-US" w:bidi="ar-SA"/>
        </w:rPr>
        <w:t xml:space="preserve">Any proposed changes to the information provided in the initial </w:t>
      </w:r>
      <w:proofErr w:type="spellStart"/>
      <w:r w:rsidRPr="00D410A7">
        <w:rPr>
          <w:lang w:val="fr-BE" w:eastAsia="en-US" w:bidi="ar-SA"/>
        </w:rPr>
        <w:t>form</w:t>
      </w:r>
      <w:proofErr w:type="spellEnd"/>
      <w:r w:rsidRPr="00D410A7">
        <w:rPr>
          <w:lang w:val="fr-BE" w:eastAsia="en-US" w:bidi="ar-SA"/>
        </w:rPr>
        <w:t xml:space="preserve"> </w:t>
      </w:r>
      <w:proofErr w:type="spellStart"/>
      <w:r w:rsidRPr="00D410A7">
        <w:rPr>
          <w:lang w:val="fr-BE" w:eastAsia="en-US" w:bidi="ar-SA"/>
        </w:rPr>
        <w:t>relating</w:t>
      </w:r>
      <w:proofErr w:type="spellEnd"/>
      <w:r w:rsidRPr="00D410A7">
        <w:rPr>
          <w:lang w:val="fr-BE" w:eastAsia="en-US" w:bidi="ar-SA"/>
        </w:rPr>
        <w:t xml:space="preserve"> to (i) the </w:t>
      </w:r>
      <w:proofErr w:type="spellStart"/>
      <w:r w:rsidRPr="00D410A7">
        <w:rPr>
          <w:lang w:val="fr-BE" w:eastAsia="en-US" w:bidi="ar-SA"/>
        </w:rPr>
        <w:t>opening</w:t>
      </w:r>
      <w:proofErr w:type="spellEnd"/>
      <w:r w:rsidRPr="00D410A7">
        <w:rPr>
          <w:lang w:val="fr-BE" w:eastAsia="en-US" w:bidi="ar-SA"/>
        </w:rPr>
        <w:t xml:space="preserve"> of a </w:t>
      </w:r>
      <w:proofErr w:type="spellStart"/>
      <w:r w:rsidRPr="00D410A7">
        <w:rPr>
          <w:lang w:val="fr-BE" w:eastAsia="en-US" w:bidi="ar-SA"/>
        </w:rPr>
        <w:t>branch</w:t>
      </w:r>
      <w:proofErr w:type="spellEnd"/>
      <w:r w:rsidRPr="00D410A7">
        <w:rPr>
          <w:lang w:val="fr-BE" w:eastAsia="en-US" w:bidi="ar-SA"/>
        </w:rPr>
        <w:t xml:space="preserve"> by an insurance or reinsurance company or (ii) the pursuit of an activity under the freedom to provide services in a Member State by an insurance or reinsurance company, must be notified to the Bank at least one month before the change is made (Art. 112,</w:t>
      </w:r>
      <w:r w:rsidR="003311FF">
        <w:rPr>
          <w:lang w:val="fr-BE" w:eastAsia="en-US" w:bidi="ar-SA"/>
        </w:rPr>
        <w:t xml:space="preserve"> 114, 119 and 121 of the Law).</w:t>
      </w:r>
      <w:bookmarkStart w:id="0" w:name="_GoBack"/>
      <w:bookmarkEnd w:id="0"/>
    </w:p>
    <w:p w14:paraId="0AF97CA3" w14:textId="77777777" w:rsidR="00DA1BBF" w:rsidRPr="00D410A7" w:rsidRDefault="00DA1BBF" w:rsidP="00D410A7">
      <w:pPr>
        <w:spacing w:before="240" w:line="240" w:lineRule="atLeast"/>
        <w:jc w:val="both"/>
        <w:rPr>
          <w:lang w:val="fr-BE" w:eastAsia="en-US" w:bidi="ar-SA"/>
        </w:rPr>
      </w:pPr>
      <w:r w:rsidRPr="00D410A7">
        <w:rPr>
          <w:lang w:val="fr-BE" w:eastAsia="en-US" w:bidi="ar-SA"/>
        </w:rPr>
        <w:t>For this purpose, the insurance or reinsurance company fills in the appropriate form in Annex 1 or 2, but only those parts of the form which contain the information which is changed.</w:t>
      </w:r>
    </w:p>
    <w:p w14:paraId="202F1EC2" w14:textId="77777777" w:rsidR="00DA1BBF" w:rsidRPr="00D410A7" w:rsidRDefault="00DA1BBF" w:rsidP="00D410A7">
      <w:pPr>
        <w:spacing w:before="240" w:line="240" w:lineRule="atLeast"/>
        <w:jc w:val="both"/>
        <w:rPr>
          <w:lang w:val="fr-BE" w:eastAsia="en-US" w:bidi="ar-SA"/>
        </w:rPr>
      </w:pPr>
      <w:r w:rsidRPr="00D410A7">
        <w:rPr>
          <w:lang w:val="fr-BE" w:eastAsia="en-US" w:bidi="ar-SA"/>
        </w:rPr>
        <w:t>The Bank decides on the matter according to the same procedure as that for an initial notification.</w:t>
      </w:r>
    </w:p>
    <w:p w14:paraId="343E29BA" w14:textId="77777777" w:rsidR="00D410A7" w:rsidRDefault="00D410A7">
      <w:pPr>
        <w:tabs>
          <w:tab w:val="clear" w:pos="284"/>
        </w:tabs>
        <w:spacing w:line="240" w:lineRule="auto"/>
        <w:rPr>
          <w:lang w:val="fr-BE" w:eastAsia="en-US" w:bidi="ar-SA"/>
        </w:rPr>
      </w:pPr>
      <w:r>
        <w:rPr>
          <w:lang w:val="fr-BE" w:eastAsia="en-US" w:bidi="ar-SA"/>
        </w:rPr>
        <w:br w:type="page"/>
      </w:r>
    </w:p>
    <w:p w14:paraId="4ABBAC07" w14:textId="318E1EBE" w:rsidR="00DA1BBF" w:rsidRPr="00D410A7" w:rsidRDefault="00DA1BBF" w:rsidP="00D410A7">
      <w:pPr>
        <w:spacing w:before="240" w:line="240" w:lineRule="atLeast"/>
        <w:jc w:val="both"/>
        <w:rPr>
          <w:lang w:val="fr-BE" w:eastAsia="en-US" w:bidi="ar-SA"/>
        </w:rPr>
      </w:pPr>
      <w:r w:rsidRPr="00D410A7">
        <w:rPr>
          <w:lang w:val="fr-BE" w:eastAsia="en-US" w:bidi="ar-SA"/>
        </w:rPr>
        <w:lastRenderedPageBreak/>
        <w:t xml:space="preserve">In case of a change of authorised agent of the branch, the company must only provide a "fit &amp; proper" form (see circular NBB_2013_02 concerning standards on expertise and professional integrity for management committee members, directors, heads of independent control functions and senior managers of financial institutions) for the nominee authorised agent. </w:t>
      </w:r>
    </w:p>
    <w:p w14:paraId="1CC36130" w14:textId="77777777" w:rsidR="00DA1BBF" w:rsidRPr="00483D2B" w:rsidRDefault="00DA1BBF" w:rsidP="00483D2B">
      <w:pPr>
        <w:tabs>
          <w:tab w:val="clear" w:pos="284"/>
        </w:tabs>
        <w:spacing w:before="240" w:line="240" w:lineRule="atLeast"/>
        <w:ind w:left="720" w:hanging="360"/>
        <w:jc w:val="both"/>
        <w:rPr>
          <w:b/>
          <w:sz w:val="28"/>
          <w:szCs w:val="28"/>
          <w:u w:val="single"/>
          <w:lang w:val="fr-BE" w:eastAsia="en-US" w:bidi="ar-SA"/>
        </w:rPr>
      </w:pPr>
      <w:r w:rsidRPr="00483D2B">
        <w:rPr>
          <w:b/>
          <w:sz w:val="28"/>
          <w:szCs w:val="28"/>
          <w:u w:val="single"/>
          <w:lang w:val="fr-BE" w:eastAsia="en-US" w:bidi="ar-SA"/>
        </w:rPr>
        <w:t>IV. Pursuit of an insurance or reinsurance activity in a third country</w:t>
      </w:r>
    </w:p>
    <w:p w14:paraId="0E741D59" w14:textId="77777777" w:rsidR="00DA1BBF" w:rsidRPr="00C05737" w:rsidRDefault="00DA1BBF" w:rsidP="00C05737">
      <w:pPr>
        <w:spacing w:before="240" w:line="240" w:lineRule="atLeast"/>
        <w:jc w:val="both"/>
        <w:rPr>
          <w:b/>
          <w:u w:val="single"/>
          <w:lang w:val="fr-BE" w:eastAsia="en-US" w:bidi="ar-SA"/>
        </w:rPr>
      </w:pPr>
      <w:r w:rsidRPr="00C05737">
        <w:rPr>
          <w:b/>
          <w:u w:val="single"/>
          <w:lang w:val="fr-BE" w:eastAsia="en-US" w:bidi="ar-SA"/>
        </w:rPr>
        <w:t>4.1. Introduction</w:t>
      </w:r>
    </w:p>
    <w:p w14:paraId="17968792" w14:textId="77777777" w:rsidR="00DA1BBF" w:rsidRPr="00C05737" w:rsidRDefault="00DA1BBF" w:rsidP="00C05737">
      <w:pPr>
        <w:spacing w:before="240" w:line="240" w:lineRule="atLeast"/>
        <w:jc w:val="both"/>
        <w:rPr>
          <w:lang w:val="fr-BE" w:eastAsia="en-US" w:bidi="ar-SA"/>
        </w:rPr>
      </w:pPr>
      <w:r w:rsidRPr="00C05737">
        <w:rPr>
          <w:lang w:val="fr-BE" w:eastAsia="en-US" w:bidi="ar-SA"/>
        </w:rPr>
        <w:t xml:space="preserve">An insurance or reinsurance company governed by Belgian law that wishes to pursue, in a third country, an insurance or reinsurance activity for which it has been authorised in Belgium, must previously notify the Bank thereof, irrespective of whether that activity is pursued through a branch or under the freedom to provide services. </w:t>
      </w:r>
    </w:p>
    <w:p w14:paraId="04DBB446" w14:textId="77777777" w:rsidR="00DA1BBF" w:rsidRPr="00C05737" w:rsidRDefault="00DA1BBF" w:rsidP="00C05737">
      <w:pPr>
        <w:spacing w:before="240" w:line="240" w:lineRule="atLeast"/>
        <w:jc w:val="both"/>
        <w:rPr>
          <w:lang w:val="fr-BE" w:eastAsia="en-US" w:bidi="ar-SA"/>
        </w:rPr>
      </w:pPr>
      <w:r w:rsidRPr="00C05737">
        <w:rPr>
          <w:lang w:val="fr-BE" w:eastAsia="en-US" w:bidi="ar-SA"/>
        </w:rPr>
        <w:t>It should be noted that the conditions for the opening of a branch or the pursuit of an activity under the freedom to provide services in a third country, are determined by the legislation of that country, except in case of bilateral or multilateral agreements to which Belgium and the third country concerned are parties. Therefore, an insurance or reinsurance company wishing to pursue an activity in the territory of a third country must contact the authority of the third country to precisely identify the applicable local legislation and, where appropriate, ensure compliance with any local authorisation obligation. It is noted that the opening of a branch in a third country often implies the preparation of a dossier that is very similar to that of a full authorisation dossier.</w:t>
      </w:r>
    </w:p>
    <w:p w14:paraId="7B9F98CC" w14:textId="77777777" w:rsidR="00DA1BBF" w:rsidRPr="00C05737" w:rsidRDefault="00DA1BBF" w:rsidP="00C05737">
      <w:pPr>
        <w:spacing w:before="240" w:line="240" w:lineRule="atLeast"/>
        <w:jc w:val="both"/>
        <w:rPr>
          <w:lang w:val="fr-BE" w:eastAsia="en-US" w:bidi="ar-SA"/>
        </w:rPr>
      </w:pPr>
      <w:r w:rsidRPr="00C05737">
        <w:rPr>
          <w:lang w:val="fr-BE" w:eastAsia="en-US" w:bidi="ar-SA"/>
        </w:rPr>
        <w:t>The Bank may also consult with the authority of the third country in order to lay down rules lay down rules for the opening and the supervision of the branch as well as for the desired sharing of information (Art.110 of the Law).</w:t>
      </w:r>
    </w:p>
    <w:p w14:paraId="34B5D33B" w14:textId="77777777" w:rsidR="00DA1BBF" w:rsidRPr="00C05737" w:rsidRDefault="00DA1BBF" w:rsidP="00C05737">
      <w:pPr>
        <w:spacing w:before="240" w:line="240" w:lineRule="atLeast"/>
        <w:jc w:val="both"/>
        <w:rPr>
          <w:lang w:val="fr-BE" w:eastAsia="en-US" w:bidi="ar-SA"/>
        </w:rPr>
      </w:pPr>
      <w:r w:rsidRPr="00C05737">
        <w:rPr>
          <w:lang w:val="fr-BE" w:eastAsia="en-US" w:bidi="ar-SA"/>
        </w:rPr>
        <w:t>This section concerns the case in which the law of the third country allows insurance or reinsurance activities to be pursued in the territory of a third country through a branch or under the freedom to provide services and does not affect the obligations that may be imposed in respect of such operations by the host country.</w:t>
      </w:r>
    </w:p>
    <w:p w14:paraId="3E754158" w14:textId="77777777" w:rsidR="00DA1BBF" w:rsidRPr="00C05737" w:rsidRDefault="00DA1BBF" w:rsidP="00C05737">
      <w:pPr>
        <w:keepNext/>
        <w:spacing w:before="240" w:line="240" w:lineRule="atLeast"/>
        <w:jc w:val="both"/>
        <w:rPr>
          <w:b/>
          <w:u w:val="single"/>
          <w:lang w:val="fr-BE" w:eastAsia="en-US" w:bidi="ar-SA"/>
        </w:rPr>
      </w:pPr>
      <w:r w:rsidRPr="00C05737">
        <w:rPr>
          <w:b/>
          <w:u w:val="single"/>
          <w:lang w:val="fr-BE" w:eastAsia="en-US" w:bidi="ar-SA"/>
        </w:rPr>
        <w:t xml:space="preserve">4.2. Legal references </w:t>
      </w:r>
    </w:p>
    <w:p w14:paraId="3358AEAD" w14:textId="77777777" w:rsidR="00DA1BBF" w:rsidRDefault="00DA1BBF" w:rsidP="009A2C2C">
      <w:pPr>
        <w:spacing w:before="240" w:line="240" w:lineRule="atLeast"/>
        <w:jc w:val="both"/>
      </w:pPr>
      <w:r>
        <w:t>The following legislation applies:</w:t>
      </w:r>
    </w:p>
    <w:p w14:paraId="6C31F74A" w14:textId="77777777" w:rsidR="00DA1BBF" w:rsidRDefault="00DA1BBF" w:rsidP="009A2C2C">
      <w:pPr>
        <w:pStyle w:val="ListParagraph"/>
        <w:numPr>
          <w:ilvl w:val="0"/>
          <w:numId w:val="46"/>
        </w:numPr>
        <w:tabs>
          <w:tab w:val="clear" w:pos="284"/>
        </w:tabs>
        <w:spacing w:before="240" w:line="240" w:lineRule="atLeast"/>
        <w:contextualSpacing w:val="0"/>
        <w:jc w:val="both"/>
      </w:pPr>
      <w:r>
        <w:t>Opening of a branch: Articles 108, § 5, 110, 111, second paragraph and 114 of the Law; and</w:t>
      </w:r>
    </w:p>
    <w:p w14:paraId="53E8C6EB" w14:textId="77777777" w:rsidR="00DA1BBF" w:rsidRDefault="00DA1BBF" w:rsidP="009A2C2C">
      <w:pPr>
        <w:pStyle w:val="ListParagraph"/>
        <w:numPr>
          <w:ilvl w:val="0"/>
          <w:numId w:val="46"/>
        </w:numPr>
        <w:tabs>
          <w:tab w:val="clear" w:pos="284"/>
        </w:tabs>
        <w:spacing w:before="240" w:line="240" w:lineRule="atLeast"/>
        <w:contextualSpacing w:val="0"/>
        <w:jc w:val="both"/>
      </w:pPr>
      <w:r>
        <w:t xml:space="preserve">Provision of services: Articles 115, § 4, 117, 119 to 121 of the Law. </w:t>
      </w:r>
    </w:p>
    <w:p w14:paraId="24241AF0" w14:textId="77777777" w:rsidR="00DA1BBF" w:rsidRDefault="00DA1BBF" w:rsidP="00C0479C">
      <w:pPr>
        <w:spacing w:before="240" w:line="240" w:lineRule="atLeast"/>
        <w:jc w:val="both"/>
        <w:rPr>
          <w:b/>
          <w:u w:val="single"/>
        </w:rPr>
      </w:pPr>
      <w:r>
        <w:rPr>
          <w:b/>
          <w:u w:val="single"/>
        </w:rPr>
        <w:t xml:space="preserve">4.3. Procedure for opening a </w:t>
      </w:r>
      <w:r>
        <w:rPr>
          <w:b/>
          <w:color w:val="4F81BD" w:themeColor="accent1"/>
          <w:u w:val="single"/>
        </w:rPr>
        <w:t xml:space="preserve">branch </w:t>
      </w:r>
      <w:r>
        <w:rPr>
          <w:b/>
          <w:u w:val="single"/>
        </w:rPr>
        <w:t xml:space="preserve">in a third country and for the </w:t>
      </w:r>
      <w:r>
        <w:rPr>
          <w:b/>
          <w:color w:val="4F81BD" w:themeColor="accent1"/>
          <w:u w:val="single"/>
        </w:rPr>
        <w:t xml:space="preserve">provision of services </w:t>
      </w:r>
      <w:r>
        <w:rPr>
          <w:b/>
          <w:u w:val="single"/>
        </w:rPr>
        <w:t xml:space="preserve">in a third country </w:t>
      </w:r>
    </w:p>
    <w:p w14:paraId="182A1C71" w14:textId="77777777" w:rsidR="00DA1BBF" w:rsidRPr="00C0479C" w:rsidRDefault="00DA1BBF" w:rsidP="00C0479C">
      <w:pPr>
        <w:keepNext/>
        <w:spacing w:before="240" w:line="240" w:lineRule="atLeast"/>
        <w:ind w:left="567" w:hanging="567"/>
        <w:jc w:val="both"/>
        <w:rPr>
          <w:i/>
          <w:lang w:val="fr-BE" w:eastAsia="en-US" w:bidi="ar-SA"/>
        </w:rPr>
      </w:pPr>
      <w:r w:rsidRPr="00C0479C">
        <w:rPr>
          <w:i/>
          <w:lang w:val="fr-BE" w:eastAsia="en-US" w:bidi="ar-SA"/>
        </w:rPr>
        <w:t>a)</w:t>
      </w:r>
      <w:r w:rsidRPr="00C0479C">
        <w:rPr>
          <w:i/>
          <w:lang w:val="fr-BE" w:eastAsia="en-US" w:bidi="ar-SA"/>
        </w:rPr>
        <w:tab/>
        <w:t>Notification and dossier</w:t>
      </w:r>
    </w:p>
    <w:p w14:paraId="2291D7D2" w14:textId="77777777" w:rsidR="00DA1BBF" w:rsidRPr="00C0479C" w:rsidRDefault="00DA1BBF" w:rsidP="00C0479C">
      <w:pPr>
        <w:spacing w:before="240" w:line="240" w:lineRule="atLeast"/>
        <w:jc w:val="both"/>
        <w:rPr>
          <w:lang w:val="fr-BE" w:eastAsia="en-US" w:bidi="ar-SA"/>
        </w:rPr>
      </w:pPr>
      <w:r w:rsidRPr="00C0479C">
        <w:rPr>
          <w:lang w:val="fr-BE" w:eastAsia="en-US" w:bidi="ar-SA"/>
        </w:rPr>
        <w:t>An insurance or reinsurance company governed by Belgian law that wishes to open a branch in a third country or to operate there under the freedom to provide services, must previously notify the Bank thereof.</w:t>
      </w:r>
    </w:p>
    <w:p w14:paraId="501152AE" w14:textId="77777777" w:rsidR="00DA1BBF" w:rsidRDefault="00DA1BBF" w:rsidP="00C0479C">
      <w:pPr>
        <w:spacing w:before="240" w:line="240" w:lineRule="atLeast"/>
        <w:jc w:val="both"/>
      </w:pPr>
      <w:r>
        <w:t xml:space="preserve">For that purpose, the company submits a dossier containing the following elements: </w:t>
      </w:r>
    </w:p>
    <w:p w14:paraId="439DAA50" w14:textId="77777777" w:rsidR="00DA1BBF" w:rsidRDefault="00DA1BBF" w:rsidP="00C0479C">
      <w:pPr>
        <w:pStyle w:val="ListParagraph"/>
        <w:numPr>
          <w:ilvl w:val="0"/>
          <w:numId w:val="47"/>
        </w:numPr>
        <w:tabs>
          <w:tab w:val="clear" w:pos="284"/>
        </w:tabs>
        <w:spacing w:before="240" w:line="240" w:lineRule="atLeast"/>
        <w:ind w:left="357" w:hanging="357"/>
        <w:contextualSpacing w:val="0"/>
        <w:jc w:val="both"/>
      </w:pPr>
      <w:r>
        <w:t>the form in Annex 1 or 2, according to whether the dossier concerns the opening of a branch or the pursuit of an activity under the freedom to provide services;</w:t>
      </w:r>
    </w:p>
    <w:p w14:paraId="129B9562" w14:textId="77777777" w:rsidR="00DA1BBF" w:rsidRDefault="00DA1BBF" w:rsidP="00C0479C">
      <w:pPr>
        <w:pStyle w:val="ListParagraph"/>
        <w:numPr>
          <w:ilvl w:val="0"/>
          <w:numId w:val="47"/>
        </w:numPr>
        <w:tabs>
          <w:tab w:val="clear" w:pos="284"/>
        </w:tabs>
        <w:spacing w:before="240" w:line="240" w:lineRule="atLeast"/>
        <w:ind w:left="357" w:hanging="357"/>
        <w:contextualSpacing w:val="0"/>
        <w:jc w:val="both"/>
      </w:pPr>
      <w:r>
        <w:t>detailed information on the prudential legislation and regulations applicable in the third country; and</w:t>
      </w:r>
    </w:p>
    <w:p w14:paraId="75BE8DAA" w14:textId="77777777" w:rsidR="00DA1BBF" w:rsidRDefault="00DA1BBF" w:rsidP="00C0479C">
      <w:pPr>
        <w:pStyle w:val="ListParagraph"/>
        <w:numPr>
          <w:ilvl w:val="0"/>
          <w:numId w:val="47"/>
        </w:numPr>
        <w:tabs>
          <w:tab w:val="clear" w:pos="284"/>
        </w:tabs>
        <w:spacing w:before="240" w:line="240" w:lineRule="atLeast"/>
        <w:ind w:left="357" w:hanging="357"/>
        <w:contextualSpacing w:val="0"/>
        <w:jc w:val="both"/>
      </w:pPr>
      <w:proofErr w:type="gramStart"/>
      <w:r>
        <w:t>any</w:t>
      </w:r>
      <w:proofErr w:type="gramEnd"/>
      <w:r>
        <w:t xml:space="preserve"> other information requested by the Bank.</w:t>
      </w:r>
    </w:p>
    <w:p w14:paraId="2A4DB463" w14:textId="77777777" w:rsidR="00DA1BBF" w:rsidRDefault="00DA1BBF" w:rsidP="00C0479C">
      <w:pPr>
        <w:pStyle w:val="ListParagraph"/>
        <w:spacing w:before="240" w:line="240" w:lineRule="atLeast"/>
        <w:ind w:left="0"/>
        <w:contextualSpacing w:val="0"/>
        <w:jc w:val="both"/>
      </w:pPr>
      <w:r>
        <w:lastRenderedPageBreak/>
        <w:t>This dossier must be sent to the Bank in one copy, by post and electronically, and must be submitted in one of the official languages of Belgium (Dutch, French or German, depending on the company's place of business), with an English translation.</w:t>
      </w:r>
    </w:p>
    <w:p w14:paraId="020DF696" w14:textId="77777777" w:rsidR="00DA1BBF" w:rsidRDefault="00DA1BBF" w:rsidP="00C0479C">
      <w:pPr>
        <w:pStyle w:val="ListParagraph"/>
        <w:spacing w:before="240" w:line="240" w:lineRule="atLeast"/>
        <w:ind w:left="0"/>
        <w:contextualSpacing w:val="0"/>
        <w:jc w:val="both"/>
      </w:pPr>
      <w:r>
        <w:t>Taking into account the fact that dossiers relating to an activity outside the EEA are generally more complex than those relating to an activity within the EEA, forms 1 and 2, as referred to above, which are intended for cross-border activities within the EEA, do not suffice.</w:t>
      </w:r>
    </w:p>
    <w:p w14:paraId="6CB989F1" w14:textId="77777777" w:rsidR="00DA1BBF" w:rsidRPr="00C0479C" w:rsidRDefault="00DA1BBF" w:rsidP="00C0479C">
      <w:pPr>
        <w:keepNext/>
        <w:spacing w:before="240" w:line="240" w:lineRule="atLeast"/>
        <w:ind w:left="567" w:hanging="567"/>
        <w:jc w:val="both"/>
        <w:rPr>
          <w:i/>
          <w:lang w:val="fr-BE" w:eastAsia="en-US" w:bidi="ar-SA"/>
        </w:rPr>
      </w:pPr>
      <w:r w:rsidRPr="00C0479C">
        <w:rPr>
          <w:i/>
          <w:lang w:val="fr-BE" w:eastAsia="en-US" w:bidi="ar-SA"/>
        </w:rPr>
        <w:t>b) Review by the Bank</w:t>
      </w:r>
    </w:p>
    <w:p w14:paraId="24EDDE43" w14:textId="77777777" w:rsidR="00DA1BBF" w:rsidRDefault="00DA1BBF" w:rsidP="00C0479C">
      <w:pPr>
        <w:spacing w:before="240" w:line="240" w:lineRule="atLeast"/>
        <w:jc w:val="both"/>
      </w:pPr>
      <w:r>
        <w:t>The Bank may oppose the plan of the insurance or reinsurance company under the same conditions as those set out in 3.3.1.b, 3.3.2.b, 3.4.1.b or 3.4.2.b of Section III.</w:t>
      </w:r>
    </w:p>
    <w:p w14:paraId="5474768C" w14:textId="670DB028" w:rsidR="00DA1BBF" w:rsidRDefault="00DA1BBF" w:rsidP="00C0479C">
      <w:pPr>
        <w:spacing w:before="240" w:line="240" w:lineRule="atLeast"/>
        <w:jc w:val="both"/>
      </w:pPr>
      <w:r>
        <w:t>The Bank may also oppose this plan if it has reasons to doubt compliance with the rules for taking-up of business provided for by the legislation of the third country or the possibility of exercising effective supervision of the branch established on the territory of the third country (Art.108,</w:t>
      </w:r>
      <w:r w:rsidR="00C0479C">
        <w:t xml:space="preserve"> § 5 and 115, § 4 of the Law).</w:t>
      </w:r>
    </w:p>
    <w:p w14:paraId="12F4BA45" w14:textId="77777777" w:rsidR="00DA1BBF" w:rsidRPr="00672DB0" w:rsidRDefault="00DA1BBF" w:rsidP="00C0479C">
      <w:pPr>
        <w:spacing w:before="240" w:line="240" w:lineRule="atLeast"/>
        <w:rPr>
          <w:b/>
          <w:u w:val="single"/>
        </w:rPr>
      </w:pPr>
      <w:r>
        <w:rPr>
          <w:b/>
          <w:u w:val="single"/>
        </w:rPr>
        <w:t xml:space="preserve">4.4. </w:t>
      </w:r>
      <w:r>
        <w:rPr>
          <w:b/>
          <w:color w:val="4F81BD" w:themeColor="accent1"/>
          <w:u w:val="single"/>
        </w:rPr>
        <w:t xml:space="preserve">Changes to information </w:t>
      </w:r>
      <w:r>
        <w:rPr>
          <w:b/>
          <w:u w:val="single"/>
        </w:rPr>
        <w:t>relating to a branch or to the provision of services in a third country</w:t>
      </w:r>
    </w:p>
    <w:p w14:paraId="519AA1A3" w14:textId="77777777" w:rsidR="00DA1BBF" w:rsidRPr="00C96BF9" w:rsidRDefault="00DA1BBF" w:rsidP="00C0479C">
      <w:pPr>
        <w:spacing w:before="240" w:line="240" w:lineRule="atLeast"/>
        <w:jc w:val="both"/>
      </w:pPr>
      <w:r>
        <w:t xml:space="preserve">Any proposed changes to the information provided in the initial form relating to the opening of a branch or the provision of services in a third </w:t>
      </w:r>
      <w:proofErr w:type="gramStart"/>
      <w:r>
        <w:t>country,</w:t>
      </w:r>
      <w:proofErr w:type="gramEnd"/>
      <w:r>
        <w:t xml:space="preserve"> must be notified to the Bank at least one month before the change is made (Art. 112, 114, 119 and 121 of the Law).  </w:t>
      </w:r>
    </w:p>
    <w:p w14:paraId="3437C960" w14:textId="77777777" w:rsidR="00DA1BBF" w:rsidRDefault="00DA1BBF" w:rsidP="00C0479C">
      <w:pPr>
        <w:spacing w:before="240" w:line="240" w:lineRule="atLeast"/>
        <w:jc w:val="both"/>
      </w:pPr>
      <w:r>
        <w:t xml:space="preserve">For this purpose, the insurance company fills in the appropriate form in </w:t>
      </w:r>
      <w:r>
        <w:rPr>
          <w:b/>
        </w:rPr>
        <w:t>Annex 1 or 2</w:t>
      </w:r>
      <w:r>
        <w:t>, but only those parts of the form which contain the information which has changed.  The Bank decides according to the same procedure as that for an initial notification.</w:t>
      </w:r>
    </w:p>
    <w:p w14:paraId="2355301B" w14:textId="77777777" w:rsidR="00DA1BBF" w:rsidRPr="00483D2B" w:rsidRDefault="00DA1BBF" w:rsidP="00483D2B">
      <w:pPr>
        <w:tabs>
          <w:tab w:val="clear" w:pos="284"/>
        </w:tabs>
        <w:spacing w:before="240" w:line="240" w:lineRule="atLeast"/>
        <w:ind w:left="720" w:hanging="360"/>
        <w:jc w:val="both"/>
        <w:rPr>
          <w:b/>
          <w:sz w:val="28"/>
          <w:szCs w:val="28"/>
          <w:u w:val="single"/>
          <w:lang w:val="fr-BE" w:eastAsia="en-US" w:bidi="ar-SA"/>
        </w:rPr>
      </w:pPr>
      <w:r w:rsidRPr="00483D2B">
        <w:rPr>
          <w:b/>
          <w:sz w:val="28"/>
          <w:szCs w:val="28"/>
          <w:u w:val="single"/>
          <w:lang w:val="fr-BE" w:eastAsia="en-US" w:bidi="ar-SA"/>
        </w:rPr>
        <w:t>V.</w:t>
      </w:r>
      <w:r w:rsidRPr="00483D2B">
        <w:rPr>
          <w:b/>
          <w:sz w:val="28"/>
          <w:szCs w:val="28"/>
          <w:u w:val="single"/>
          <w:lang w:val="fr-BE" w:eastAsia="en-US" w:bidi="ar-SA"/>
        </w:rPr>
        <w:tab/>
        <w:t>Establishment or acquisition of a subsidiary pursuing insurance or reinsurance activities in another EEA Member State or in a third country</w:t>
      </w:r>
    </w:p>
    <w:p w14:paraId="16233E46" w14:textId="77777777" w:rsidR="00DA1BBF" w:rsidRPr="00C96BF9" w:rsidRDefault="00DA1BBF" w:rsidP="00C0479C">
      <w:pPr>
        <w:spacing w:before="240" w:line="240" w:lineRule="atLeast"/>
        <w:jc w:val="both"/>
      </w:pPr>
      <w:r>
        <w:t>An insurance or reinsurance company governed by Belgian law that intends to acquire, directly or indirectly, or to establish, in the EEA or in a third country, a subsidiary pursuing insurance or reinsurance activities, must contact the competent authority of the State concerned.</w:t>
      </w:r>
    </w:p>
    <w:p w14:paraId="6118BB53" w14:textId="77777777" w:rsidR="00DA1BBF" w:rsidRDefault="00DA1BBF" w:rsidP="00C0479C">
      <w:pPr>
        <w:spacing w:before="240" w:line="240" w:lineRule="atLeast"/>
        <w:jc w:val="both"/>
      </w:pPr>
      <w:r>
        <w:t xml:space="preserve">Pursuant to Article 107 of the Law, it must also notify the Bank in advance of its intention to establish or acquire a subsidiary.  </w:t>
      </w:r>
    </w:p>
    <w:p w14:paraId="0CD74C54" w14:textId="77777777" w:rsidR="00DA1BBF" w:rsidRPr="00C96BF9" w:rsidRDefault="00DA1BBF" w:rsidP="00C0479C">
      <w:pPr>
        <w:spacing w:before="240" w:line="240" w:lineRule="atLeast"/>
        <w:jc w:val="both"/>
      </w:pPr>
      <w:r>
        <w:t xml:space="preserve">For this purpose, it uses the form in </w:t>
      </w:r>
      <w:r>
        <w:rPr>
          <w:b/>
        </w:rPr>
        <w:t>Annex 3</w:t>
      </w:r>
      <w:r>
        <w:t xml:space="preserve">, which should contain the information the company must communicate to the Bank in support of its notification (Article 107, second paragraph of the Law). In case of establishment or acquisition of a subsidiary in a third country, this form must be accompanied by information concerning the prudential legislation and regulations applicable in the third country.  Requests for clarification or additional information may also be requested by the Bank.  </w:t>
      </w:r>
    </w:p>
    <w:p w14:paraId="3A97D894" w14:textId="77777777" w:rsidR="00DA1BBF" w:rsidRPr="00C96BF9" w:rsidRDefault="00DA1BBF" w:rsidP="00C0479C">
      <w:pPr>
        <w:spacing w:before="240" w:line="240" w:lineRule="atLeast"/>
        <w:jc w:val="both"/>
      </w:pPr>
      <w:r>
        <w:t xml:space="preserve">The completed form must be sent to the Bank in one copy, by post and electronically, and must be submitted in one of the official languages of Belgium (Dutch, French or German, depending on the company's place of business), with an English translation. </w:t>
      </w:r>
    </w:p>
    <w:p w14:paraId="6E5C8A18" w14:textId="77777777" w:rsidR="00DA1BBF" w:rsidRPr="00C96BF9" w:rsidRDefault="00DA1BBF" w:rsidP="00C0479C">
      <w:pPr>
        <w:spacing w:before="240" w:line="240" w:lineRule="atLeast"/>
        <w:jc w:val="both"/>
      </w:pPr>
      <w:r>
        <w:t xml:space="preserve">The establishment or acquisition of a subsidiary pursuing insurance or reinsurance activities in the EEA or in a third country must be the subject of a formal decision by the Bank where the decision is considered to be strategic within the meaning of Articles 15, 77° and 102 of the Law. In that case, the Bank must decide within 3 months of receipt of a complete dossier. </w:t>
      </w:r>
    </w:p>
    <w:p w14:paraId="4114CBF4" w14:textId="77777777" w:rsidR="00C0479C" w:rsidRDefault="00C0479C">
      <w:pPr>
        <w:tabs>
          <w:tab w:val="clear" w:pos="284"/>
        </w:tabs>
        <w:spacing w:line="240" w:lineRule="auto"/>
        <w:rPr>
          <w:b/>
          <w:sz w:val="28"/>
          <w:u w:val="single"/>
        </w:rPr>
      </w:pPr>
      <w:r>
        <w:rPr>
          <w:b/>
          <w:sz w:val="28"/>
          <w:u w:val="single"/>
        </w:rPr>
        <w:br w:type="page"/>
      </w:r>
    </w:p>
    <w:p w14:paraId="50D11544" w14:textId="1008EA65" w:rsidR="00DA1BBF" w:rsidRPr="00C96BF9" w:rsidRDefault="00DA1BBF" w:rsidP="00C0479C">
      <w:pPr>
        <w:tabs>
          <w:tab w:val="left" w:pos="720"/>
          <w:tab w:val="left" w:pos="1440"/>
          <w:tab w:val="left" w:pos="2160"/>
          <w:tab w:val="left" w:pos="2880"/>
        </w:tabs>
        <w:spacing w:before="240"/>
        <w:rPr>
          <w:b/>
          <w:sz w:val="28"/>
          <w:szCs w:val="28"/>
          <w:u w:val="single"/>
        </w:rPr>
      </w:pPr>
      <w:r>
        <w:rPr>
          <w:b/>
          <w:sz w:val="28"/>
          <w:u w:val="single"/>
        </w:rPr>
        <w:lastRenderedPageBreak/>
        <w:t>VI. Repeal</w:t>
      </w:r>
    </w:p>
    <w:p w14:paraId="0029AE18" w14:textId="77777777" w:rsidR="00DA1BBF" w:rsidRDefault="00DA1BBF" w:rsidP="00C0479C">
      <w:pPr>
        <w:spacing w:before="240" w:line="240" w:lineRule="atLeast"/>
        <w:jc w:val="both"/>
      </w:pPr>
      <w:r>
        <w:t xml:space="preserve">This Communication replaces and repeals Communication D.146 - C of 19 April 1996 with effect from the date of its publication on the Bank's website. </w:t>
      </w:r>
    </w:p>
    <w:p w14:paraId="53C82683" w14:textId="77777777" w:rsidR="00DA1BBF" w:rsidRPr="00C96BF9" w:rsidRDefault="00DA1BBF" w:rsidP="00C0479C">
      <w:pPr>
        <w:spacing w:before="240" w:line="240" w:lineRule="atLeast"/>
        <w:jc w:val="both"/>
        <w:rPr>
          <w:rFonts w:cs="Arial"/>
        </w:rPr>
      </w:pPr>
      <w:r>
        <w:t>A copy of this Communication will be sent to the accredited auditors of your company.</w:t>
      </w:r>
    </w:p>
    <w:p w14:paraId="3258A202" w14:textId="77777777" w:rsidR="00DA1BBF" w:rsidRPr="006B6543" w:rsidRDefault="00DA1BBF" w:rsidP="00C0479C">
      <w:pPr>
        <w:tabs>
          <w:tab w:val="left" w:pos="567"/>
        </w:tabs>
        <w:spacing w:before="240" w:line="240" w:lineRule="atLeast"/>
        <w:ind w:left="567" w:hanging="567"/>
        <w:jc w:val="both"/>
        <w:rPr>
          <w:rFonts w:cs="Arial"/>
        </w:rPr>
      </w:pPr>
      <w:r>
        <w:t>Yours faithfully,</w:t>
      </w:r>
    </w:p>
    <w:p w14:paraId="0D4BE55F" w14:textId="77777777" w:rsidR="00DA1BBF" w:rsidRPr="006B6543" w:rsidRDefault="00DA1BBF" w:rsidP="00C0479C">
      <w:pPr>
        <w:tabs>
          <w:tab w:val="left" w:pos="567"/>
        </w:tabs>
        <w:spacing w:before="240" w:line="240" w:lineRule="atLeast"/>
        <w:ind w:left="567" w:hanging="567"/>
        <w:jc w:val="both"/>
        <w:rPr>
          <w:rFonts w:cs="Arial"/>
        </w:rPr>
      </w:pPr>
    </w:p>
    <w:p w14:paraId="33AB1B4B" w14:textId="77777777" w:rsidR="00DA1BBF" w:rsidRPr="006B6543" w:rsidRDefault="00DA1BBF" w:rsidP="00C0479C">
      <w:pPr>
        <w:tabs>
          <w:tab w:val="left" w:pos="567"/>
        </w:tabs>
        <w:spacing w:before="240" w:line="240" w:lineRule="atLeast"/>
        <w:ind w:left="567" w:hanging="567"/>
        <w:jc w:val="both"/>
        <w:rPr>
          <w:rFonts w:cs="Arial"/>
        </w:rPr>
      </w:pPr>
    </w:p>
    <w:p w14:paraId="4642E569" w14:textId="77777777" w:rsidR="00DA1BBF" w:rsidRDefault="00DA1BBF" w:rsidP="00C0479C">
      <w:pPr>
        <w:tabs>
          <w:tab w:val="left" w:pos="567"/>
        </w:tabs>
        <w:spacing w:before="240" w:line="240" w:lineRule="atLeast"/>
        <w:ind w:left="567" w:hanging="567"/>
        <w:jc w:val="both"/>
        <w:rPr>
          <w:rFonts w:cs="Arial"/>
        </w:rPr>
      </w:pPr>
    </w:p>
    <w:p w14:paraId="2B850F11" w14:textId="77777777" w:rsidR="00C0479C" w:rsidRPr="006B6543" w:rsidRDefault="00C0479C" w:rsidP="00C0479C">
      <w:pPr>
        <w:tabs>
          <w:tab w:val="left" w:pos="567"/>
        </w:tabs>
        <w:spacing w:before="240" w:line="240" w:lineRule="atLeast"/>
        <w:ind w:left="567" w:hanging="567"/>
        <w:jc w:val="both"/>
        <w:rPr>
          <w:rFonts w:cs="Arial"/>
        </w:rPr>
      </w:pPr>
    </w:p>
    <w:p w14:paraId="2A9FBB45" w14:textId="77777777" w:rsidR="00C0479C" w:rsidRDefault="00DA1BBF" w:rsidP="00C0479C">
      <w:pPr>
        <w:tabs>
          <w:tab w:val="left" w:pos="567"/>
        </w:tabs>
        <w:spacing w:before="240" w:line="240" w:lineRule="atLeast"/>
        <w:jc w:val="both"/>
      </w:pPr>
      <w:r>
        <w:t>Jan Smets</w:t>
      </w:r>
    </w:p>
    <w:p w14:paraId="0F67CCD5" w14:textId="4B57AE6C" w:rsidR="00DA1BBF" w:rsidRDefault="00DA1BBF" w:rsidP="00C0479C">
      <w:pPr>
        <w:tabs>
          <w:tab w:val="left" w:pos="567"/>
        </w:tabs>
        <w:spacing w:line="240" w:lineRule="atLeast"/>
        <w:jc w:val="both"/>
        <w:rPr>
          <w:rFonts w:cs="Arial"/>
        </w:rPr>
      </w:pPr>
      <w:r>
        <w:t>Governor</w:t>
      </w:r>
    </w:p>
    <w:p w14:paraId="1C29B922" w14:textId="77777777" w:rsidR="00DA1BBF" w:rsidRDefault="00DA1BBF" w:rsidP="00C0479C">
      <w:pPr>
        <w:tabs>
          <w:tab w:val="left" w:pos="567"/>
        </w:tabs>
        <w:spacing w:before="240" w:line="240" w:lineRule="atLeast"/>
        <w:jc w:val="both"/>
        <w:rPr>
          <w:rFonts w:cs="Arial"/>
        </w:rPr>
      </w:pPr>
    </w:p>
    <w:p w14:paraId="07B01835" w14:textId="77777777" w:rsidR="00DA1BBF" w:rsidRDefault="00DA1BBF" w:rsidP="00C0479C">
      <w:pPr>
        <w:tabs>
          <w:tab w:val="left" w:pos="567"/>
        </w:tabs>
        <w:spacing w:before="240" w:line="240" w:lineRule="atLeast"/>
        <w:jc w:val="both"/>
        <w:rPr>
          <w:rFonts w:cs="Arial"/>
        </w:rPr>
      </w:pPr>
    </w:p>
    <w:p w14:paraId="099D6E57" w14:textId="77777777" w:rsidR="00DA1BBF" w:rsidRDefault="00DA1BBF" w:rsidP="00C0479C">
      <w:pPr>
        <w:tabs>
          <w:tab w:val="left" w:pos="567"/>
        </w:tabs>
        <w:spacing w:before="240" w:line="240" w:lineRule="atLeast"/>
        <w:jc w:val="both"/>
        <w:rPr>
          <w:rFonts w:cs="Arial"/>
        </w:rPr>
      </w:pPr>
    </w:p>
    <w:p w14:paraId="21009F02" w14:textId="77777777" w:rsidR="00DA1BBF" w:rsidRDefault="00DA1BBF" w:rsidP="00C0479C">
      <w:pPr>
        <w:tabs>
          <w:tab w:val="left" w:pos="567"/>
        </w:tabs>
        <w:spacing w:before="240" w:line="240" w:lineRule="atLeast"/>
        <w:jc w:val="both"/>
        <w:rPr>
          <w:rFonts w:cs="Arial"/>
        </w:rPr>
      </w:pPr>
    </w:p>
    <w:p w14:paraId="2FE0C2E7" w14:textId="77777777" w:rsidR="00DA1BBF" w:rsidRPr="00945377" w:rsidRDefault="00DA1BBF" w:rsidP="00C0479C">
      <w:pPr>
        <w:tabs>
          <w:tab w:val="left" w:pos="567"/>
        </w:tabs>
        <w:spacing w:before="240" w:line="240" w:lineRule="atLeast"/>
        <w:jc w:val="both"/>
        <w:rPr>
          <w:rFonts w:cs="Arial"/>
          <w:b/>
          <w:u w:val="single"/>
        </w:rPr>
      </w:pPr>
      <w:r>
        <w:rPr>
          <w:b/>
          <w:u w:val="single"/>
        </w:rPr>
        <w:t>Annexes</w:t>
      </w:r>
    </w:p>
    <w:p w14:paraId="5CA1F414" w14:textId="74D90BD9" w:rsidR="00DA1BBF" w:rsidRPr="00C0479C" w:rsidRDefault="00DA1BBF" w:rsidP="00C0479C">
      <w:pPr>
        <w:pStyle w:val="ListParagraph"/>
        <w:tabs>
          <w:tab w:val="clear" w:pos="284"/>
        </w:tabs>
        <w:spacing w:before="240" w:after="200" w:line="240" w:lineRule="atLeast"/>
        <w:ind w:left="360" w:hanging="360"/>
        <w:contextualSpacing w:val="0"/>
        <w:jc w:val="both"/>
        <w:rPr>
          <w:rFonts w:eastAsiaTheme="minorHAnsi" w:cs="Arial"/>
          <w:lang w:val="fr-BE" w:eastAsia="en-US" w:bidi="ar-SA"/>
        </w:rPr>
      </w:pPr>
      <w:r w:rsidRPr="00C0479C">
        <w:rPr>
          <w:rFonts w:eastAsiaTheme="minorHAnsi" w:cs="Arial"/>
          <w:lang w:val="fr-BE" w:eastAsia="en-US" w:bidi="ar-SA"/>
        </w:rPr>
        <w:t xml:space="preserve">- </w:t>
      </w:r>
      <w:r w:rsidR="00C0479C">
        <w:rPr>
          <w:rFonts w:eastAsiaTheme="minorHAnsi" w:cs="Arial"/>
          <w:lang w:val="fr-BE" w:eastAsia="en-US" w:bidi="ar-SA"/>
        </w:rPr>
        <w:tab/>
      </w:r>
      <w:proofErr w:type="spellStart"/>
      <w:r w:rsidRPr="00C0479C">
        <w:rPr>
          <w:rFonts w:eastAsiaTheme="minorHAnsi" w:cs="Arial"/>
          <w:lang w:val="fr-BE" w:eastAsia="en-US" w:bidi="ar-SA"/>
        </w:rPr>
        <w:t>Annex</w:t>
      </w:r>
      <w:proofErr w:type="spellEnd"/>
      <w:r w:rsidRPr="00C0479C">
        <w:rPr>
          <w:rFonts w:eastAsiaTheme="minorHAnsi" w:cs="Arial"/>
          <w:lang w:val="fr-BE" w:eastAsia="en-US" w:bidi="ar-SA"/>
        </w:rPr>
        <w:t xml:space="preserve"> 1 : </w:t>
      </w:r>
      <w:proofErr w:type="spellStart"/>
      <w:r w:rsidRPr="00C0479C">
        <w:rPr>
          <w:rFonts w:eastAsiaTheme="minorHAnsi" w:cs="Arial"/>
          <w:lang w:val="fr-BE" w:eastAsia="en-US" w:bidi="ar-SA"/>
        </w:rPr>
        <w:t>form</w:t>
      </w:r>
      <w:proofErr w:type="spellEnd"/>
      <w:r w:rsidRPr="00C0479C">
        <w:rPr>
          <w:rFonts w:eastAsiaTheme="minorHAnsi" w:cs="Arial"/>
          <w:lang w:val="fr-BE" w:eastAsia="en-US" w:bidi="ar-SA"/>
        </w:rPr>
        <w:t xml:space="preserve"> for the notification of the opening of a branch</w:t>
      </w:r>
    </w:p>
    <w:p w14:paraId="4C1D8D24" w14:textId="5054FC3F" w:rsidR="00DA1BBF" w:rsidRPr="00C0479C" w:rsidRDefault="00DA1BBF" w:rsidP="00C0479C">
      <w:pPr>
        <w:pStyle w:val="ListParagraph"/>
        <w:tabs>
          <w:tab w:val="clear" w:pos="284"/>
        </w:tabs>
        <w:spacing w:before="240" w:after="200" w:line="240" w:lineRule="atLeast"/>
        <w:ind w:left="360" w:hanging="360"/>
        <w:contextualSpacing w:val="0"/>
        <w:jc w:val="both"/>
        <w:rPr>
          <w:rFonts w:eastAsiaTheme="minorHAnsi" w:cs="Arial"/>
          <w:lang w:val="fr-BE" w:eastAsia="en-US" w:bidi="ar-SA"/>
        </w:rPr>
      </w:pPr>
      <w:r w:rsidRPr="00C0479C">
        <w:rPr>
          <w:rFonts w:eastAsiaTheme="minorHAnsi" w:cs="Arial"/>
          <w:lang w:val="fr-BE" w:eastAsia="en-US" w:bidi="ar-SA"/>
        </w:rPr>
        <w:t xml:space="preserve">- </w:t>
      </w:r>
      <w:r w:rsidR="00C0479C">
        <w:rPr>
          <w:rFonts w:eastAsiaTheme="minorHAnsi" w:cs="Arial"/>
          <w:lang w:val="fr-BE" w:eastAsia="en-US" w:bidi="ar-SA"/>
        </w:rPr>
        <w:tab/>
      </w:r>
      <w:proofErr w:type="spellStart"/>
      <w:r w:rsidRPr="00C0479C">
        <w:rPr>
          <w:rFonts w:eastAsiaTheme="minorHAnsi" w:cs="Arial"/>
          <w:lang w:val="fr-BE" w:eastAsia="en-US" w:bidi="ar-SA"/>
        </w:rPr>
        <w:t>Annex</w:t>
      </w:r>
      <w:proofErr w:type="spellEnd"/>
      <w:r w:rsidRPr="00C0479C">
        <w:rPr>
          <w:rFonts w:eastAsiaTheme="minorHAnsi" w:cs="Arial"/>
          <w:lang w:val="fr-BE" w:eastAsia="en-US" w:bidi="ar-SA"/>
        </w:rPr>
        <w:t xml:space="preserve"> 2 : </w:t>
      </w:r>
      <w:proofErr w:type="spellStart"/>
      <w:r w:rsidRPr="00C0479C">
        <w:rPr>
          <w:rFonts w:eastAsiaTheme="minorHAnsi" w:cs="Arial"/>
          <w:lang w:val="fr-BE" w:eastAsia="en-US" w:bidi="ar-SA"/>
        </w:rPr>
        <w:t>form</w:t>
      </w:r>
      <w:proofErr w:type="spellEnd"/>
      <w:r w:rsidRPr="00C0479C">
        <w:rPr>
          <w:rFonts w:eastAsiaTheme="minorHAnsi" w:cs="Arial"/>
          <w:lang w:val="fr-BE" w:eastAsia="en-US" w:bidi="ar-SA"/>
        </w:rPr>
        <w:t xml:space="preserve"> for the notification of the pursuit of an activity under the freedom to provide services</w:t>
      </w:r>
    </w:p>
    <w:p w14:paraId="24BC6ACF" w14:textId="675DF046" w:rsidR="00DA1BBF" w:rsidRPr="00C0479C" w:rsidRDefault="00DA1BBF" w:rsidP="00C0479C">
      <w:pPr>
        <w:pStyle w:val="ListParagraph"/>
        <w:tabs>
          <w:tab w:val="clear" w:pos="284"/>
        </w:tabs>
        <w:spacing w:before="240" w:after="200" w:line="240" w:lineRule="atLeast"/>
        <w:ind w:left="360" w:hanging="360"/>
        <w:contextualSpacing w:val="0"/>
        <w:jc w:val="both"/>
        <w:rPr>
          <w:rFonts w:eastAsiaTheme="minorHAnsi" w:cs="Arial"/>
          <w:lang w:val="fr-BE" w:eastAsia="en-US" w:bidi="ar-SA"/>
        </w:rPr>
      </w:pPr>
      <w:r w:rsidRPr="00C0479C">
        <w:rPr>
          <w:rFonts w:eastAsiaTheme="minorHAnsi" w:cs="Arial"/>
          <w:lang w:val="fr-BE" w:eastAsia="en-US" w:bidi="ar-SA"/>
        </w:rPr>
        <w:t xml:space="preserve">- </w:t>
      </w:r>
      <w:r w:rsidR="00C0479C">
        <w:rPr>
          <w:rFonts w:eastAsiaTheme="minorHAnsi" w:cs="Arial"/>
          <w:lang w:val="fr-BE" w:eastAsia="en-US" w:bidi="ar-SA"/>
        </w:rPr>
        <w:tab/>
      </w:r>
      <w:r w:rsidRPr="00C0479C">
        <w:rPr>
          <w:rFonts w:eastAsiaTheme="minorHAnsi" w:cs="Arial"/>
          <w:lang w:val="fr-BE" w:eastAsia="en-US" w:bidi="ar-SA"/>
        </w:rPr>
        <w:t xml:space="preserve">Annex 3 : form for the notification of the establishment or acquisition of a subsidiary conducting insurance ore reinsurance business </w:t>
      </w:r>
    </w:p>
    <w:p w14:paraId="53CAD58E" w14:textId="77777777" w:rsidR="00DA1BBF" w:rsidRDefault="00DA1BBF" w:rsidP="00C0479C">
      <w:pPr>
        <w:spacing w:before="240" w:line="240" w:lineRule="atLeast"/>
        <w:jc w:val="both"/>
      </w:pPr>
    </w:p>
    <w:sectPr w:rsidR="00DA1BBF" w:rsidSect="00D850C8">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B03CD" w14:textId="77777777" w:rsidR="0005400B" w:rsidRDefault="0005400B">
      <w:r>
        <w:separator/>
      </w:r>
    </w:p>
  </w:endnote>
  <w:endnote w:type="continuationSeparator" w:id="0">
    <w:p w14:paraId="2DEB03CE" w14:textId="77777777" w:rsidR="0005400B" w:rsidRDefault="0005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B03D3" w14:textId="717D48E0" w:rsidR="00E87276" w:rsidRPr="0005400B" w:rsidRDefault="00267C09" w:rsidP="00E87276">
    <w:pPr>
      <w:pStyle w:val="Footer"/>
      <w:pBdr>
        <w:top w:val="single" w:sz="4" w:space="1" w:color="auto"/>
      </w:pBdr>
      <w:rPr>
        <w:b/>
        <w:sz w:val="16"/>
        <w:szCs w:val="16"/>
      </w:rPr>
    </w:pPr>
    <w:r>
      <w:rPr>
        <w:b/>
        <w:sz w:val="16"/>
      </w:rPr>
      <w:t>Communication –</w:t>
    </w:r>
    <w:r w:rsidR="0005400B">
      <w:rPr>
        <w:b/>
        <w:sz w:val="16"/>
      </w:rPr>
      <w:t xml:space="preserve"> P. </w:t>
    </w:r>
    <w:r w:rsidR="0005400B">
      <w:rPr>
        <w:b/>
        <w:sz w:val="16"/>
        <w:szCs w:val="16"/>
      </w:rPr>
      <w:fldChar w:fldCharType="begin"/>
    </w:r>
    <w:r w:rsidR="0005400B">
      <w:rPr>
        <w:b/>
        <w:sz w:val="16"/>
        <w:szCs w:val="16"/>
      </w:rPr>
      <w:instrText xml:space="preserve"> PAGE   </w:instrText>
    </w:r>
    <w:r w:rsidR="0005400B">
      <w:rPr>
        <w:b/>
        <w:sz w:val="16"/>
        <w:szCs w:val="16"/>
      </w:rPr>
      <w:fldChar w:fldCharType="separate"/>
    </w:r>
    <w:r w:rsidR="003311FF">
      <w:rPr>
        <w:b/>
        <w:noProof/>
        <w:sz w:val="16"/>
        <w:szCs w:val="16"/>
      </w:rPr>
      <w:t>6</w:t>
    </w:r>
    <w:r w:rsidR="0005400B">
      <w:rPr>
        <w:b/>
        <w:sz w:val="16"/>
        <w:szCs w:val="16"/>
      </w:rPr>
      <w:fldChar w:fldCharType="end"/>
    </w:r>
    <w:r w:rsidR="0005400B">
      <w:rPr>
        <w:b/>
        <w:sz w:val="16"/>
      </w:rPr>
      <w:t>/</w:t>
    </w:r>
    <w:r w:rsidR="0005400B">
      <w:rPr>
        <w:b/>
        <w:sz w:val="16"/>
        <w:szCs w:val="16"/>
      </w:rPr>
      <w:fldChar w:fldCharType="begin"/>
    </w:r>
    <w:r w:rsidR="0005400B">
      <w:rPr>
        <w:b/>
        <w:sz w:val="16"/>
        <w:szCs w:val="16"/>
      </w:rPr>
      <w:instrText xml:space="preserve"> NUMPAGES   </w:instrText>
    </w:r>
    <w:r w:rsidR="0005400B">
      <w:rPr>
        <w:b/>
        <w:sz w:val="16"/>
        <w:szCs w:val="16"/>
      </w:rPr>
      <w:fldChar w:fldCharType="separate"/>
    </w:r>
    <w:r w:rsidR="003311FF">
      <w:rPr>
        <w:b/>
        <w:noProof/>
        <w:sz w:val="16"/>
        <w:szCs w:val="16"/>
      </w:rPr>
      <w:t>8</w:t>
    </w:r>
    <w:r w:rsidR="0005400B">
      <w:rPr>
        <w:b/>
        <w:sz w:val="16"/>
        <w:szCs w:val="16"/>
      </w:rPr>
      <w:fldChar w:fldCharType="end"/>
    </w:r>
    <w:r w:rsidR="0005400B">
      <w:tab/>
    </w:r>
    <w:r w:rsidR="00427B82">
      <w:rPr>
        <w:sz w:val="14"/>
        <w:szCs w:val="16"/>
        <w:lang w:val="nl-BE"/>
      </w:rPr>
      <w:t xml:space="preserve">NBB_2017_18 </w:t>
    </w:r>
    <w:r w:rsidR="00427B82">
      <w:rPr>
        <w:rFonts w:cs="Arial"/>
        <w:sz w:val="14"/>
        <w:szCs w:val="16"/>
        <w:lang w:val="nl-BE"/>
      </w:rPr>
      <w:t>–</w:t>
    </w:r>
    <w:r w:rsidR="00427B82">
      <w:rPr>
        <w:rFonts w:cs="Arial"/>
        <w:sz w:val="14"/>
        <w:szCs w:val="16"/>
        <w:lang w:val="nl-BE"/>
      </w:rPr>
      <w:t> </w:t>
    </w:r>
    <w:r w:rsidR="00427B82">
      <w:rPr>
        <w:rFonts w:cs="Arial"/>
        <w:sz w:val="14"/>
        <w:szCs w:val="16"/>
        <w:lang w:val="nl-BE"/>
      </w:rPr>
      <w:t xml:space="preserve">2 </w:t>
    </w:r>
    <w:proofErr w:type="spellStart"/>
    <w:r w:rsidR="00427B82">
      <w:rPr>
        <w:sz w:val="14"/>
        <w:szCs w:val="16"/>
        <w:lang w:val="nl-BE"/>
      </w:rPr>
      <w:t>June</w:t>
    </w:r>
    <w:proofErr w:type="spellEnd"/>
    <w:r w:rsidR="00427B82">
      <w:rPr>
        <w:sz w:val="14"/>
        <w:szCs w:val="16"/>
        <w:lang w:val="nl-BE"/>
      </w:rPr>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B03D4" w14:textId="293C3D74" w:rsidR="00450949" w:rsidRPr="0005400B" w:rsidRDefault="0005400B" w:rsidP="00F64E38">
    <w:pPr>
      <w:pStyle w:val="Footer"/>
      <w:pBdr>
        <w:top w:val="single" w:sz="4" w:space="1" w:color="auto"/>
      </w:pBdr>
      <w:rPr>
        <w:b/>
        <w:sz w:val="16"/>
        <w:szCs w:val="14"/>
      </w:rPr>
    </w:pPr>
    <w:r>
      <w:tab/>
    </w:r>
    <w:r w:rsidR="00427B82">
      <w:rPr>
        <w:sz w:val="14"/>
        <w:szCs w:val="16"/>
        <w:lang w:val="nl-BE"/>
      </w:rPr>
      <w:t xml:space="preserve">NBB_2017_18 </w:t>
    </w:r>
    <w:r w:rsidR="00427B82">
      <w:rPr>
        <w:rFonts w:cs="Arial"/>
        <w:sz w:val="14"/>
        <w:szCs w:val="16"/>
        <w:lang w:val="nl-BE"/>
      </w:rPr>
      <w:t>–</w:t>
    </w:r>
    <w:r w:rsidR="00427B82">
      <w:rPr>
        <w:rFonts w:cs="Arial"/>
        <w:sz w:val="14"/>
        <w:szCs w:val="16"/>
        <w:lang w:val="nl-BE"/>
      </w:rPr>
      <w:t> </w:t>
    </w:r>
    <w:r w:rsidR="00427B82">
      <w:rPr>
        <w:rFonts w:cs="Arial"/>
        <w:sz w:val="14"/>
        <w:szCs w:val="16"/>
        <w:lang w:val="nl-BE"/>
      </w:rPr>
      <w:t xml:space="preserve">2 </w:t>
    </w:r>
    <w:proofErr w:type="spellStart"/>
    <w:r w:rsidR="00427B82">
      <w:rPr>
        <w:sz w:val="14"/>
        <w:szCs w:val="16"/>
        <w:lang w:val="nl-BE"/>
      </w:rPr>
      <w:t>June</w:t>
    </w:r>
    <w:proofErr w:type="spellEnd"/>
    <w:r w:rsidR="00427B82">
      <w:rPr>
        <w:sz w:val="14"/>
        <w:szCs w:val="16"/>
        <w:lang w:val="nl-BE"/>
      </w:rPr>
      <w:t xml:space="preserve"> 2017</w:t>
    </w:r>
    <w:r>
      <w:tab/>
    </w:r>
    <w:r w:rsidR="00F63BBC">
      <w:rPr>
        <w:b/>
        <w:sz w:val="16"/>
      </w:rPr>
      <w:t xml:space="preserve">Communication </w:t>
    </w:r>
    <w:r>
      <w:rPr>
        <w:b/>
        <w:sz w:val="16"/>
      </w:rPr>
      <w:t xml:space="preserve"> – P. </w:t>
    </w:r>
    <w:r>
      <w:rPr>
        <w:b/>
        <w:sz w:val="16"/>
        <w:szCs w:val="14"/>
      </w:rPr>
      <w:fldChar w:fldCharType="begin"/>
    </w:r>
    <w:r>
      <w:rPr>
        <w:b/>
        <w:sz w:val="16"/>
        <w:szCs w:val="14"/>
      </w:rPr>
      <w:instrText xml:space="preserve"> PAGE   </w:instrText>
    </w:r>
    <w:r>
      <w:rPr>
        <w:b/>
        <w:sz w:val="16"/>
        <w:szCs w:val="14"/>
      </w:rPr>
      <w:fldChar w:fldCharType="separate"/>
    </w:r>
    <w:r w:rsidR="003311FF">
      <w:rPr>
        <w:b/>
        <w:noProof/>
        <w:sz w:val="16"/>
        <w:szCs w:val="14"/>
      </w:rPr>
      <w:t>5</w:t>
    </w:r>
    <w:r>
      <w:rPr>
        <w:b/>
        <w:sz w:val="16"/>
        <w:szCs w:val="14"/>
      </w:rPr>
      <w:fldChar w:fldCharType="end"/>
    </w:r>
    <w:r>
      <w:rPr>
        <w:b/>
        <w:sz w:val="16"/>
      </w:rPr>
      <w:t>/</w:t>
    </w:r>
    <w:r>
      <w:rPr>
        <w:b/>
        <w:sz w:val="16"/>
        <w:szCs w:val="14"/>
      </w:rPr>
      <w:fldChar w:fldCharType="begin"/>
    </w:r>
    <w:r>
      <w:rPr>
        <w:b/>
        <w:sz w:val="16"/>
        <w:szCs w:val="14"/>
      </w:rPr>
      <w:instrText xml:space="preserve"> NUMPAGES   </w:instrText>
    </w:r>
    <w:r>
      <w:rPr>
        <w:b/>
        <w:sz w:val="16"/>
        <w:szCs w:val="14"/>
      </w:rPr>
      <w:fldChar w:fldCharType="separate"/>
    </w:r>
    <w:r w:rsidR="003311FF">
      <w:rPr>
        <w:b/>
        <w:noProof/>
        <w:sz w:val="16"/>
        <w:szCs w:val="14"/>
      </w:rPr>
      <w:t>8</w:t>
    </w:r>
    <w:r>
      <w:rPr>
        <w:b/>
        <w:sz w:val="16"/>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B03D5" w14:textId="11B02528" w:rsidR="00450949" w:rsidRPr="0005400B" w:rsidRDefault="0005400B" w:rsidP="00CB2202">
    <w:pPr>
      <w:pStyle w:val="Footer"/>
      <w:pBdr>
        <w:top w:val="single" w:sz="4" w:space="1" w:color="auto"/>
      </w:pBdr>
      <w:rPr>
        <w:b/>
        <w:sz w:val="16"/>
        <w:szCs w:val="16"/>
      </w:rPr>
    </w:pPr>
    <w:r>
      <w:tab/>
    </w:r>
    <w:r w:rsidR="00F63BBC">
      <w:rPr>
        <w:sz w:val="14"/>
        <w:szCs w:val="16"/>
        <w:lang w:val="nl-BE"/>
      </w:rPr>
      <w:t>NBB_2017_1</w:t>
    </w:r>
    <w:r w:rsidR="00AF55D8">
      <w:rPr>
        <w:sz w:val="14"/>
        <w:szCs w:val="16"/>
        <w:lang w:val="nl-BE"/>
      </w:rPr>
      <w:t>8</w:t>
    </w:r>
    <w:r w:rsidR="00F63BBC">
      <w:rPr>
        <w:sz w:val="14"/>
        <w:szCs w:val="16"/>
        <w:lang w:val="nl-BE"/>
      </w:rPr>
      <w:t xml:space="preserve"> </w:t>
    </w:r>
    <w:r w:rsidR="00F63BBC">
      <w:rPr>
        <w:rFonts w:cs="Arial"/>
        <w:sz w:val="14"/>
        <w:szCs w:val="16"/>
        <w:lang w:val="nl-BE"/>
      </w:rPr>
      <w:t>–</w:t>
    </w:r>
    <w:r w:rsidR="00F63BBC">
      <w:rPr>
        <w:rFonts w:cs="Arial"/>
        <w:sz w:val="14"/>
        <w:szCs w:val="16"/>
        <w:lang w:val="nl-BE"/>
      </w:rPr>
      <w:t> </w:t>
    </w:r>
    <w:r w:rsidR="00427B82">
      <w:rPr>
        <w:rFonts w:cs="Arial"/>
        <w:sz w:val="14"/>
        <w:szCs w:val="16"/>
        <w:lang w:val="nl-BE"/>
      </w:rPr>
      <w:t>2</w:t>
    </w:r>
    <w:r w:rsidR="00F63BBC">
      <w:rPr>
        <w:rFonts w:cs="Arial"/>
        <w:sz w:val="14"/>
        <w:szCs w:val="16"/>
        <w:lang w:val="nl-BE"/>
      </w:rPr>
      <w:t xml:space="preserve"> </w:t>
    </w:r>
    <w:proofErr w:type="spellStart"/>
    <w:r w:rsidR="00427B82">
      <w:rPr>
        <w:sz w:val="14"/>
        <w:szCs w:val="16"/>
        <w:lang w:val="nl-BE"/>
      </w:rPr>
      <w:t>June</w:t>
    </w:r>
    <w:proofErr w:type="spellEnd"/>
    <w:r w:rsidR="00F63BBC">
      <w:rPr>
        <w:sz w:val="14"/>
        <w:szCs w:val="16"/>
        <w:lang w:val="nl-BE"/>
      </w:rPr>
      <w:t xml:space="preserve"> 2017</w:t>
    </w:r>
    <w:r>
      <w:tab/>
    </w:r>
    <w:r w:rsidR="00F63BBC">
      <w:rPr>
        <w:b/>
        <w:sz w:val="16"/>
      </w:rPr>
      <w:t>Communication</w:t>
    </w:r>
    <w:r>
      <w:rPr>
        <w:b/>
        <w:sz w:val="16"/>
      </w:rPr>
      <w:t xml:space="preserve"> – P. </w:t>
    </w:r>
    <w:r>
      <w:rPr>
        <w:b/>
        <w:sz w:val="16"/>
        <w:szCs w:val="16"/>
      </w:rPr>
      <w:fldChar w:fldCharType="begin"/>
    </w:r>
    <w:r>
      <w:rPr>
        <w:b/>
        <w:sz w:val="16"/>
        <w:szCs w:val="16"/>
      </w:rPr>
      <w:instrText xml:space="preserve"> PAGE   </w:instrText>
    </w:r>
    <w:r>
      <w:rPr>
        <w:b/>
        <w:sz w:val="16"/>
        <w:szCs w:val="16"/>
      </w:rPr>
      <w:fldChar w:fldCharType="separate"/>
    </w:r>
    <w:r w:rsidR="00DB43CB">
      <w:rPr>
        <w:b/>
        <w:noProof/>
        <w:sz w:val="16"/>
        <w:szCs w:val="16"/>
      </w:rPr>
      <w:t>1</w:t>
    </w:r>
    <w:r>
      <w:rPr>
        <w:b/>
        <w:sz w:val="16"/>
        <w:szCs w:val="16"/>
      </w:rPr>
      <w:fldChar w:fldCharType="end"/>
    </w:r>
    <w:r>
      <w:rPr>
        <w:b/>
        <w:sz w:val="16"/>
      </w:rPr>
      <w:t>/</w:t>
    </w:r>
    <w:r>
      <w:rPr>
        <w:b/>
        <w:sz w:val="16"/>
        <w:szCs w:val="16"/>
      </w:rPr>
      <w:fldChar w:fldCharType="begin"/>
    </w:r>
    <w:r>
      <w:rPr>
        <w:b/>
        <w:sz w:val="16"/>
        <w:szCs w:val="16"/>
      </w:rPr>
      <w:instrText xml:space="preserve"> NUMPAGES   </w:instrText>
    </w:r>
    <w:r>
      <w:rPr>
        <w:b/>
        <w:sz w:val="16"/>
        <w:szCs w:val="16"/>
      </w:rPr>
      <w:fldChar w:fldCharType="separate"/>
    </w:r>
    <w:r w:rsidR="00DB43CB">
      <w:rPr>
        <w:b/>
        <w:noProof/>
        <w:sz w:val="16"/>
        <w:szCs w:val="16"/>
      </w:rPr>
      <w:t>9</w:t>
    </w:r>
    <w:r>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B03CA" w14:textId="77777777" w:rsidR="0005400B" w:rsidRPr="00117F31" w:rsidRDefault="0005400B" w:rsidP="00117F31">
      <w:pPr>
        <w:pStyle w:val="Footer"/>
      </w:pPr>
    </w:p>
  </w:footnote>
  <w:footnote w:type="continuationSeparator" w:id="0">
    <w:p w14:paraId="2DEB03CB" w14:textId="77777777" w:rsidR="0005400B" w:rsidRPr="00117F31" w:rsidRDefault="0005400B" w:rsidP="00117F31">
      <w:pPr>
        <w:pStyle w:val="Footer"/>
      </w:pPr>
    </w:p>
  </w:footnote>
  <w:footnote w:type="continuationNotice" w:id="1">
    <w:p w14:paraId="2DEB03CC" w14:textId="77777777" w:rsidR="0005400B" w:rsidRDefault="0005400B"/>
  </w:footnote>
  <w:footnote w:id="2">
    <w:p w14:paraId="36101F53" w14:textId="2B077307" w:rsidR="00B96F97" w:rsidRPr="00B96F97" w:rsidRDefault="00B96F97" w:rsidP="00B96F97">
      <w:pPr>
        <w:spacing w:line="240" w:lineRule="atLeast"/>
        <w:ind w:left="360" w:hanging="360"/>
        <w:jc w:val="both"/>
        <w:rPr>
          <w:sz w:val="18"/>
          <w:szCs w:val="18"/>
        </w:rPr>
      </w:pPr>
      <w:r w:rsidRPr="00B96F97">
        <w:rPr>
          <w:rStyle w:val="FootnoteReference"/>
          <w:sz w:val="18"/>
          <w:szCs w:val="18"/>
        </w:rPr>
        <w:footnoteRef/>
      </w:r>
      <w:r w:rsidRPr="00B96F97">
        <w:rPr>
          <w:sz w:val="18"/>
          <w:szCs w:val="18"/>
        </w:rPr>
        <w:t xml:space="preserve"> </w:t>
      </w:r>
      <w:r>
        <w:rPr>
          <w:sz w:val="18"/>
          <w:szCs w:val="18"/>
        </w:rPr>
        <w:tab/>
      </w:r>
      <w:r w:rsidRPr="00B96F97">
        <w:rPr>
          <w:sz w:val="18"/>
          <w:szCs w:val="18"/>
        </w:rPr>
        <w:t>It should also be noted that, if activities are performed under the freedom to provide services from a branch of the insurance company governed by Belgian law, it should be considered that, since the branches do not have legal personality, the activities performed under the freedom to provide services are performed by the company governed by Belgian law itself, and it is therefore the Bank (and not the authority of the country hosting the branch) which should be notified of this activity performed under the freedom to provide services.</w:t>
      </w:r>
    </w:p>
    <w:p w14:paraId="2DA31D55" w14:textId="202D95D1" w:rsidR="00B96F97" w:rsidRPr="00B96F97" w:rsidRDefault="00B96F97">
      <w:pPr>
        <w:pStyle w:val="FootnoteText"/>
        <w:rPr>
          <w:lang w:val="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B03CF" w14:textId="77777777" w:rsidR="00450949" w:rsidRDefault="00450949" w:rsidP="00E829D6">
    <w:pPr>
      <w:pStyle w:val="Header"/>
      <w:tabs>
        <w:tab w:val="clear" w:pos="4394"/>
        <w:tab w:val="center" w:pos="4395"/>
      </w:tabs>
    </w:pPr>
  </w:p>
  <w:p w14:paraId="2DEB03D0" w14:textId="77777777" w:rsidR="00450949" w:rsidRPr="00BF29ED" w:rsidRDefault="00450949" w:rsidP="00E829D6">
    <w:pPr>
      <w:pStyle w:val="Header"/>
      <w:tabs>
        <w:tab w:val="clear" w:pos="4394"/>
        <w:tab w:val="center" w:pos="43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B03D1" w14:textId="77777777" w:rsidR="00450949" w:rsidRDefault="00450949" w:rsidP="00D850C8">
    <w:pPr>
      <w:pStyle w:val="Header"/>
    </w:pPr>
  </w:p>
  <w:p w14:paraId="2DEB03D2" w14:textId="77777777" w:rsidR="00450949" w:rsidRPr="00D850C8" w:rsidRDefault="00450949" w:rsidP="00D85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CA769" w14:textId="77777777" w:rsidR="00267C09" w:rsidRDefault="00267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C4C596"/>
    <w:lvl w:ilvl="0">
      <w:start w:val="1"/>
      <w:numFmt w:val="decimal"/>
      <w:lvlText w:val="%1."/>
      <w:lvlJc w:val="left"/>
      <w:pPr>
        <w:tabs>
          <w:tab w:val="num" w:pos="1492"/>
        </w:tabs>
        <w:ind w:left="1492" w:hanging="360"/>
      </w:pPr>
    </w:lvl>
  </w:abstractNum>
  <w:abstractNum w:abstractNumId="1">
    <w:nsid w:val="FFFFFF7D"/>
    <w:multiLevelType w:val="singleLevel"/>
    <w:tmpl w:val="B456B8EA"/>
    <w:lvl w:ilvl="0">
      <w:start w:val="1"/>
      <w:numFmt w:val="decimal"/>
      <w:lvlText w:val="%1."/>
      <w:lvlJc w:val="left"/>
      <w:pPr>
        <w:tabs>
          <w:tab w:val="num" w:pos="1209"/>
        </w:tabs>
        <w:ind w:left="1209" w:hanging="360"/>
      </w:pPr>
    </w:lvl>
  </w:abstractNum>
  <w:abstractNum w:abstractNumId="2">
    <w:nsid w:val="FFFFFF7E"/>
    <w:multiLevelType w:val="singleLevel"/>
    <w:tmpl w:val="FB5CC4CE"/>
    <w:lvl w:ilvl="0">
      <w:start w:val="1"/>
      <w:numFmt w:val="decimal"/>
      <w:lvlText w:val="%1."/>
      <w:lvlJc w:val="left"/>
      <w:pPr>
        <w:tabs>
          <w:tab w:val="num" w:pos="926"/>
        </w:tabs>
        <w:ind w:left="926" w:hanging="360"/>
      </w:pPr>
    </w:lvl>
  </w:abstractNum>
  <w:abstractNum w:abstractNumId="3">
    <w:nsid w:val="FFFFFF7F"/>
    <w:multiLevelType w:val="singleLevel"/>
    <w:tmpl w:val="5A54D732"/>
    <w:lvl w:ilvl="0">
      <w:start w:val="1"/>
      <w:numFmt w:val="decimal"/>
      <w:lvlText w:val="%1."/>
      <w:lvlJc w:val="left"/>
      <w:pPr>
        <w:tabs>
          <w:tab w:val="num" w:pos="643"/>
        </w:tabs>
        <w:ind w:left="643" w:hanging="360"/>
      </w:pPr>
    </w:lvl>
  </w:abstractNum>
  <w:abstractNum w:abstractNumId="4">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C288AE"/>
    <w:lvl w:ilvl="0">
      <w:start w:val="1"/>
      <w:numFmt w:val="decimal"/>
      <w:lvlText w:val="%1."/>
      <w:lvlJc w:val="left"/>
      <w:pPr>
        <w:tabs>
          <w:tab w:val="num" w:pos="360"/>
        </w:tabs>
        <w:ind w:left="360" w:hanging="360"/>
      </w:pPr>
    </w:lvl>
  </w:abstractNum>
  <w:abstractNum w:abstractNumId="9">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nsid w:val="056D4443"/>
    <w:multiLevelType w:val="hybridMultilevel"/>
    <w:tmpl w:val="CD7EF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2">
    <w:nsid w:val="0EFE5617"/>
    <w:multiLevelType w:val="hybridMultilevel"/>
    <w:tmpl w:val="525E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4">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5">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7DB2D9B"/>
    <w:multiLevelType w:val="hybridMultilevel"/>
    <w:tmpl w:val="747C3516"/>
    <w:lvl w:ilvl="0" w:tplc="935461B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14F6EE0"/>
    <w:multiLevelType w:val="hybridMultilevel"/>
    <w:tmpl w:val="4DD09A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965C10"/>
    <w:multiLevelType w:val="hybridMultilevel"/>
    <w:tmpl w:val="CB087792"/>
    <w:lvl w:ilvl="0" w:tplc="0AC43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20">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1">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2">
    <w:nsid w:val="36C8576E"/>
    <w:multiLevelType w:val="hybridMultilevel"/>
    <w:tmpl w:val="4DD09A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24">
    <w:nsid w:val="3B3358AE"/>
    <w:multiLevelType w:val="hybridMultilevel"/>
    <w:tmpl w:val="BACEF21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36B1F3E"/>
    <w:multiLevelType w:val="hybridMultilevel"/>
    <w:tmpl w:val="15801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290A79"/>
    <w:multiLevelType w:val="hybridMultilevel"/>
    <w:tmpl w:val="02D4EEA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nsid w:val="49CD0768"/>
    <w:multiLevelType w:val="hybridMultilevel"/>
    <w:tmpl w:val="9FDC4C26"/>
    <w:lvl w:ilvl="0" w:tplc="04090005">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1">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923500C"/>
    <w:multiLevelType w:val="hybridMultilevel"/>
    <w:tmpl w:val="15801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B65024D"/>
    <w:multiLevelType w:val="hybridMultilevel"/>
    <w:tmpl w:val="315607CE"/>
    <w:lvl w:ilvl="0" w:tplc="DCFEBC9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6">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77E0F7E"/>
    <w:multiLevelType w:val="hybridMultilevel"/>
    <w:tmpl w:val="E176F6F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B4C0D64"/>
    <w:multiLevelType w:val="hybridMultilevel"/>
    <w:tmpl w:val="74F2CE38"/>
    <w:lvl w:ilvl="0" w:tplc="9D9E4D2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F65C9A"/>
    <w:multiLevelType w:val="hybridMultilevel"/>
    <w:tmpl w:val="56428E92"/>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2">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4535A4A"/>
    <w:multiLevelType w:val="hybridMultilevel"/>
    <w:tmpl w:val="6E842FA4"/>
    <w:lvl w:ilvl="0" w:tplc="2FBA5B7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45">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46">
    <w:nsid w:val="78565A83"/>
    <w:multiLevelType w:val="hybridMultilevel"/>
    <w:tmpl w:val="3658438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A55591A"/>
    <w:multiLevelType w:val="hybridMultilevel"/>
    <w:tmpl w:val="15801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6"/>
  </w:num>
  <w:num w:numId="12">
    <w:abstractNumId w:val="26"/>
  </w:num>
  <w:num w:numId="13">
    <w:abstractNumId w:val="42"/>
  </w:num>
  <w:num w:numId="14">
    <w:abstractNumId w:val="31"/>
  </w:num>
  <w:num w:numId="15">
    <w:abstractNumId w:val="25"/>
  </w:num>
  <w:num w:numId="16">
    <w:abstractNumId w:val="15"/>
  </w:num>
  <w:num w:numId="17">
    <w:abstractNumId w:val="44"/>
  </w:num>
  <w:num w:numId="18">
    <w:abstractNumId w:val="14"/>
  </w:num>
  <w:num w:numId="19">
    <w:abstractNumId w:val="19"/>
  </w:num>
  <w:num w:numId="20">
    <w:abstractNumId w:val="45"/>
  </w:num>
  <w:num w:numId="21">
    <w:abstractNumId w:val="13"/>
  </w:num>
  <w:num w:numId="22">
    <w:abstractNumId w:val="33"/>
  </w:num>
  <w:num w:numId="23">
    <w:abstractNumId w:val="38"/>
  </w:num>
  <w:num w:numId="24">
    <w:abstractNumId w:val="21"/>
  </w:num>
  <w:num w:numId="25">
    <w:abstractNumId w:val="20"/>
  </w:num>
  <w:num w:numId="26">
    <w:abstractNumId w:val="35"/>
  </w:num>
  <w:num w:numId="27">
    <w:abstractNumId w:val="11"/>
  </w:num>
  <w:num w:numId="28">
    <w:abstractNumId w:val="23"/>
  </w:num>
  <w:num w:numId="29">
    <w:abstractNumId w:val="41"/>
  </w:num>
  <w:num w:numId="30">
    <w:abstractNumId w:val="27"/>
  </w:num>
  <w:num w:numId="31">
    <w:abstractNumId w:val="10"/>
  </w:num>
  <w:num w:numId="32">
    <w:abstractNumId w:val="28"/>
  </w:num>
  <w:num w:numId="33">
    <w:abstractNumId w:val="43"/>
  </w:num>
  <w:num w:numId="34">
    <w:abstractNumId w:val="16"/>
  </w:num>
  <w:num w:numId="35">
    <w:abstractNumId w:val="32"/>
  </w:num>
  <w:num w:numId="36">
    <w:abstractNumId w:val="39"/>
  </w:num>
  <w:num w:numId="37">
    <w:abstractNumId w:val="30"/>
  </w:num>
  <w:num w:numId="38">
    <w:abstractNumId w:val="12"/>
  </w:num>
  <w:num w:numId="39">
    <w:abstractNumId w:val="18"/>
  </w:num>
  <w:num w:numId="40">
    <w:abstractNumId w:val="37"/>
  </w:num>
  <w:num w:numId="41">
    <w:abstractNumId w:val="47"/>
  </w:num>
  <w:num w:numId="42">
    <w:abstractNumId w:val="34"/>
  </w:num>
  <w:num w:numId="43">
    <w:abstractNumId w:val="40"/>
  </w:num>
  <w:num w:numId="44">
    <w:abstractNumId w:val="22"/>
  </w:num>
  <w:num w:numId="45">
    <w:abstractNumId w:val="46"/>
  </w:num>
  <w:num w:numId="46">
    <w:abstractNumId w:val="17"/>
  </w:num>
  <w:num w:numId="47">
    <w:abstractNumId w:val="2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057"/>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0B"/>
    <w:rsid w:val="00024A9E"/>
    <w:rsid w:val="000327D2"/>
    <w:rsid w:val="0003333C"/>
    <w:rsid w:val="00036E81"/>
    <w:rsid w:val="00041129"/>
    <w:rsid w:val="0004319E"/>
    <w:rsid w:val="00044873"/>
    <w:rsid w:val="0004570B"/>
    <w:rsid w:val="00051F2C"/>
    <w:rsid w:val="00053EEF"/>
    <w:rsid w:val="0005400B"/>
    <w:rsid w:val="00062C1B"/>
    <w:rsid w:val="00064AC6"/>
    <w:rsid w:val="00071546"/>
    <w:rsid w:val="00082FA7"/>
    <w:rsid w:val="000869C2"/>
    <w:rsid w:val="00090275"/>
    <w:rsid w:val="00097598"/>
    <w:rsid w:val="000A1DA9"/>
    <w:rsid w:val="000B6441"/>
    <w:rsid w:val="000C35AA"/>
    <w:rsid w:val="000C37AB"/>
    <w:rsid w:val="000D10C0"/>
    <w:rsid w:val="000D3FC7"/>
    <w:rsid w:val="000D405E"/>
    <w:rsid w:val="000E0090"/>
    <w:rsid w:val="000E2A68"/>
    <w:rsid w:val="000F1EB6"/>
    <w:rsid w:val="000F7268"/>
    <w:rsid w:val="000F7C34"/>
    <w:rsid w:val="001126F5"/>
    <w:rsid w:val="00114821"/>
    <w:rsid w:val="00117F31"/>
    <w:rsid w:val="00124312"/>
    <w:rsid w:val="00124AA8"/>
    <w:rsid w:val="00133D4B"/>
    <w:rsid w:val="00145EF1"/>
    <w:rsid w:val="00147097"/>
    <w:rsid w:val="00147933"/>
    <w:rsid w:val="001516F5"/>
    <w:rsid w:val="001520B9"/>
    <w:rsid w:val="0015337A"/>
    <w:rsid w:val="00153391"/>
    <w:rsid w:val="00154310"/>
    <w:rsid w:val="001548A9"/>
    <w:rsid w:val="00155349"/>
    <w:rsid w:val="00160D31"/>
    <w:rsid w:val="00167ACD"/>
    <w:rsid w:val="00170E74"/>
    <w:rsid w:val="00172DAF"/>
    <w:rsid w:val="00175ADE"/>
    <w:rsid w:val="001763C2"/>
    <w:rsid w:val="0017662B"/>
    <w:rsid w:val="001767CB"/>
    <w:rsid w:val="0018048D"/>
    <w:rsid w:val="0018615D"/>
    <w:rsid w:val="00186A23"/>
    <w:rsid w:val="00186EC7"/>
    <w:rsid w:val="0019158E"/>
    <w:rsid w:val="00197FEB"/>
    <w:rsid w:val="001A1D68"/>
    <w:rsid w:val="001A7DC7"/>
    <w:rsid w:val="001B4EEE"/>
    <w:rsid w:val="001B7F21"/>
    <w:rsid w:val="001D503F"/>
    <w:rsid w:val="001F1805"/>
    <w:rsid w:val="001F4264"/>
    <w:rsid w:val="001F711D"/>
    <w:rsid w:val="00200D79"/>
    <w:rsid w:val="00202B0B"/>
    <w:rsid w:val="00204BE8"/>
    <w:rsid w:val="00214D28"/>
    <w:rsid w:val="00215E02"/>
    <w:rsid w:val="00221231"/>
    <w:rsid w:val="00223911"/>
    <w:rsid w:val="002307B0"/>
    <w:rsid w:val="00231694"/>
    <w:rsid w:val="00231D95"/>
    <w:rsid w:val="002333AF"/>
    <w:rsid w:val="00233828"/>
    <w:rsid w:val="002406B2"/>
    <w:rsid w:val="002477FA"/>
    <w:rsid w:val="002554D2"/>
    <w:rsid w:val="00260271"/>
    <w:rsid w:val="00261D63"/>
    <w:rsid w:val="00263F49"/>
    <w:rsid w:val="00267C09"/>
    <w:rsid w:val="002754A4"/>
    <w:rsid w:val="00275C1C"/>
    <w:rsid w:val="00276804"/>
    <w:rsid w:val="00277819"/>
    <w:rsid w:val="00277EDB"/>
    <w:rsid w:val="002859A3"/>
    <w:rsid w:val="00287538"/>
    <w:rsid w:val="0028790D"/>
    <w:rsid w:val="002B5743"/>
    <w:rsid w:val="002D5723"/>
    <w:rsid w:val="002D75B3"/>
    <w:rsid w:val="002E10A2"/>
    <w:rsid w:val="002E15B9"/>
    <w:rsid w:val="002E409B"/>
    <w:rsid w:val="002E5144"/>
    <w:rsid w:val="002F1611"/>
    <w:rsid w:val="003116AA"/>
    <w:rsid w:val="003135E6"/>
    <w:rsid w:val="003311FF"/>
    <w:rsid w:val="003364D4"/>
    <w:rsid w:val="00336912"/>
    <w:rsid w:val="003419C5"/>
    <w:rsid w:val="00350EFD"/>
    <w:rsid w:val="00352B22"/>
    <w:rsid w:val="00353178"/>
    <w:rsid w:val="00353B86"/>
    <w:rsid w:val="00353E3D"/>
    <w:rsid w:val="00354956"/>
    <w:rsid w:val="00362513"/>
    <w:rsid w:val="00365065"/>
    <w:rsid w:val="00365FFE"/>
    <w:rsid w:val="00376A1B"/>
    <w:rsid w:val="00377371"/>
    <w:rsid w:val="003802EE"/>
    <w:rsid w:val="0038095A"/>
    <w:rsid w:val="00381F4A"/>
    <w:rsid w:val="00382B97"/>
    <w:rsid w:val="00383392"/>
    <w:rsid w:val="00384BA8"/>
    <w:rsid w:val="00387716"/>
    <w:rsid w:val="00395A49"/>
    <w:rsid w:val="00397DDA"/>
    <w:rsid w:val="003B1662"/>
    <w:rsid w:val="003B7866"/>
    <w:rsid w:val="003C7F05"/>
    <w:rsid w:val="003D7096"/>
    <w:rsid w:val="003E4928"/>
    <w:rsid w:val="003F2836"/>
    <w:rsid w:val="003F792F"/>
    <w:rsid w:val="004003CC"/>
    <w:rsid w:val="00407822"/>
    <w:rsid w:val="00412C56"/>
    <w:rsid w:val="0042595A"/>
    <w:rsid w:val="004275C8"/>
    <w:rsid w:val="00427B82"/>
    <w:rsid w:val="004449B7"/>
    <w:rsid w:val="00447FED"/>
    <w:rsid w:val="00450949"/>
    <w:rsid w:val="004540E1"/>
    <w:rsid w:val="00454C65"/>
    <w:rsid w:val="00456DEB"/>
    <w:rsid w:val="004619EE"/>
    <w:rsid w:val="00464101"/>
    <w:rsid w:val="004650BD"/>
    <w:rsid w:val="004673C3"/>
    <w:rsid w:val="004679FA"/>
    <w:rsid w:val="00477F18"/>
    <w:rsid w:val="00483D2B"/>
    <w:rsid w:val="00485F3C"/>
    <w:rsid w:val="004A477F"/>
    <w:rsid w:val="004A4C5C"/>
    <w:rsid w:val="004B400F"/>
    <w:rsid w:val="004C14FA"/>
    <w:rsid w:val="004C2424"/>
    <w:rsid w:val="004C3D0B"/>
    <w:rsid w:val="004D12DD"/>
    <w:rsid w:val="004E136D"/>
    <w:rsid w:val="004E6819"/>
    <w:rsid w:val="004F04DA"/>
    <w:rsid w:val="004F0F6B"/>
    <w:rsid w:val="004F41BA"/>
    <w:rsid w:val="005017FA"/>
    <w:rsid w:val="005026EC"/>
    <w:rsid w:val="005033DA"/>
    <w:rsid w:val="0050792E"/>
    <w:rsid w:val="0051268A"/>
    <w:rsid w:val="00535824"/>
    <w:rsid w:val="00552963"/>
    <w:rsid w:val="0055492B"/>
    <w:rsid w:val="00557A3F"/>
    <w:rsid w:val="0056043D"/>
    <w:rsid w:val="005616A3"/>
    <w:rsid w:val="00561A9A"/>
    <w:rsid w:val="00567693"/>
    <w:rsid w:val="00571A24"/>
    <w:rsid w:val="00572C5D"/>
    <w:rsid w:val="00582D56"/>
    <w:rsid w:val="00592469"/>
    <w:rsid w:val="00592957"/>
    <w:rsid w:val="005932C7"/>
    <w:rsid w:val="0059396D"/>
    <w:rsid w:val="00596E2D"/>
    <w:rsid w:val="005A3DA7"/>
    <w:rsid w:val="005B4C1C"/>
    <w:rsid w:val="005C1B25"/>
    <w:rsid w:val="005C3450"/>
    <w:rsid w:val="005C3F84"/>
    <w:rsid w:val="005E33F6"/>
    <w:rsid w:val="005F29A4"/>
    <w:rsid w:val="006107D5"/>
    <w:rsid w:val="00610B4E"/>
    <w:rsid w:val="00611E02"/>
    <w:rsid w:val="00627AF2"/>
    <w:rsid w:val="0063089E"/>
    <w:rsid w:val="006316A4"/>
    <w:rsid w:val="00631E3C"/>
    <w:rsid w:val="00634558"/>
    <w:rsid w:val="00635AD7"/>
    <w:rsid w:val="00635DCE"/>
    <w:rsid w:val="00636445"/>
    <w:rsid w:val="006372C7"/>
    <w:rsid w:val="006376E3"/>
    <w:rsid w:val="006506E6"/>
    <w:rsid w:val="00651843"/>
    <w:rsid w:val="00653A88"/>
    <w:rsid w:val="006602F1"/>
    <w:rsid w:val="006626A0"/>
    <w:rsid w:val="00667481"/>
    <w:rsid w:val="006703F5"/>
    <w:rsid w:val="0067198D"/>
    <w:rsid w:val="00677AA5"/>
    <w:rsid w:val="0068065A"/>
    <w:rsid w:val="00683802"/>
    <w:rsid w:val="0068679D"/>
    <w:rsid w:val="006937D6"/>
    <w:rsid w:val="00696FFF"/>
    <w:rsid w:val="0069769C"/>
    <w:rsid w:val="00697F48"/>
    <w:rsid w:val="006A3829"/>
    <w:rsid w:val="006B6BFC"/>
    <w:rsid w:val="006D477D"/>
    <w:rsid w:val="006E0715"/>
    <w:rsid w:val="006E6113"/>
    <w:rsid w:val="006E7D13"/>
    <w:rsid w:val="00702DA6"/>
    <w:rsid w:val="00706B32"/>
    <w:rsid w:val="00707C96"/>
    <w:rsid w:val="0071004E"/>
    <w:rsid w:val="00714070"/>
    <w:rsid w:val="007148AA"/>
    <w:rsid w:val="00715984"/>
    <w:rsid w:val="00716D90"/>
    <w:rsid w:val="00730DDA"/>
    <w:rsid w:val="00733829"/>
    <w:rsid w:val="00733DE9"/>
    <w:rsid w:val="00741E9C"/>
    <w:rsid w:val="007459B1"/>
    <w:rsid w:val="00750B57"/>
    <w:rsid w:val="00752FC4"/>
    <w:rsid w:val="007649C4"/>
    <w:rsid w:val="007654E7"/>
    <w:rsid w:val="00766F4D"/>
    <w:rsid w:val="0077019B"/>
    <w:rsid w:val="00772658"/>
    <w:rsid w:val="00773E81"/>
    <w:rsid w:val="0078025D"/>
    <w:rsid w:val="00785B6F"/>
    <w:rsid w:val="00787601"/>
    <w:rsid w:val="00793AAB"/>
    <w:rsid w:val="00794D8C"/>
    <w:rsid w:val="00795758"/>
    <w:rsid w:val="00796920"/>
    <w:rsid w:val="00797BED"/>
    <w:rsid w:val="007A1C59"/>
    <w:rsid w:val="007A1F21"/>
    <w:rsid w:val="007A3EF3"/>
    <w:rsid w:val="007A552B"/>
    <w:rsid w:val="007A6D1E"/>
    <w:rsid w:val="007B25F7"/>
    <w:rsid w:val="007B793B"/>
    <w:rsid w:val="007C5D66"/>
    <w:rsid w:val="007C6D45"/>
    <w:rsid w:val="007E0494"/>
    <w:rsid w:val="007E0667"/>
    <w:rsid w:val="007E42B1"/>
    <w:rsid w:val="007E65A4"/>
    <w:rsid w:val="007E71C9"/>
    <w:rsid w:val="007E7B0F"/>
    <w:rsid w:val="007F0A8C"/>
    <w:rsid w:val="007F462A"/>
    <w:rsid w:val="007F5AF5"/>
    <w:rsid w:val="007F78DB"/>
    <w:rsid w:val="00804480"/>
    <w:rsid w:val="00805AFA"/>
    <w:rsid w:val="0081015C"/>
    <w:rsid w:val="00813726"/>
    <w:rsid w:val="00814FBE"/>
    <w:rsid w:val="00821F74"/>
    <w:rsid w:val="00822375"/>
    <w:rsid w:val="00824A23"/>
    <w:rsid w:val="00836C05"/>
    <w:rsid w:val="008374B9"/>
    <w:rsid w:val="008437C4"/>
    <w:rsid w:val="00843F67"/>
    <w:rsid w:val="00847145"/>
    <w:rsid w:val="008503E8"/>
    <w:rsid w:val="008837CF"/>
    <w:rsid w:val="00896CFE"/>
    <w:rsid w:val="008977A1"/>
    <w:rsid w:val="008B2570"/>
    <w:rsid w:val="008C3918"/>
    <w:rsid w:val="008C4032"/>
    <w:rsid w:val="008D6E08"/>
    <w:rsid w:val="008E5948"/>
    <w:rsid w:val="008E6931"/>
    <w:rsid w:val="008F2C39"/>
    <w:rsid w:val="0090354E"/>
    <w:rsid w:val="0090398E"/>
    <w:rsid w:val="00905D03"/>
    <w:rsid w:val="00914031"/>
    <w:rsid w:val="00932175"/>
    <w:rsid w:val="00935B26"/>
    <w:rsid w:val="00937808"/>
    <w:rsid w:val="00940C81"/>
    <w:rsid w:val="00942B19"/>
    <w:rsid w:val="00942EE2"/>
    <w:rsid w:val="00944B47"/>
    <w:rsid w:val="009466D6"/>
    <w:rsid w:val="00950C45"/>
    <w:rsid w:val="00954143"/>
    <w:rsid w:val="009600D3"/>
    <w:rsid w:val="00974952"/>
    <w:rsid w:val="00983714"/>
    <w:rsid w:val="00985229"/>
    <w:rsid w:val="00987DEA"/>
    <w:rsid w:val="00991E7A"/>
    <w:rsid w:val="009939BE"/>
    <w:rsid w:val="00994BF4"/>
    <w:rsid w:val="009A0346"/>
    <w:rsid w:val="009A140C"/>
    <w:rsid w:val="009A27A4"/>
    <w:rsid w:val="009A2C2C"/>
    <w:rsid w:val="009B132A"/>
    <w:rsid w:val="009B1A1D"/>
    <w:rsid w:val="009B6FA0"/>
    <w:rsid w:val="009C0368"/>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03BE"/>
    <w:rsid w:val="00A2514A"/>
    <w:rsid w:val="00A25A33"/>
    <w:rsid w:val="00A267AD"/>
    <w:rsid w:val="00A351FF"/>
    <w:rsid w:val="00A355E9"/>
    <w:rsid w:val="00A51FAA"/>
    <w:rsid w:val="00A55A96"/>
    <w:rsid w:val="00A56340"/>
    <w:rsid w:val="00A605D0"/>
    <w:rsid w:val="00A621A5"/>
    <w:rsid w:val="00A62501"/>
    <w:rsid w:val="00A63616"/>
    <w:rsid w:val="00A679F2"/>
    <w:rsid w:val="00A709E5"/>
    <w:rsid w:val="00A7250C"/>
    <w:rsid w:val="00A73D60"/>
    <w:rsid w:val="00A876D8"/>
    <w:rsid w:val="00A907FA"/>
    <w:rsid w:val="00A912F7"/>
    <w:rsid w:val="00A928C4"/>
    <w:rsid w:val="00A973C8"/>
    <w:rsid w:val="00AA074E"/>
    <w:rsid w:val="00AB4D11"/>
    <w:rsid w:val="00AB5B67"/>
    <w:rsid w:val="00AB5F38"/>
    <w:rsid w:val="00AB6BD9"/>
    <w:rsid w:val="00AC619F"/>
    <w:rsid w:val="00AD7BAB"/>
    <w:rsid w:val="00AE028E"/>
    <w:rsid w:val="00AE0FA5"/>
    <w:rsid w:val="00AF55D8"/>
    <w:rsid w:val="00AF77D2"/>
    <w:rsid w:val="00B04933"/>
    <w:rsid w:val="00B11BB2"/>
    <w:rsid w:val="00B144C0"/>
    <w:rsid w:val="00B1572B"/>
    <w:rsid w:val="00B338D7"/>
    <w:rsid w:val="00B34FEF"/>
    <w:rsid w:val="00B352D4"/>
    <w:rsid w:val="00B402AF"/>
    <w:rsid w:val="00B404A0"/>
    <w:rsid w:val="00B41942"/>
    <w:rsid w:val="00B432F7"/>
    <w:rsid w:val="00B44C6F"/>
    <w:rsid w:val="00B44D45"/>
    <w:rsid w:val="00B46BAE"/>
    <w:rsid w:val="00B52F2E"/>
    <w:rsid w:val="00B614D1"/>
    <w:rsid w:val="00B63B89"/>
    <w:rsid w:val="00B661C8"/>
    <w:rsid w:val="00B70899"/>
    <w:rsid w:val="00B73FEE"/>
    <w:rsid w:val="00B80CFD"/>
    <w:rsid w:val="00B818FA"/>
    <w:rsid w:val="00B908B1"/>
    <w:rsid w:val="00B92424"/>
    <w:rsid w:val="00B96F97"/>
    <w:rsid w:val="00B97B40"/>
    <w:rsid w:val="00BC351F"/>
    <w:rsid w:val="00BC6E23"/>
    <w:rsid w:val="00BD7A38"/>
    <w:rsid w:val="00BE0CD8"/>
    <w:rsid w:val="00BF29ED"/>
    <w:rsid w:val="00BF5C8A"/>
    <w:rsid w:val="00BF604B"/>
    <w:rsid w:val="00C0402A"/>
    <w:rsid w:val="00C0479C"/>
    <w:rsid w:val="00C0490F"/>
    <w:rsid w:val="00C05737"/>
    <w:rsid w:val="00C079B3"/>
    <w:rsid w:val="00C20231"/>
    <w:rsid w:val="00C211DB"/>
    <w:rsid w:val="00C24707"/>
    <w:rsid w:val="00C2688E"/>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5A74"/>
    <w:rsid w:val="00CB1B28"/>
    <w:rsid w:val="00CB2202"/>
    <w:rsid w:val="00CB30C8"/>
    <w:rsid w:val="00CB4A52"/>
    <w:rsid w:val="00CC0365"/>
    <w:rsid w:val="00CC4296"/>
    <w:rsid w:val="00CE5D84"/>
    <w:rsid w:val="00CF6318"/>
    <w:rsid w:val="00CF63B4"/>
    <w:rsid w:val="00D00492"/>
    <w:rsid w:val="00D05113"/>
    <w:rsid w:val="00D0540B"/>
    <w:rsid w:val="00D06A39"/>
    <w:rsid w:val="00D160E1"/>
    <w:rsid w:val="00D231CE"/>
    <w:rsid w:val="00D25CC0"/>
    <w:rsid w:val="00D2603A"/>
    <w:rsid w:val="00D2703D"/>
    <w:rsid w:val="00D32B1A"/>
    <w:rsid w:val="00D346B5"/>
    <w:rsid w:val="00D36C5D"/>
    <w:rsid w:val="00D410A7"/>
    <w:rsid w:val="00D423C7"/>
    <w:rsid w:val="00D527DE"/>
    <w:rsid w:val="00D54DCD"/>
    <w:rsid w:val="00D556C0"/>
    <w:rsid w:val="00D62D9B"/>
    <w:rsid w:val="00D63DA6"/>
    <w:rsid w:val="00D650B1"/>
    <w:rsid w:val="00D718C9"/>
    <w:rsid w:val="00D73786"/>
    <w:rsid w:val="00D75B6C"/>
    <w:rsid w:val="00D82C98"/>
    <w:rsid w:val="00D850C8"/>
    <w:rsid w:val="00DA1BBF"/>
    <w:rsid w:val="00DB31C8"/>
    <w:rsid w:val="00DB43CB"/>
    <w:rsid w:val="00DC0B0F"/>
    <w:rsid w:val="00DC1B28"/>
    <w:rsid w:val="00DC727C"/>
    <w:rsid w:val="00DD1D39"/>
    <w:rsid w:val="00DD2826"/>
    <w:rsid w:val="00DD5FCE"/>
    <w:rsid w:val="00DF3B32"/>
    <w:rsid w:val="00DF758C"/>
    <w:rsid w:val="00DF7D48"/>
    <w:rsid w:val="00E04E63"/>
    <w:rsid w:val="00E07CCE"/>
    <w:rsid w:val="00E13E2F"/>
    <w:rsid w:val="00E13E61"/>
    <w:rsid w:val="00E162FC"/>
    <w:rsid w:val="00E16B13"/>
    <w:rsid w:val="00E22E1D"/>
    <w:rsid w:val="00E26ABD"/>
    <w:rsid w:val="00E271A7"/>
    <w:rsid w:val="00E348BA"/>
    <w:rsid w:val="00E34A80"/>
    <w:rsid w:val="00E36D9F"/>
    <w:rsid w:val="00E471A8"/>
    <w:rsid w:val="00E51093"/>
    <w:rsid w:val="00E65C86"/>
    <w:rsid w:val="00E66CEF"/>
    <w:rsid w:val="00E73749"/>
    <w:rsid w:val="00E759E4"/>
    <w:rsid w:val="00E77B8A"/>
    <w:rsid w:val="00E829D6"/>
    <w:rsid w:val="00E87276"/>
    <w:rsid w:val="00E90111"/>
    <w:rsid w:val="00E9511F"/>
    <w:rsid w:val="00E966D1"/>
    <w:rsid w:val="00E96FD9"/>
    <w:rsid w:val="00EA2226"/>
    <w:rsid w:val="00EA33BE"/>
    <w:rsid w:val="00EB0851"/>
    <w:rsid w:val="00EB13F8"/>
    <w:rsid w:val="00EB1696"/>
    <w:rsid w:val="00EB28A5"/>
    <w:rsid w:val="00EB3741"/>
    <w:rsid w:val="00EB3F3D"/>
    <w:rsid w:val="00EB6DE0"/>
    <w:rsid w:val="00ED10C8"/>
    <w:rsid w:val="00ED1B50"/>
    <w:rsid w:val="00ED445E"/>
    <w:rsid w:val="00ED687C"/>
    <w:rsid w:val="00ED6928"/>
    <w:rsid w:val="00EE3C1C"/>
    <w:rsid w:val="00EE4A34"/>
    <w:rsid w:val="00EE5676"/>
    <w:rsid w:val="00F01DE1"/>
    <w:rsid w:val="00F063BF"/>
    <w:rsid w:val="00F120C3"/>
    <w:rsid w:val="00F21513"/>
    <w:rsid w:val="00F24DB0"/>
    <w:rsid w:val="00F31133"/>
    <w:rsid w:val="00F32E26"/>
    <w:rsid w:val="00F35F9D"/>
    <w:rsid w:val="00F50590"/>
    <w:rsid w:val="00F523A7"/>
    <w:rsid w:val="00F552BD"/>
    <w:rsid w:val="00F55AC8"/>
    <w:rsid w:val="00F57B63"/>
    <w:rsid w:val="00F60345"/>
    <w:rsid w:val="00F62B97"/>
    <w:rsid w:val="00F63335"/>
    <w:rsid w:val="00F63BBC"/>
    <w:rsid w:val="00F64E38"/>
    <w:rsid w:val="00F65486"/>
    <w:rsid w:val="00F73817"/>
    <w:rsid w:val="00F747FC"/>
    <w:rsid w:val="00F76523"/>
    <w:rsid w:val="00F815AC"/>
    <w:rsid w:val="00F8549F"/>
    <w:rsid w:val="00F917ED"/>
    <w:rsid w:val="00FA14B8"/>
    <w:rsid w:val="00FA56DE"/>
    <w:rsid w:val="00FE222C"/>
    <w:rsid w:val="00FE24A6"/>
    <w:rsid w:val="00FE7C3D"/>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DEB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rPr>
  </w:style>
  <w:style w:type="paragraph" w:customStyle="1" w:styleId="ServiceDienst">
    <w:name w:val="Service/Dienst"/>
    <w:next w:val="Normal"/>
    <w:rsid w:val="00E04E63"/>
    <w:pPr>
      <w:spacing w:line="240" w:lineRule="exact"/>
    </w:pPr>
    <w:rPr>
      <w:rFonts w:ascii="Arial" w:hAnsi="Arial"/>
      <w:noProof/>
      <w:sz w:val="17"/>
      <w:szCs w:val="16"/>
    </w:rPr>
  </w:style>
  <w:style w:type="paragraph" w:customStyle="1" w:styleId="SectionSectie">
    <w:name w:val="Section/Sectie"/>
    <w:next w:val="Normal"/>
    <w:semiHidden/>
    <w:rsid w:val="0081015C"/>
    <w:pPr>
      <w:spacing w:line="220" w:lineRule="exact"/>
    </w:pPr>
    <w:rPr>
      <w:rFonts w:ascii="Arial" w:hAnsi="Arial"/>
      <w:noProof/>
      <w:sz w:val="14"/>
      <w:szCs w:val="16"/>
    </w:rPr>
  </w:style>
  <w:style w:type="paragraph" w:customStyle="1" w:styleId="TitreTitel">
    <w:name w:val="Titre/Titel"/>
    <w:rsid w:val="00EB3741"/>
    <w:pPr>
      <w:spacing w:line="260" w:lineRule="atLeast"/>
    </w:pPr>
    <w:rPr>
      <w:rFonts w:ascii="Arial" w:hAnsi="Arial"/>
      <w:b/>
      <w:noProof/>
      <w:sz w:val="28"/>
      <w:szCs w:val="16"/>
    </w:rPr>
  </w:style>
  <w:style w:type="paragraph" w:customStyle="1" w:styleId="AdresseAdres">
    <w:name w:val="Adresse/Adres"/>
    <w:rsid w:val="00A605D0"/>
    <w:pPr>
      <w:spacing w:line="160" w:lineRule="exact"/>
    </w:pPr>
    <w:rPr>
      <w:rFonts w:ascii="Arial" w:hAnsi="Arial"/>
      <w:noProof/>
      <w:sz w:val="13"/>
      <w:szCs w:val="16"/>
    </w:rPr>
  </w:style>
  <w:style w:type="paragraph" w:customStyle="1" w:styleId="BNBNBB">
    <w:name w:val="BNB/NBB"/>
    <w:next w:val="AdresseAdres"/>
    <w:semiHidden/>
    <w:rsid w:val="00A605D0"/>
    <w:pPr>
      <w:spacing w:line="160" w:lineRule="exact"/>
    </w:pPr>
    <w:rPr>
      <w:rFonts w:ascii="Arial" w:hAnsi="Arial"/>
      <w:b/>
      <w:noProof/>
      <w:sz w:val="13"/>
      <w:szCs w:val="16"/>
    </w:rPr>
  </w:style>
  <w:style w:type="paragraph" w:customStyle="1" w:styleId="IntroductionInleiding">
    <w:name w:val="Introduction/Inleiding"/>
    <w:basedOn w:val="Normal"/>
    <w:uiPriority w:val="4"/>
    <w:qFormat/>
    <w:rsid w:val="00276804"/>
    <w:pPr>
      <w:spacing w:after="260"/>
    </w:pPr>
    <w:rPr>
      <w:i/>
      <w:sz w:val="22"/>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GB"/>
    </w:rPr>
  </w:style>
  <w:style w:type="paragraph" w:customStyle="1" w:styleId="BoiteVakje">
    <w:name w:val="Boite/Vakje"/>
    <w:qFormat/>
    <w:rsid w:val="00FE24A6"/>
    <w:pPr>
      <w:spacing w:line="200" w:lineRule="atLeast"/>
    </w:pPr>
    <w:rPr>
      <w:rFonts w:ascii="Arial" w:hAnsi="Arial"/>
      <w:sz w:val="14"/>
      <w:szCs w:val="14"/>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style>
  <w:style w:type="paragraph" w:customStyle="1" w:styleId="SignaturesHandtekeningen">
    <w:name w:val="Signatures/Handtekeningen"/>
    <w:basedOn w:val="Normal"/>
    <w:qFormat/>
    <w:rsid w:val="00E348BA"/>
    <w:pPr>
      <w:tabs>
        <w:tab w:val="clear" w:pos="284"/>
        <w:tab w:val="left" w:pos="3402"/>
      </w:tabs>
    </w:p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rPr>
  </w:style>
  <w:style w:type="paragraph" w:styleId="ListParagraph">
    <w:name w:val="List Paragraph"/>
    <w:basedOn w:val="Normal"/>
    <w:uiPriority w:val="34"/>
    <w:qFormat/>
    <w:rsid w:val="00B818FA"/>
    <w:pPr>
      <w:ind w:left="720"/>
      <w:contextualSpacing/>
    </w:pPr>
  </w:style>
  <w:style w:type="character" w:customStyle="1" w:styleId="st1">
    <w:name w:val="st1"/>
    <w:basedOn w:val="DefaultParagraphFont"/>
    <w:rsid w:val="00793AAB"/>
  </w:style>
  <w:style w:type="character" w:styleId="CommentReference">
    <w:name w:val="annotation reference"/>
    <w:basedOn w:val="DefaultParagraphFont"/>
    <w:rsid w:val="00F523A7"/>
    <w:rPr>
      <w:sz w:val="16"/>
      <w:szCs w:val="16"/>
    </w:rPr>
  </w:style>
  <w:style w:type="paragraph" w:styleId="CommentText">
    <w:name w:val="annotation text"/>
    <w:basedOn w:val="Normal"/>
    <w:link w:val="CommentTextChar"/>
    <w:rsid w:val="00F523A7"/>
    <w:pPr>
      <w:spacing w:line="240" w:lineRule="auto"/>
    </w:pPr>
  </w:style>
  <w:style w:type="character" w:customStyle="1" w:styleId="CommentTextChar">
    <w:name w:val="Comment Text Char"/>
    <w:basedOn w:val="DefaultParagraphFont"/>
    <w:link w:val="CommentText"/>
    <w:rsid w:val="00F523A7"/>
    <w:rPr>
      <w:rFonts w:ascii="Arial" w:hAnsi="Arial"/>
      <w:lang w:val="en-GB" w:eastAsia="en-GB"/>
    </w:rPr>
  </w:style>
  <w:style w:type="paragraph" w:styleId="CommentSubject">
    <w:name w:val="annotation subject"/>
    <w:basedOn w:val="CommentText"/>
    <w:next w:val="CommentText"/>
    <w:link w:val="CommentSubjectChar"/>
    <w:rsid w:val="00F523A7"/>
    <w:rPr>
      <w:b/>
      <w:bCs/>
    </w:rPr>
  </w:style>
  <w:style w:type="character" w:customStyle="1" w:styleId="CommentSubjectChar">
    <w:name w:val="Comment Subject Char"/>
    <w:basedOn w:val="CommentTextChar"/>
    <w:link w:val="CommentSubject"/>
    <w:rsid w:val="00F523A7"/>
    <w:rPr>
      <w:rFonts w:ascii="Arial" w:hAnsi="Arial"/>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rPr>
  </w:style>
  <w:style w:type="paragraph" w:customStyle="1" w:styleId="ServiceDienst">
    <w:name w:val="Service/Dienst"/>
    <w:next w:val="Normal"/>
    <w:rsid w:val="00E04E63"/>
    <w:pPr>
      <w:spacing w:line="240" w:lineRule="exact"/>
    </w:pPr>
    <w:rPr>
      <w:rFonts w:ascii="Arial" w:hAnsi="Arial"/>
      <w:noProof/>
      <w:sz w:val="17"/>
      <w:szCs w:val="16"/>
    </w:rPr>
  </w:style>
  <w:style w:type="paragraph" w:customStyle="1" w:styleId="SectionSectie">
    <w:name w:val="Section/Sectie"/>
    <w:next w:val="Normal"/>
    <w:semiHidden/>
    <w:rsid w:val="0081015C"/>
    <w:pPr>
      <w:spacing w:line="220" w:lineRule="exact"/>
    </w:pPr>
    <w:rPr>
      <w:rFonts w:ascii="Arial" w:hAnsi="Arial"/>
      <w:noProof/>
      <w:sz w:val="14"/>
      <w:szCs w:val="16"/>
    </w:rPr>
  </w:style>
  <w:style w:type="paragraph" w:customStyle="1" w:styleId="TitreTitel">
    <w:name w:val="Titre/Titel"/>
    <w:rsid w:val="00EB3741"/>
    <w:pPr>
      <w:spacing w:line="260" w:lineRule="atLeast"/>
    </w:pPr>
    <w:rPr>
      <w:rFonts w:ascii="Arial" w:hAnsi="Arial"/>
      <w:b/>
      <w:noProof/>
      <w:sz w:val="28"/>
      <w:szCs w:val="16"/>
    </w:rPr>
  </w:style>
  <w:style w:type="paragraph" w:customStyle="1" w:styleId="AdresseAdres">
    <w:name w:val="Adresse/Adres"/>
    <w:rsid w:val="00A605D0"/>
    <w:pPr>
      <w:spacing w:line="160" w:lineRule="exact"/>
    </w:pPr>
    <w:rPr>
      <w:rFonts w:ascii="Arial" w:hAnsi="Arial"/>
      <w:noProof/>
      <w:sz w:val="13"/>
      <w:szCs w:val="16"/>
    </w:rPr>
  </w:style>
  <w:style w:type="paragraph" w:customStyle="1" w:styleId="BNBNBB">
    <w:name w:val="BNB/NBB"/>
    <w:next w:val="AdresseAdres"/>
    <w:semiHidden/>
    <w:rsid w:val="00A605D0"/>
    <w:pPr>
      <w:spacing w:line="160" w:lineRule="exact"/>
    </w:pPr>
    <w:rPr>
      <w:rFonts w:ascii="Arial" w:hAnsi="Arial"/>
      <w:b/>
      <w:noProof/>
      <w:sz w:val="13"/>
      <w:szCs w:val="16"/>
    </w:rPr>
  </w:style>
  <w:style w:type="paragraph" w:customStyle="1" w:styleId="IntroductionInleiding">
    <w:name w:val="Introduction/Inleiding"/>
    <w:basedOn w:val="Normal"/>
    <w:uiPriority w:val="4"/>
    <w:qFormat/>
    <w:rsid w:val="00276804"/>
    <w:pPr>
      <w:spacing w:after="260"/>
    </w:pPr>
    <w:rPr>
      <w:i/>
      <w:sz w:val="22"/>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GB"/>
    </w:rPr>
  </w:style>
  <w:style w:type="paragraph" w:customStyle="1" w:styleId="BoiteVakje">
    <w:name w:val="Boite/Vakje"/>
    <w:qFormat/>
    <w:rsid w:val="00FE24A6"/>
    <w:pPr>
      <w:spacing w:line="200" w:lineRule="atLeast"/>
    </w:pPr>
    <w:rPr>
      <w:rFonts w:ascii="Arial" w:hAnsi="Arial"/>
      <w:sz w:val="14"/>
      <w:szCs w:val="14"/>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style>
  <w:style w:type="paragraph" w:customStyle="1" w:styleId="SignaturesHandtekeningen">
    <w:name w:val="Signatures/Handtekeningen"/>
    <w:basedOn w:val="Normal"/>
    <w:qFormat/>
    <w:rsid w:val="00E348BA"/>
    <w:pPr>
      <w:tabs>
        <w:tab w:val="clear" w:pos="284"/>
        <w:tab w:val="left" w:pos="3402"/>
      </w:tabs>
    </w:p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rPr>
  </w:style>
  <w:style w:type="paragraph" w:styleId="ListParagraph">
    <w:name w:val="List Paragraph"/>
    <w:basedOn w:val="Normal"/>
    <w:uiPriority w:val="34"/>
    <w:qFormat/>
    <w:rsid w:val="00B818FA"/>
    <w:pPr>
      <w:ind w:left="720"/>
      <w:contextualSpacing/>
    </w:pPr>
  </w:style>
  <w:style w:type="character" w:customStyle="1" w:styleId="st1">
    <w:name w:val="st1"/>
    <w:basedOn w:val="DefaultParagraphFont"/>
    <w:rsid w:val="00793AAB"/>
  </w:style>
  <w:style w:type="character" w:styleId="CommentReference">
    <w:name w:val="annotation reference"/>
    <w:basedOn w:val="DefaultParagraphFont"/>
    <w:rsid w:val="00F523A7"/>
    <w:rPr>
      <w:sz w:val="16"/>
      <w:szCs w:val="16"/>
    </w:rPr>
  </w:style>
  <w:style w:type="paragraph" w:styleId="CommentText">
    <w:name w:val="annotation text"/>
    <w:basedOn w:val="Normal"/>
    <w:link w:val="CommentTextChar"/>
    <w:rsid w:val="00F523A7"/>
    <w:pPr>
      <w:spacing w:line="240" w:lineRule="auto"/>
    </w:pPr>
  </w:style>
  <w:style w:type="character" w:customStyle="1" w:styleId="CommentTextChar">
    <w:name w:val="Comment Text Char"/>
    <w:basedOn w:val="DefaultParagraphFont"/>
    <w:link w:val="CommentText"/>
    <w:rsid w:val="00F523A7"/>
    <w:rPr>
      <w:rFonts w:ascii="Arial" w:hAnsi="Arial"/>
      <w:lang w:val="en-GB" w:eastAsia="en-GB"/>
    </w:rPr>
  </w:style>
  <w:style w:type="paragraph" w:styleId="CommentSubject">
    <w:name w:val="annotation subject"/>
    <w:basedOn w:val="CommentText"/>
    <w:next w:val="CommentText"/>
    <w:link w:val="CommentSubjectChar"/>
    <w:rsid w:val="00F523A7"/>
    <w:rPr>
      <w:b/>
      <w:bCs/>
    </w:rPr>
  </w:style>
  <w:style w:type="character" w:customStyle="1" w:styleId="CommentSubjectChar">
    <w:name w:val="Comment Subject Char"/>
    <w:basedOn w:val="CommentTextChar"/>
    <w:link w:val="CommentSubject"/>
    <w:rsid w:val="00F523A7"/>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936889">
      <w:bodyDiv w:val="1"/>
      <w:marLeft w:val="0"/>
      <w:marRight w:val="0"/>
      <w:marTop w:val="0"/>
      <w:marBottom w:val="0"/>
      <w:divBdr>
        <w:top w:val="none" w:sz="0" w:space="0" w:color="auto"/>
        <w:left w:val="none" w:sz="0" w:space="0" w:color="auto"/>
        <w:bottom w:val="none" w:sz="0" w:space="0" w:color="auto"/>
        <w:right w:val="none" w:sz="0" w:space="0" w:color="auto"/>
      </w:divBdr>
    </w:div>
    <w:div w:id="212534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icolas.strypstein@nbb.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C2FEB05314414085F0481260043330" ma:contentTypeVersion="0" ma:contentTypeDescription="Create a new document." ma:contentTypeScope="" ma:versionID="0e08ec9d44d57b4dfd9fa279d58f58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69E4E-C3DA-4BFF-B28B-ED1BFE0545FE}">
  <ds:schemaRef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E77A109-29F0-4BEB-B86B-FD88F58C9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17F178-F16E-4CBE-8C69-C969DD7E0977}">
  <ds:schemaRefs>
    <ds:schemaRef ds:uri="http://schemas.microsoft.com/sharepoint/v3/contenttype/forms"/>
  </ds:schemaRefs>
</ds:datastoreItem>
</file>

<file path=customXml/itemProps4.xml><?xml version="1.0" encoding="utf-8"?>
<ds:datastoreItem xmlns:ds="http://schemas.openxmlformats.org/officeDocument/2006/customXml" ds:itemID="{E22D92CB-3143-4F59-9E15-338DB1CF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Template>
  <TotalTime>76</TotalTime>
  <Pages>8</Pages>
  <Words>3572</Words>
  <Characters>17789</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21319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Van Damme Arthur</dc:creator>
  <cp:lastModifiedBy>Andre Garance</cp:lastModifiedBy>
  <cp:revision>39</cp:revision>
  <cp:lastPrinted>2017-06-07T08:03:00Z</cp:lastPrinted>
  <dcterms:created xsi:type="dcterms:W3CDTF">2017-03-27T09:29:00Z</dcterms:created>
  <dcterms:modified xsi:type="dcterms:W3CDTF">2017-06-13T09:56:00Z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0x010100B4C2FEB05314414085F0481260043330</vt:lpwstr>
  </property>
  <property fmtid="{D5CDD505-2E9C-101B-9397-08002B2CF9AE}" pid="3" name="Order">
    <vt:r8>571600</vt:r8>
  </property>
</Properties>
</file>